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(Mark One)</w:t>
      </w: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-113030</wp:posOffset>
            </wp:positionV>
            <wp:extent cx="86995" cy="882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354" w:lineRule="exact"/>
        <w:rPr>
          <w:sz w:val="24"/>
          <w:szCs w:val="24"/>
          <w:color w:val="auto"/>
        </w:rPr>
      </w:pPr>
    </w:p>
    <w:p>
      <w:pPr>
        <w:ind w:left="3560"/>
        <w:spacing w:after="0"/>
        <w:rPr>
          <w:sz w:val="20"/>
          <w:szCs w:val="20"/>
          <w:color w:val="auto"/>
        </w:rPr>
      </w:pPr>
      <w:r>
        <w:rPr>
          <w:rFonts w:ascii="Arial" w:cs="Arial" w:eastAsia="Arial" w:hAnsi="Arial"/>
          <w:sz w:val="18"/>
          <w:szCs w:val="18"/>
          <w:b w:val="1"/>
          <w:bCs w:val="1"/>
          <w:color w:val="auto"/>
        </w:rPr>
        <w:t>FOR THE QUARTERLY PERIOD ENDED JUNE 30, 2018</w:t>
      </w:r>
    </w:p>
    <w:p>
      <w:pPr>
        <w:spacing w:after="0" w:line="144" w:lineRule="exact"/>
        <w:rPr>
          <w:sz w:val="24"/>
          <w:szCs w:val="24"/>
          <w:color w:val="auto"/>
        </w:rPr>
      </w:pPr>
    </w:p>
    <w:p>
      <w:pPr>
        <w:ind w:left="5480"/>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380" w:hanging="372"/>
        <w:spacing w:after="0"/>
        <w:tabs>
          <w:tab w:leader="none" w:pos="3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-104140</wp:posOffset>
            </wp:positionV>
            <wp:extent cx="86995" cy="88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354" w:lineRule="exact"/>
        <w:rPr>
          <w:sz w:val="24"/>
          <w:szCs w:val="24"/>
          <w:color w:val="auto"/>
        </w:rPr>
      </w:pPr>
    </w:p>
    <w:tbl>
      <w:tblPr>
        <w:tblLayout w:type="fixed"/>
        <w:tblInd w:w="3480" w:type="dxa"/>
        <w:tblCellMar>
          <w:top w:w="0" w:type="dxa"/>
          <w:left w:w="0" w:type="dxa"/>
          <w:bottom w:w="0" w:type="dxa"/>
          <w:right w:w="0" w:type="dxa"/>
        </w:tblCellMar>
      </w:tblPr>
      <w:tr>
        <w:trPr>
          <w:trHeight w:val="207"/>
        </w:trPr>
        <w:tc>
          <w:tcPr>
            <w:tcW w:w="3380" w:type="dxa"/>
            <w:vAlign w:val="bottom"/>
          </w:tcPr>
          <w:p>
            <w:pPr>
              <w:spacing w:after="0"/>
              <w:rPr>
                <w:sz w:val="20"/>
                <w:szCs w:val="20"/>
                <w:color w:val="auto"/>
              </w:rPr>
            </w:pPr>
            <w:r>
              <w:rPr>
                <w:rFonts w:ascii="Arial" w:cs="Arial" w:eastAsia="Arial" w:hAnsi="Arial"/>
                <w:sz w:val="18"/>
                <w:szCs w:val="18"/>
                <w:b w:val="1"/>
                <w:bCs w:val="1"/>
                <w:color w:val="auto"/>
              </w:rPr>
              <w:t>FOR THE TRANSITION PERIOD FROM</w:t>
            </w:r>
          </w:p>
        </w:tc>
        <w:tc>
          <w:tcPr>
            <w:tcW w:w="540" w:type="dxa"/>
            <w:vAlign w:val="bottom"/>
            <w:tcBorders>
              <w:bottom w:val="single" w:sz="8" w:color="auto"/>
            </w:tcBorders>
          </w:tcPr>
          <w:p>
            <w:pPr>
              <w:spacing w:after="0"/>
              <w:rPr>
                <w:sz w:val="17"/>
                <w:szCs w:val="17"/>
                <w:color w:val="auto"/>
              </w:rPr>
            </w:pPr>
          </w:p>
        </w:tc>
        <w:tc>
          <w:tcPr>
            <w:tcW w:w="300" w:type="dxa"/>
            <w:vAlign w:val="bottom"/>
          </w:tcPr>
          <w:p>
            <w:pPr>
              <w:ind w:left="40"/>
              <w:spacing w:after="0"/>
              <w:rPr>
                <w:sz w:val="20"/>
                <w:szCs w:val="20"/>
                <w:color w:val="auto"/>
              </w:rPr>
            </w:pPr>
            <w:r>
              <w:rPr>
                <w:rFonts w:ascii="Arial" w:cs="Arial" w:eastAsia="Arial" w:hAnsi="Arial"/>
                <w:sz w:val="18"/>
                <w:szCs w:val="18"/>
                <w:b w:val="1"/>
                <w:bCs w:val="1"/>
                <w:color w:val="auto"/>
                <w:w w:val="95"/>
              </w:rPr>
              <w:t>TO</w:t>
            </w:r>
          </w:p>
        </w:tc>
        <w:tc>
          <w:tcPr>
            <w:tcW w:w="540" w:type="dxa"/>
            <w:vAlign w:val="bottom"/>
            <w:tcBorders>
              <w:bottom w:val="single" w:sz="8" w:color="auto"/>
            </w:tcBorders>
          </w:tcPr>
          <w:p>
            <w:pPr>
              <w:spacing w:after="0"/>
              <w:rPr>
                <w:sz w:val="17"/>
                <w:szCs w:val="17"/>
                <w:color w:val="auto"/>
              </w:rPr>
            </w:pPr>
          </w:p>
        </w:tc>
      </w:tr>
      <w:tr>
        <w:trPr>
          <w:trHeight w:val="385"/>
        </w:trPr>
        <w:tc>
          <w:tcPr>
            <w:tcW w:w="3920" w:type="dxa"/>
            <w:vAlign w:val="bottom"/>
            <w:gridSpan w:val="2"/>
          </w:tcPr>
          <w:p>
            <w:pPr>
              <w:ind w:left="420"/>
              <w:spacing w:after="0"/>
              <w:rPr>
                <w:sz w:val="20"/>
                <w:szCs w:val="20"/>
                <w:color w:val="auto"/>
              </w:rPr>
            </w:pPr>
            <w:r>
              <w:rPr>
                <w:rFonts w:ascii="Arial" w:cs="Arial" w:eastAsia="Arial" w:hAnsi="Arial"/>
                <w:sz w:val="18"/>
                <w:szCs w:val="18"/>
                <w:b w:val="1"/>
                <w:bCs w:val="1"/>
                <w:color w:val="auto"/>
              </w:rPr>
              <w:t>COMMISSION FILE NUMBER: 814-00891</w:t>
            </w: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0"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PENNANTPARK FLOATING RATE CAPITAL LTD.</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tbl>
      <w:tblPr>
        <w:tblLayout w:type="fixed"/>
        <w:tblInd w:w="1320" w:type="dxa"/>
        <w:tblCellMar>
          <w:top w:w="0" w:type="dxa"/>
          <w:left w:w="0" w:type="dxa"/>
          <w:bottom w:w="0" w:type="dxa"/>
          <w:right w:w="0" w:type="dxa"/>
        </w:tblCellMar>
      </w:tblPr>
      <w:tr>
        <w:trPr>
          <w:trHeight w:val="186"/>
        </w:trPr>
        <w:tc>
          <w:tcPr>
            <w:tcW w:w="6000" w:type="dxa"/>
            <w:vAlign w:val="bottom"/>
          </w:tcPr>
          <w:p>
            <w:pPr>
              <w:jc w:val="center"/>
              <w:ind w:right="2934"/>
              <w:spacing w:after="0"/>
              <w:rPr>
                <w:sz w:val="20"/>
                <w:szCs w:val="20"/>
                <w:color w:val="auto"/>
              </w:rPr>
            </w:pPr>
            <w:r>
              <w:rPr>
                <w:rFonts w:ascii="Arial" w:cs="Arial" w:eastAsia="Arial" w:hAnsi="Arial"/>
                <w:sz w:val="14"/>
                <w:szCs w:val="14"/>
                <w:b w:val="1"/>
                <w:bCs w:val="1"/>
                <w:color w:val="auto"/>
              </w:rPr>
              <w:t>MARYLAND</w:t>
            </w:r>
          </w:p>
        </w:tc>
        <w:tc>
          <w:tcPr>
            <w:tcW w:w="2120" w:type="dxa"/>
            <w:vAlign w:val="bottom"/>
          </w:tcPr>
          <w:p>
            <w:pPr>
              <w:jc w:val="right"/>
              <w:ind w:right="475"/>
              <w:spacing w:after="0"/>
              <w:rPr>
                <w:sz w:val="20"/>
                <w:szCs w:val="20"/>
                <w:color w:val="auto"/>
              </w:rPr>
            </w:pPr>
            <w:r>
              <w:rPr>
                <w:rFonts w:ascii="Arial" w:cs="Arial" w:eastAsia="Arial" w:hAnsi="Arial"/>
                <w:sz w:val="14"/>
                <w:szCs w:val="14"/>
                <w:b w:val="1"/>
                <w:bCs w:val="1"/>
                <w:color w:val="auto"/>
              </w:rPr>
              <w:t>27-3794690</w:t>
            </w:r>
          </w:p>
        </w:tc>
        <w:tc>
          <w:tcPr>
            <w:tcW w:w="0" w:type="dxa"/>
            <w:vAlign w:val="bottom"/>
          </w:tcPr>
          <w:p>
            <w:pPr>
              <w:spacing w:after="0"/>
              <w:rPr>
                <w:sz w:val="1"/>
                <w:szCs w:val="1"/>
                <w:color w:val="auto"/>
              </w:rPr>
            </w:pPr>
          </w:p>
        </w:tc>
      </w:tr>
      <w:tr>
        <w:trPr>
          <w:trHeight w:val="168"/>
        </w:trPr>
        <w:tc>
          <w:tcPr>
            <w:tcW w:w="6000" w:type="dxa"/>
            <w:vAlign w:val="bottom"/>
          </w:tcPr>
          <w:p>
            <w:pPr>
              <w:jc w:val="center"/>
              <w:ind w:right="2914"/>
              <w:spacing w:after="0"/>
              <w:rPr>
                <w:sz w:val="20"/>
                <w:szCs w:val="20"/>
                <w:color w:val="auto"/>
              </w:rPr>
            </w:pPr>
            <w:r>
              <w:rPr>
                <w:rFonts w:ascii="Arial" w:cs="Arial" w:eastAsia="Arial" w:hAnsi="Arial"/>
                <w:sz w:val="12"/>
                <w:szCs w:val="12"/>
                <w:b w:val="1"/>
                <w:bCs w:val="1"/>
                <w:color w:val="auto"/>
                <w:w w:val="88"/>
              </w:rPr>
              <w:t>(State or other jurisdiction of incorporation or organization)</w:t>
            </w:r>
          </w:p>
        </w:tc>
        <w:tc>
          <w:tcPr>
            <w:tcW w:w="2120" w:type="dxa"/>
            <w:vAlign w:val="bottom"/>
          </w:tcPr>
          <w:p>
            <w:pPr>
              <w:jc w:val="center"/>
              <w:ind w:left="275"/>
              <w:spacing w:after="0"/>
              <w:rPr>
                <w:sz w:val="20"/>
                <w:szCs w:val="20"/>
                <w:color w:val="auto"/>
              </w:rPr>
            </w:pPr>
            <w:r>
              <w:rPr>
                <w:rFonts w:ascii="Arial" w:cs="Arial" w:eastAsia="Arial" w:hAnsi="Arial"/>
                <w:sz w:val="12"/>
                <w:szCs w:val="12"/>
                <w:b w:val="1"/>
                <w:bCs w:val="1"/>
                <w:color w:val="auto"/>
                <w:w w:val="90"/>
              </w:rPr>
              <w:t>(I.R.S. Employer Identification No.)</w:t>
            </w:r>
          </w:p>
        </w:tc>
        <w:tc>
          <w:tcPr>
            <w:tcW w:w="0" w:type="dxa"/>
            <w:vAlign w:val="bottom"/>
          </w:tcPr>
          <w:p>
            <w:pPr>
              <w:spacing w:after="0"/>
              <w:rPr>
                <w:sz w:val="1"/>
                <w:szCs w:val="1"/>
                <w:color w:val="auto"/>
              </w:rPr>
            </w:pPr>
          </w:p>
        </w:tc>
      </w:tr>
      <w:tr>
        <w:trPr>
          <w:trHeight w:val="456"/>
        </w:trPr>
        <w:tc>
          <w:tcPr>
            <w:tcW w:w="6000" w:type="dxa"/>
            <w:vAlign w:val="bottom"/>
          </w:tcPr>
          <w:p>
            <w:pPr>
              <w:jc w:val="center"/>
              <w:ind w:right="2934"/>
              <w:spacing w:after="0"/>
              <w:rPr>
                <w:sz w:val="20"/>
                <w:szCs w:val="20"/>
                <w:color w:val="auto"/>
              </w:rPr>
            </w:pPr>
            <w:r>
              <w:rPr>
                <w:rFonts w:ascii="Arial" w:cs="Arial" w:eastAsia="Arial" w:hAnsi="Arial"/>
                <w:sz w:val="14"/>
                <w:szCs w:val="14"/>
                <w:b w:val="1"/>
                <w:bCs w:val="1"/>
                <w:color w:val="auto"/>
                <w:w w:val="92"/>
              </w:rPr>
              <w:t>590 Madison Avenue, 15</w:t>
            </w:r>
            <w:r>
              <w:rPr>
                <w:rFonts w:ascii="Arial" w:cs="Arial" w:eastAsia="Arial" w:hAnsi="Arial"/>
                <w:sz w:val="12"/>
                <w:szCs w:val="12"/>
                <w:b w:val="1"/>
                <w:bCs w:val="1"/>
                <w:color w:val="auto"/>
                <w:w w:val="92"/>
              </w:rPr>
              <w:t>th</w:t>
            </w:r>
            <w:r>
              <w:rPr>
                <w:rFonts w:ascii="Arial" w:cs="Arial" w:eastAsia="Arial" w:hAnsi="Arial"/>
                <w:sz w:val="14"/>
                <w:szCs w:val="14"/>
                <w:b w:val="1"/>
                <w:bCs w:val="1"/>
                <w:color w:val="auto"/>
                <w:w w:val="92"/>
              </w:rPr>
              <w:t xml:space="preserve"> Floor</w:t>
            </w: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6000" w:type="dxa"/>
            <w:vAlign w:val="bottom"/>
          </w:tcPr>
          <w:p>
            <w:pPr>
              <w:jc w:val="center"/>
              <w:ind w:right="2934"/>
              <w:spacing w:after="0"/>
              <w:rPr>
                <w:sz w:val="20"/>
                <w:szCs w:val="20"/>
                <w:color w:val="auto"/>
              </w:rPr>
            </w:pPr>
            <w:r>
              <w:rPr>
                <w:rFonts w:ascii="Arial" w:cs="Arial" w:eastAsia="Arial" w:hAnsi="Arial"/>
                <w:sz w:val="14"/>
                <w:szCs w:val="14"/>
                <w:b w:val="1"/>
                <w:bCs w:val="1"/>
                <w:color w:val="auto"/>
                <w:w w:val="97"/>
              </w:rPr>
              <w:t>New York, N.Y.</w:t>
            </w:r>
          </w:p>
        </w:tc>
        <w:tc>
          <w:tcPr>
            <w:tcW w:w="2120" w:type="dxa"/>
            <w:vAlign w:val="bottom"/>
            <w:vMerge w:val="restart"/>
          </w:tcPr>
          <w:p>
            <w:pPr>
              <w:jc w:val="right"/>
              <w:ind w:right="655"/>
              <w:spacing w:after="0"/>
              <w:rPr>
                <w:sz w:val="20"/>
                <w:szCs w:val="20"/>
                <w:color w:val="auto"/>
              </w:rPr>
            </w:pPr>
            <w:r>
              <w:rPr>
                <w:rFonts w:ascii="Arial" w:cs="Arial" w:eastAsia="Arial" w:hAnsi="Arial"/>
                <w:sz w:val="14"/>
                <w:szCs w:val="14"/>
                <w:b w:val="1"/>
                <w:bCs w:val="1"/>
                <w:color w:val="auto"/>
              </w:rPr>
              <w:t>10022</w:t>
            </w:r>
          </w:p>
        </w:tc>
        <w:tc>
          <w:tcPr>
            <w:tcW w:w="0" w:type="dxa"/>
            <w:vAlign w:val="bottom"/>
          </w:tcPr>
          <w:p>
            <w:pPr>
              <w:spacing w:after="0"/>
              <w:rPr>
                <w:sz w:val="1"/>
                <w:szCs w:val="1"/>
                <w:color w:val="auto"/>
              </w:rPr>
            </w:pPr>
          </w:p>
        </w:tc>
      </w:tr>
      <w:tr>
        <w:trPr>
          <w:trHeight w:val="71"/>
        </w:trPr>
        <w:tc>
          <w:tcPr>
            <w:tcW w:w="6000" w:type="dxa"/>
            <w:vAlign w:val="bottom"/>
          </w:tcPr>
          <w:p>
            <w:pPr>
              <w:spacing w:after="0"/>
              <w:rPr>
                <w:sz w:val="6"/>
                <w:szCs w:val="6"/>
                <w:color w:val="auto"/>
              </w:rPr>
            </w:pPr>
          </w:p>
        </w:tc>
        <w:tc>
          <w:tcPr>
            <w:tcW w:w="2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6000" w:type="dxa"/>
            <w:vAlign w:val="bottom"/>
          </w:tcPr>
          <w:p>
            <w:pPr>
              <w:jc w:val="center"/>
              <w:ind w:right="2934"/>
              <w:spacing w:after="0"/>
              <w:rPr>
                <w:sz w:val="20"/>
                <w:szCs w:val="20"/>
                <w:color w:val="auto"/>
              </w:rPr>
            </w:pPr>
            <w:r>
              <w:rPr>
                <w:rFonts w:ascii="Arial" w:cs="Arial" w:eastAsia="Arial" w:hAnsi="Arial"/>
                <w:sz w:val="12"/>
                <w:szCs w:val="12"/>
                <w:b w:val="1"/>
                <w:bCs w:val="1"/>
                <w:color w:val="auto"/>
                <w:w w:val="85"/>
              </w:rPr>
              <w:t>(Address of principal executive offices)</w:t>
            </w:r>
          </w:p>
        </w:tc>
        <w:tc>
          <w:tcPr>
            <w:tcW w:w="2120" w:type="dxa"/>
            <w:vAlign w:val="bottom"/>
          </w:tcPr>
          <w:p>
            <w:pPr>
              <w:jc w:val="center"/>
              <w:ind w:left="275"/>
              <w:spacing w:after="0"/>
              <w:rPr>
                <w:sz w:val="20"/>
                <w:szCs w:val="20"/>
                <w:color w:val="auto"/>
              </w:rPr>
            </w:pPr>
            <w:r>
              <w:rPr>
                <w:rFonts w:ascii="Arial" w:cs="Arial" w:eastAsia="Arial" w:hAnsi="Arial"/>
                <w:sz w:val="12"/>
                <w:szCs w:val="12"/>
                <w:b w:val="1"/>
                <w:bCs w:val="1"/>
                <w:color w:val="auto"/>
                <w:w w:val="90"/>
              </w:rPr>
              <w:t>(Zip Code)</w:t>
            </w:r>
          </w:p>
        </w:tc>
        <w:tc>
          <w:tcPr>
            <w:tcW w:w="0" w:type="dxa"/>
            <w:vAlign w:val="bottom"/>
          </w:tcPr>
          <w:p>
            <w:pPr>
              <w:spacing w:after="0"/>
              <w:rPr>
                <w:sz w:val="1"/>
                <w:szCs w:val="1"/>
                <w:color w:val="auto"/>
              </w:rPr>
            </w:pPr>
          </w:p>
        </w:tc>
      </w:tr>
      <w:tr>
        <w:trPr>
          <w:trHeight w:val="295"/>
        </w:trPr>
        <w:tc>
          <w:tcPr>
            <w:tcW w:w="6000" w:type="dxa"/>
            <w:vAlign w:val="bottom"/>
          </w:tcPr>
          <w:p>
            <w:pPr>
              <w:jc w:val="right"/>
              <w:ind w:right="1174"/>
              <w:spacing w:after="0"/>
              <w:rPr>
                <w:sz w:val="20"/>
                <w:szCs w:val="20"/>
                <w:color w:val="auto"/>
              </w:rPr>
            </w:pPr>
            <w:r>
              <w:rPr>
                <w:rFonts w:ascii="Arial" w:cs="Arial" w:eastAsia="Arial" w:hAnsi="Arial"/>
                <w:sz w:val="14"/>
                <w:szCs w:val="14"/>
                <w:b w:val="1"/>
                <w:bCs w:val="1"/>
                <w:color w:val="auto"/>
              </w:rPr>
              <w:t>(212) 905-1000</w:t>
            </w: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6000" w:type="dxa"/>
            <w:vAlign w:val="bottom"/>
          </w:tcPr>
          <w:p>
            <w:pPr>
              <w:jc w:val="center"/>
              <w:ind w:left="2534"/>
              <w:spacing w:after="0"/>
              <w:rPr>
                <w:sz w:val="20"/>
                <w:szCs w:val="20"/>
                <w:color w:val="auto"/>
              </w:rPr>
            </w:pPr>
            <w:r>
              <w:rPr>
                <w:rFonts w:ascii="Arial" w:cs="Arial" w:eastAsia="Arial" w:hAnsi="Arial"/>
                <w:sz w:val="12"/>
                <w:szCs w:val="12"/>
                <w:b w:val="1"/>
                <w:bCs w:val="1"/>
                <w:color w:val="auto"/>
                <w:w w:val="88"/>
              </w:rPr>
              <w:t>(Registrant’s Telephone Number, Including Area Code)</w:t>
            </w:r>
          </w:p>
        </w:tc>
        <w:tc>
          <w:tcPr>
            <w:tcW w:w="21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9" w:lineRule="exact"/>
        <w:rPr>
          <w:sz w:val="24"/>
          <w:szCs w:val="24"/>
          <w:color w:val="auto"/>
        </w:rPr>
      </w:pPr>
    </w:p>
    <w:p>
      <w:pPr>
        <w:jc w:val="both"/>
        <w:ind w:firstLine="467"/>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13" w:lineRule="exact"/>
        <w:rPr>
          <w:sz w:val="24"/>
          <w:szCs w:val="24"/>
          <w:color w:val="auto"/>
        </w:rPr>
      </w:pPr>
    </w:p>
    <w:p>
      <w:pPr>
        <w:jc w:val="both"/>
        <w:ind w:firstLine="467"/>
        <w:spacing w:after="0" w:line="170" w:lineRule="exact"/>
        <w:rPr>
          <w:sz w:val="20"/>
          <w:szCs w:val="20"/>
          <w:color w:val="auto"/>
        </w:rPr>
      </w:pPr>
      <w:r>
        <w:rPr>
          <w:rFonts w:ascii="Arial" w:cs="Arial" w:eastAsia="Arial" w:hAnsi="Arial"/>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14" w:lineRule="exact"/>
        <w:rPr>
          <w:sz w:val="24"/>
          <w:szCs w:val="24"/>
          <w:color w:val="auto"/>
        </w:rPr>
      </w:pPr>
    </w:p>
    <w:p>
      <w:pPr>
        <w:ind w:right="60" w:firstLine="467"/>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06" w:lineRule="exact"/>
        <w:rPr>
          <w:sz w:val="24"/>
          <w:szCs w:val="24"/>
          <w:color w:val="auto"/>
        </w:rPr>
      </w:pPr>
    </w:p>
    <w:tbl>
      <w:tblPr>
        <w:tblLayout w:type="fixed"/>
        <w:tblInd w:w="640" w:type="dxa"/>
        <w:tblCellMar>
          <w:top w:w="0" w:type="dxa"/>
          <w:left w:w="0" w:type="dxa"/>
          <w:bottom w:w="0" w:type="dxa"/>
          <w:right w:w="0" w:type="dxa"/>
        </w:tblCellMar>
      </w:tblPr>
      <w:tr>
        <w:trPr>
          <w:trHeight w:val="226"/>
        </w:trPr>
        <w:tc>
          <w:tcPr>
            <w:tcW w:w="19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452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3040" w:type="dxa"/>
            <w:vAlign w:val="bottom"/>
          </w:tcPr>
          <w:p>
            <w:pPr>
              <w:ind w:left="1200"/>
              <w:spacing w:after="0"/>
              <w:rPr>
                <w:sz w:val="20"/>
                <w:szCs w:val="20"/>
                <w:color w:val="auto"/>
              </w:rPr>
            </w:pPr>
            <w:r>
              <w:rPr>
                <w:rFonts w:ascii="Arial" w:cs="Arial" w:eastAsia="Arial" w:hAnsi="Arial"/>
                <w:sz w:val="14"/>
                <w:szCs w:val="14"/>
                <w:color w:val="auto"/>
              </w:rPr>
              <w:t>Accelerated filer</w:t>
            </w:r>
          </w:p>
        </w:tc>
        <w:tc>
          <w:tcPr>
            <w:tcW w:w="380" w:type="dxa"/>
            <w:vAlign w:val="bottom"/>
          </w:tcPr>
          <w:p>
            <w:pPr>
              <w:ind w:left="2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38"/>
        </w:trPr>
        <w:tc>
          <w:tcPr>
            <w:tcW w:w="1980" w:type="dxa"/>
            <w:vAlign w:val="bottom"/>
          </w:tcPr>
          <w:p>
            <w:pPr>
              <w:spacing w:after="0"/>
              <w:rPr>
                <w:sz w:val="20"/>
                <w:szCs w:val="20"/>
                <w:color w:val="auto"/>
              </w:rPr>
            </w:pPr>
            <w:r>
              <w:rPr>
                <w:rFonts w:ascii="Arial" w:cs="Arial" w:eastAsia="Arial" w:hAnsi="Arial"/>
                <w:sz w:val="14"/>
                <w:szCs w:val="14"/>
                <w:color w:val="auto"/>
              </w:rPr>
              <w:t>Non-accelerated filer</w:t>
            </w:r>
          </w:p>
        </w:tc>
        <w:tc>
          <w:tcPr>
            <w:tcW w:w="4520" w:type="dxa"/>
            <w:vAlign w:val="bottom"/>
          </w:tcPr>
          <w:p>
            <w:pPr>
              <w:ind w:left="42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(Do not check if a smaller reporting company)</w:t>
            </w:r>
          </w:p>
        </w:tc>
        <w:tc>
          <w:tcPr>
            <w:tcW w:w="3040" w:type="dxa"/>
            <w:vAlign w:val="bottom"/>
          </w:tcPr>
          <w:p>
            <w:pPr>
              <w:ind w:left="1200"/>
              <w:spacing w:after="0"/>
              <w:rPr>
                <w:sz w:val="20"/>
                <w:szCs w:val="20"/>
                <w:color w:val="auto"/>
              </w:rPr>
            </w:pPr>
            <w:r>
              <w:rPr>
                <w:rFonts w:ascii="Arial" w:cs="Arial" w:eastAsia="Arial" w:hAnsi="Arial"/>
                <w:sz w:val="14"/>
                <w:szCs w:val="14"/>
                <w:color w:val="auto"/>
              </w:rPr>
              <w:t>Smaller reporting company</w:t>
            </w:r>
          </w:p>
        </w:tc>
        <w:tc>
          <w:tcPr>
            <w:tcW w:w="380" w:type="dxa"/>
            <w:vAlign w:val="bottom"/>
          </w:tcPr>
          <w:p>
            <w:pPr>
              <w:ind w:left="2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78"/>
        </w:trPr>
        <w:tc>
          <w:tcPr>
            <w:tcW w:w="198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452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304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pacing w:after="0" w:line="126" w:lineRule="exact"/>
        <w:rPr>
          <w:sz w:val="24"/>
          <w:szCs w:val="24"/>
          <w:color w:val="auto"/>
        </w:rPr>
      </w:pPr>
    </w:p>
    <w:p>
      <w:pPr>
        <w:ind w:right="100" w:firstLine="468"/>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86" w:lineRule="exact"/>
        <w:rPr>
          <w:sz w:val="24"/>
          <w:szCs w:val="24"/>
          <w:color w:val="auto"/>
        </w:rPr>
      </w:pPr>
    </w:p>
    <w:p>
      <w:pPr>
        <w:ind w:left="480" w:right="3040"/>
        <w:spacing w:after="0" w:line="247"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The number of shares of the registrant’s common stock, $0.001 par value per share, outstanding as of August 8, 2018 was 38,772,074.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14946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4"/>
          <w:szCs w:val="14"/>
          <w:b w:val="1"/>
          <w:bCs w:val="1"/>
          <w:color w:val="auto"/>
        </w:rPr>
        <w:t>PENNANTPARK FLOATING RATE CAPITAL LTD.</w:t>
      </w:r>
    </w:p>
    <w:p>
      <w:pPr>
        <w:jc w:val="center"/>
        <w:spacing w:after="0" w:line="225" w:lineRule="auto"/>
        <w:rPr>
          <w:sz w:val="20"/>
          <w:szCs w:val="20"/>
          <w:color w:val="auto"/>
        </w:rPr>
      </w:pPr>
      <w:r>
        <w:rPr>
          <w:rFonts w:ascii="Arial" w:cs="Arial" w:eastAsia="Arial" w:hAnsi="Arial"/>
          <w:sz w:val="14"/>
          <w:szCs w:val="14"/>
          <w:b w:val="1"/>
          <w:bCs w:val="1"/>
          <w:color w:val="auto"/>
        </w:rPr>
        <w:t>FORM 10-Q FOR THE QUARTER ENDED JUNE 30, 2018</w:t>
      </w:r>
    </w:p>
    <w:p>
      <w:pPr>
        <w:jc w:val="center"/>
        <w:spacing w:after="0"/>
        <w:rPr>
          <w:sz w:val="20"/>
          <w:szCs w:val="20"/>
          <w:color w:val="auto"/>
        </w:rPr>
      </w:pPr>
      <w:r>
        <w:rPr>
          <w:rFonts w:ascii="Arial" w:cs="Arial" w:eastAsia="Arial" w:hAnsi="Arial"/>
          <w:sz w:val="14"/>
          <w:szCs w:val="14"/>
          <w:b w:val="1"/>
          <w:bCs w:val="1"/>
          <w:color w:val="auto"/>
        </w:rPr>
        <w:t>TABLE OF CONTENTS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160" w:type="dxa"/>
            <w:vAlign w:val="bottom"/>
          </w:tcPr>
          <w:p>
            <w:pPr>
              <w:ind w:left="36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PART I. CONSOLIDATED FINANCIAL INFORMATION</w:t>
              </w:r>
            </w:hyperlink>
          </w:p>
        </w:tc>
        <w:tc>
          <w:tcPr>
            <w:tcW w:w="2080" w:type="dxa"/>
            <w:vAlign w:val="bottom"/>
          </w:tcPr>
          <w:p>
            <w:pPr>
              <w:spacing w:after="0"/>
              <w:rPr>
                <w:sz w:val="16"/>
                <w:szCs w:val="16"/>
                <w:color w:val="auto"/>
              </w:rPr>
            </w:pPr>
          </w:p>
        </w:tc>
      </w:tr>
      <w:tr>
        <w:trPr>
          <w:trHeight w:val="297"/>
        </w:trPr>
        <w:tc>
          <w:tcPr>
            <w:tcW w:w="9160" w:type="dxa"/>
            <w:vAlign w:val="bottom"/>
          </w:tcPr>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Item 1. Consolidated Financial Statements</w:t>
              </w:r>
            </w:hyperlink>
          </w:p>
        </w:tc>
        <w:tc>
          <w:tcPr>
            <w:tcW w:w="2080" w:type="dxa"/>
            <w:vAlign w:val="bottom"/>
          </w:tcPr>
          <w:p>
            <w:pPr>
              <w:spacing w:after="0"/>
              <w:rPr>
                <w:sz w:val="24"/>
                <w:szCs w:val="24"/>
                <w:color w:val="auto"/>
              </w:rPr>
            </w:pPr>
          </w:p>
        </w:tc>
      </w:tr>
      <w:tr>
        <w:trPr>
          <w:trHeight w:val="297"/>
        </w:trPr>
        <w:tc>
          <w:tcPr>
            <w:tcW w:w="9160" w:type="dxa"/>
            <w:vAlign w:val="bottom"/>
          </w:tcPr>
          <w:p>
            <w:pPr>
              <w:ind w:left="380"/>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Consolidated Statements of Assets and Liabilities as of June 30, 2018 (unaudited) and September 30, 2017</w:t>
              </w:r>
            </w:hyperlink>
          </w:p>
        </w:tc>
        <w:tc>
          <w:tcPr>
            <w:tcW w:w="208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297"/>
        </w:trPr>
        <w:tc>
          <w:tcPr>
            <w:tcW w:w="9160" w:type="dxa"/>
            <w:vAlign w:val="bottom"/>
          </w:tcPr>
          <w:p>
            <w:pPr>
              <w:ind w:left="380"/>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Consolidated Statements of Operations for the three and nine months ended June 30, 2018 and 2017 (unaudited)</w:t>
              </w:r>
            </w:hyperlink>
          </w:p>
        </w:tc>
        <w:tc>
          <w:tcPr>
            <w:tcW w:w="208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297"/>
        </w:trPr>
        <w:tc>
          <w:tcPr>
            <w:tcW w:w="9160" w:type="dxa"/>
            <w:vAlign w:val="bottom"/>
          </w:tcPr>
          <w:p>
            <w:pPr>
              <w:ind w:left="380"/>
              <w:spacing w:after="0"/>
              <w:rPr>
                <w:rFonts w:ascii="Arial" w:cs="Arial" w:eastAsia="Arial" w:hAnsi="Arial"/>
                <w:sz w:val="14"/>
                <w:szCs w:val="14"/>
                <w:u w:val="single" w:color="auto"/>
                <w:color w:val="0000EE"/>
              </w:rPr>
            </w:pPr>
            <w:hyperlink w:anchor="page6">
              <w:r>
                <w:rPr>
                  <w:rFonts w:ascii="Arial" w:cs="Arial" w:eastAsia="Arial" w:hAnsi="Arial"/>
                  <w:sz w:val="14"/>
                  <w:szCs w:val="14"/>
                  <w:u w:val="single" w:color="auto"/>
                  <w:color w:val="0000EE"/>
                </w:rPr>
                <w:t>Consolidated Statements of Changes in Net Assets for the nine months ended June 30, 2018 and 2017 (unaudited)</w:t>
              </w:r>
            </w:hyperlink>
          </w:p>
        </w:tc>
        <w:tc>
          <w:tcPr>
            <w:tcW w:w="208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297"/>
        </w:trPr>
        <w:tc>
          <w:tcPr>
            <w:tcW w:w="9160" w:type="dxa"/>
            <w:vAlign w:val="bottom"/>
          </w:tcPr>
          <w:p>
            <w:pPr>
              <w:ind w:left="380"/>
              <w:spacing w:after="0"/>
              <w:rPr>
                <w:rFonts w:ascii="Arial" w:cs="Arial" w:eastAsia="Arial" w:hAnsi="Arial"/>
                <w:sz w:val="14"/>
                <w:szCs w:val="14"/>
                <w:u w:val="single" w:color="auto"/>
                <w:color w:val="0000EE"/>
              </w:rPr>
            </w:pPr>
            <w:hyperlink w:anchor="page7">
              <w:r>
                <w:rPr>
                  <w:rFonts w:ascii="Arial" w:cs="Arial" w:eastAsia="Arial" w:hAnsi="Arial"/>
                  <w:sz w:val="14"/>
                  <w:szCs w:val="14"/>
                  <w:u w:val="single" w:color="auto"/>
                  <w:color w:val="0000EE"/>
                </w:rPr>
                <w:t>Consolidated Statements of Cash Flows for the nine months ended June 30, 2018 and 2017 (unaudited)</w:t>
              </w:r>
            </w:hyperlink>
          </w:p>
        </w:tc>
        <w:tc>
          <w:tcPr>
            <w:tcW w:w="208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297"/>
        </w:trPr>
        <w:tc>
          <w:tcPr>
            <w:tcW w:w="9160" w:type="dxa"/>
            <w:vAlign w:val="bottom"/>
          </w:tcPr>
          <w:p>
            <w:pPr>
              <w:ind w:left="380"/>
              <w:spacing w:after="0"/>
              <w:rPr>
                <w:rFonts w:ascii="Arial" w:cs="Arial" w:eastAsia="Arial" w:hAnsi="Arial"/>
                <w:sz w:val="14"/>
                <w:szCs w:val="14"/>
                <w:u w:val="single" w:color="auto"/>
                <w:color w:val="0000EE"/>
              </w:rPr>
            </w:pPr>
            <w:hyperlink w:anchor="page8">
              <w:r>
                <w:rPr>
                  <w:rFonts w:ascii="Arial" w:cs="Arial" w:eastAsia="Arial" w:hAnsi="Arial"/>
                  <w:sz w:val="14"/>
                  <w:szCs w:val="14"/>
                  <w:u w:val="single" w:color="auto"/>
                  <w:color w:val="0000EE"/>
                </w:rPr>
                <w:t>Consolidated Schedules of Investments as of June 30, 2018 (unaudited) and September 30, 2017</w:t>
              </w:r>
            </w:hyperlink>
          </w:p>
        </w:tc>
        <w:tc>
          <w:tcPr>
            <w:tcW w:w="208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297"/>
        </w:trPr>
        <w:tc>
          <w:tcPr>
            <w:tcW w:w="9160" w:type="dxa"/>
            <w:vAlign w:val="bottom"/>
          </w:tcPr>
          <w:p>
            <w:pPr>
              <w:ind w:left="380"/>
              <w:spacing w:after="0"/>
              <w:rPr>
                <w:rFonts w:ascii="Arial" w:cs="Arial" w:eastAsia="Arial" w:hAnsi="Arial"/>
                <w:sz w:val="14"/>
                <w:szCs w:val="14"/>
                <w:u w:val="single" w:color="auto"/>
                <w:color w:val="0000EE"/>
              </w:rPr>
            </w:pPr>
            <w:hyperlink w:anchor="page14">
              <w:r>
                <w:rPr>
                  <w:rFonts w:ascii="Arial" w:cs="Arial" w:eastAsia="Arial" w:hAnsi="Arial"/>
                  <w:sz w:val="14"/>
                  <w:szCs w:val="14"/>
                  <w:u w:val="single" w:color="auto"/>
                  <w:color w:val="0000EE"/>
                </w:rPr>
                <w:t>Notes to Consolidated Financial Statements (unaudited)</w:t>
              </w:r>
            </w:hyperlink>
          </w:p>
        </w:tc>
        <w:tc>
          <w:tcPr>
            <w:tcW w:w="208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297"/>
        </w:trPr>
        <w:tc>
          <w:tcPr>
            <w:tcW w:w="9160" w:type="dxa"/>
            <w:vAlign w:val="bottom"/>
          </w:tcPr>
          <w:p>
            <w:pPr>
              <w:ind w:left="380"/>
              <w:spacing w:after="0"/>
              <w:rPr>
                <w:rFonts w:ascii="Arial" w:cs="Arial" w:eastAsia="Arial" w:hAnsi="Arial"/>
                <w:sz w:val="14"/>
                <w:szCs w:val="14"/>
                <w:u w:val="single" w:color="auto"/>
                <w:color w:val="0000EE"/>
              </w:rPr>
            </w:pPr>
            <w:hyperlink w:anchor="page28">
              <w:r>
                <w:rPr>
                  <w:rFonts w:ascii="Arial" w:cs="Arial" w:eastAsia="Arial" w:hAnsi="Arial"/>
                  <w:sz w:val="14"/>
                  <w:szCs w:val="14"/>
                  <w:u w:val="single" w:color="auto"/>
                  <w:color w:val="0000EE"/>
                </w:rPr>
                <w:t>Report of Independent Registered Public Accounting Firm</w:t>
              </w:r>
            </w:hyperlink>
          </w:p>
        </w:tc>
        <w:tc>
          <w:tcPr>
            <w:tcW w:w="2080" w:type="dxa"/>
            <w:vAlign w:val="bottom"/>
          </w:tcPr>
          <w:p>
            <w:pPr>
              <w:jc w:val="right"/>
              <w:spacing w:after="0"/>
              <w:rPr>
                <w:sz w:val="20"/>
                <w:szCs w:val="20"/>
                <w:color w:val="auto"/>
              </w:rPr>
            </w:pPr>
            <w:r>
              <w:rPr>
                <w:rFonts w:ascii="Arial" w:cs="Arial" w:eastAsia="Arial" w:hAnsi="Arial"/>
                <w:sz w:val="14"/>
                <w:szCs w:val="14"/>
                <w:color w:val="auto"/>
              </w:rPr>
              <w:t>28</w:t>
            </w:r>
          </w:p>
        </w:tc>
      </w:tr>
      <w:tr>
        <w:trPr>
          <w:trHeight w:val="297"/>
        </w:trPr>
        <w:tc>
          <w:tcPr>
            <w:tcW w:w="9160" w:type="dxa"/>
            <w:vAlign w:val="bottom"/>
          </w:tcPr>
          <w:p>
            <w:pPr>
              <w:ind w:left="20"/>
              <w:spacing w:after="0"/>
              <w:rPr>
                <w:rFonts w:ascii="Arial" w:cs="Arial" w:eastAsia="Arial" w:hAnsi="Arial"/>
                <w:sz w:val="14"/>
                <w:szCs w:val="14"/>
                <w:b w:val="1"/>
                <w:bCs w:val="1"/>
                <w:u w:val="single" w:color="auto"/>
                <w:color w:val="0000EE"/>
              </w:rPr>
            </w:pPr>
            <w:hyperlink w:anchor="page29">
              <w:r>
                <w:rPr>
                  <w:rFonts w:ascii="Arial" w:cs="Arial" w:eastAsia="Arial" w:hAnsi="Arial"/>
                  <w:sz w:val="14"/>
                  <w:szCs w:val="14"/>
                  <w:b w:val="1"/>
                  <w:bCs w:val="1"/>
                  <w:u w:val="single" w:color="auto"/>
                  <w:color w:val="0000EE"/>
                </w:rPr>
                <w:t>Item 2. Management’s Discussion and Analysis of Financial Condition and Results of Operations</w:t>
              </w:r>
            </w:hyperlink>
          </w:p>
        </w:tc>
        <w:tc>
          <w:tcPr>
            <w:tcW w:w="2080" w:type="dxa"/>
            <w:vAlign w:val="bottom"/>
          </w:tcPr>
          <w:p>
            <w:pPr>
              <w:jc w:val="right"/>
              <w:spacing w:after="0"/>
              <w:rPr>
                <w:sz w:val="20"/>
                <w:szCs w:val="20"/>
                <w:color w:val="auto"/>
              </w:rPr>
            </w:pPr>
            <w:r>
              <w:rPr>
                <w:rFonts w:ascii="Arial" w:cs="Arial" w:eastAsia="Arial" w:hAnsi="Arial"/>
                <w:sz w:val="14"/>
                <w:szCs w:val="14"/>
                <w:color w:val="auto"/>
              </w:rPr>
              <w:t>29</w:t>
            </w:r>
          </w:p>
        </w:tc>
      </w:tr>
      <w:tr>
        <w:trPr>
          <w:trHeight w:val="297"/>
        </w:trPr>
        <w:tc>
          <w:tcPr>
            <w:tcW w:w="9160" w:type="dxa"/>
            <w:vAlign w:val="bottom"/>
          </w:tcPr>
          <w:p>
            <w:pPr>
              <w:ind w:left="20"/>
              <w:spacing w:after="0"/>
              <w:rPr>
                <w:rFonts w:ascii="Arial" w:cs="Arial" w:eastAsia="Arial" w:hAnsi="Arial"/>
                <w:sz w:val="14"/>
                <w:szCs w:val="14"/>
                <w:b w:val="1"/>
                <w:bCs w:val="1"/>
                <w:u w:val="single" w:color="auto"/>
                <w:color w:val="0000EE"/>
              </w:rPr>
            </w:pPr>
            <w:hyperlink w:anchor="page40">
              <w:r>
                <w:rPr>
                  <w:rFonts w:ascii="Arial" w:cs="Arial" w:eastAsia="Arial" w:hAnsi="Arial"/>
                  <w:sz w:val="14"/>
                  <w:szCs w:val="14"/>
                  <w:b w:val="1"/>
                  <w:bCs w:val="1"/>
                  <w:u w:val="single" w:color="auto"/>
                  <w:color w:val="0000EE"/>
                </w:rPr>
                <w:t>Item 3. Quantitative and Qualitative Disclosures About Market Risk</w:t>
              </w:r>
            </w:hyperlink>
          </w:p>
        </w:tc>
        <w:tc>
          <w:tcPr>
            <w:tcW w:w="2080" w:type="dxa"/>
            <w:vAlign w:val="bottom"/>
          </w:tcPr>
          <w:p>
            <w:pPr>
              <w:jc w:val="right"/>
              <w:spacing w:after="0"/>
              <w:rPr>
                <w:sz w:val="20"/>
                <w:szCs w:val="20"/>
                <w:color w:val="auto"/>
              </w:rPr>
            </w:pPr>
            <w:r>
              <w:rPr>
                <w:rFonts w:ascii="Arial" w:cs="Arial" w:eastAsia="Arial" w:hAnsi="Arial"/>
                <w:sz w:val="14"/>
                <w:szCs w:val="14"/>
                <w:color w:val="auto"/>
              </w:rPr>
              <w:t>40</w:t>
            </w:r>
          </w:p>
        </w:tc>
      </w:tr>
      <w:tr>
        <w:trPr>
          <w:trHeight w:val="297"/>
        </w:trPr>
        <w:tc>
          <w:tcPr>
            <w:tcW w:w="9160" w:type="dxa"/>
            <w:vAlign w:val="bottom"/>
          </w:tcPr>
          <w:p>
            <w:pPr>
              <w:ind w:left="20"/>
              <w:spacing w:after="0"/>
              <w:rPr>
                <w:rFonts w:ascii="Arial" w:cs="Arial" w:eastAsia="Arial" w:hAnsi="Arial"/>
                <w:sz w:val="14"/>
                <w:szCs w:val="14"/>
                <w:b w:val="1"/>
                <w:bCs w:val="1"/>
                <w:u w:val="single" w:color="auto"/>
                <w:color w:val="0000EE"/>
              </w:rPr>
            </w:pPr>
            <w:hyperlink w:anchor="page40">
              <w:r>
                <w:rPr>
                  <w:rFonts w:ascii="Arial" w:cs="Arial" w:eastAsia="Arial" w:hAnsi="Arial"/>
                  <w:sz w:val="14"/>
                  <w:szCs w:val="14"/>
                  <w:b w:val="1"/>
                  <w:bCs w:val="1"/>
                  <w:u w:val="single" w:color="auto"/>
                  <w:color w:val="0000EE"/>
                </w:rPr>
                <w:t>Item 4. Controls and Procedures</w:t>
              </w:r>
            </w:hyperlink>
          </w:p>
        </w:tc>
        <w:tc>
          <w:tcPr>
            <w:tcW w:w="2080" w:type="dxa"/>
            <w:vAlign w:val="bottom"/>
          </w:tcPr>
          <w:p>
            <w:pPr>
              <w:jc w:val="right"/>
              <w:spacing w:after="0"/>
              <w:rPr>
                <w:sz w:val="20"/>
                <w:szCs w:val="20"/>
                <w:color w:val="auto"/>
              </w:rPr>
            </w:pPr>
            <w:r>
              <w:rPr>
                <w:rFonts w:ascii="Arial" w:cs="Arial" w:eastAsia="Arial" w:hAnsi="Arial"/>
                <w:sz w:val="14"/>
                <w:szCs w:val="14"/>
                <w:color w:val="auto"/>
              </w:rPr>
              <w:t>40</w:t>
            </w:r>
          </w:p>
        </w:tc>
      </w:tr>
      <w:tr>
        <w:trPr>
          <w:trHeight w:val="297"/>
        </w:trPr>
        <w:tc>
          <w:tcPr>
            <w:tcW w:w="9160" w:type="dxa"/>
            <w:vAlign w:val="bottom"/>
          </w:tcPr>
          <w:p>
            <w:pPr>
              <w:ind w:left="4320"/>
              <w:spacing w:after="0"/>
              <w:rPr>
                <w:rFonts w:ascii="Arial" w:cs="Arial" w:eastAsia="Arial" w:hAnsi="Arial"/>
                <w:sz w:val="14"/>
                <w:szCs w:val="14"/>
                <w:b w:val="1"/>
                <w:bCs w:val="1"/>
                <w:u w:val="single" w:color="auto"/>
                <w:color w:val="0000EE"/>
              </w:rPr>
            </w:pPr>
            <w:hyperlink w:anchor="page41">
              <w:r>
                <w:rPr>
                  <w:rFonts w:ascii="Arial" w:cs="Arial" w:eastAsia="Arial" w:hAnsi="Arial"/>
                  <w:sz w:val="14"/>
                  <w:szCs w:val="14"/>
                  <w:b w:val="1"/>
                  <w:bCs w:val="1"/>
                  <w:u w:val="single" w:color="auto"/>
                  <w:color w:val="0000EE"/>
                </w:rPr>
                <w:t>PART II. OTHER INFORMATION</w:t>
              </w:r>
            </w:hyperlink>
          </w:p>
        </w:tc>
        <w:tc>
          <w:tcPr>
            <w:tcW w:w="2080" w:type="dxa"/>
            <w:vAlign w:val="bottom"/>
          </w:tcPr>
          <w:p>
            <w:pPr>
              <w:spacing w:after="0"/>
              <w:rPr>
                <w:sz w:val="24"/>
                <w:szCs w:val="24"/>
                <w:color w:val="auto"/>
              </w:rPr>
            </w:pPr>
          </w:p>
        </w:tc>
      </w:tr>
      <w:tr>
        <w:trPr>
          <w:trHeight w:val="297"/>
        </w:trPr>
        <w:tc>
          <w:tcPr>
            <w:tcW w:w="9160" w:type="dxa"/>
            <w:vAlign w:val="bottom"/>
          </w:tcPr>
          <w:p>
            <w:pPr>
              <w:ind w:left="20"/>
              <w:spacing w:after="0"/>
              <w:rPr>
                <w:rFonts w:ascii="Arial" w:cs="Arial" w:eastAsia="Arial" w:hAnsi="Arial"/>
                <w:sz w:val="14"/>
                <w:szCs w:val="14"/>
                <w:b w:val="1"/>
                <w:bCs w:val="1"/>
                <w:u w:val="single" w:color="auto"/>
                <w:color w:val="0000EE"/>
              </w:rPr>
            </w:pPr>
            <w:hyperlink w:anchor="page41">
              <w:r>
                <w:rPr>
                  <w:rFonts w:ascii="Arial" w:cs="Arial" w:eastAsia="Arial" w:hAnsi="Arial"/>
                  <w:sz w:val="14"/>
                  <w:szCs w:val="14"/>
                  <w:b w:val="1"/>
                  <w:bCs w:val="1"/>
                  <w:u w:val="single" w:color="auto"/>
                  <w:color w:val="0000EE"/>
                </w:rPr>
                <w:t>Item 1. Legal Proceedings</w:t>
              </w:r>
            </w:hyperlink>
          </w:p>
        </w:tc>
        <w:tc>
          <w:tcPr>
            <w:tcW w:w="2080" w:type="dxa"/>
            <w:vAlign w:val="bottom"/>
          </w:tcPr>
          <w:p>
            <w:pPr>
              <w:jc w:val="right"/>
              <w:spacing w:after="0"/>
              <w:rPr>
                <w:sz w:val="20"/>
                <w:szCs w:val="20"/>
                <w:color w:val="auto"/>
              </w:rPr>
            </w:pPr>
            <w:r>
              <w:rPr>
                <w:rFonts w:ascii="Arial" w:cs="Arial" w:eastAsia="Arial" w:hAnsi="Arial"/>
                <w:sz w:val="14"/>
                <w:szCs w:val="14"/>
                <w:color w:val="auto"/>
              </w:rPr>
              <w:t>41</w:t>
            </w:r>
          </w:p>
        </w:tc>
      </w:tr>
      <w:tr>
        <w:trPr>
          <w:trHeight w:val="297"/>
        </w:trPr>
        <w:tc>
          <w:tcPr>
            <w:tcW w:w="9160" w:type="dxa"/>
            <w:vAlign w:val="bottom"/>
          </w:tcPr>
          <w:p>
            <w:pPr>
              <w:ind w:left="20"/>
              <w:spacing w:after="0"/>
              <w:rPr>
                <w:rFonts w:ascii="Arial" w:cs="Arial" w:eastAsia="Arial" w:hAnsi="Arial"/>
                <w:sz w:val="14"/>
                <w:szCs w:val="14"/>
                <w:b w:val="1"/>
                <w:bCs w:val="1"/>
                <w:u w:val="single" w:color="auto"/>
                <w:color w:val="0000EE"/>
              </w:rPr>
            </w:pPr>
            <w:hyperlink w:anchor="page41">
              <w:r>
                <w:rPr>
                  <w:rFonts w:ascii="Arial" w:cs="Arial" w:eastAsia="Arial" w:hAnsi="Arial"/>
                  <w:sz w:val="14"/>
                  <w:szCs w:val="14"/>
                  <w:b w:val="1"/>
                  <w:bCs w:val="1"/>
                  <w:u w:val="single" w:color="auto"/>
                  <w:color w:val="0000EE"/>
                </w:rPr>
                <w:t>Item 1A. Risk Factors</w:t>
              </w:r>
            </w:hyperlink>
          </w:p>
        </w:tc>
        <w:tc>
          <w:tcPr>
            <w:tcW w:w="2080" w:type="dxa"/>
            <w:vAlign w:val="bottom"/>
          </w:tcPr>
          <w:p>
            <w:pPr>
              <w:jc w:val="right"/>
              <w:spacing w:after="0"/>
              <w:rPr>
                <w:sz w:val="20"/>
                <w:szCs w:val="20"/>
                <w:color w:val="auto"/>
              </w:rPr>
            </w:pPr>
            <w:r>
              <w:rPr>
                <w:rFonts w:ascii="Arial" w:cs="Arial" w:eastAsia="Arial" w:hAnsi="Arial"/>
                <w:sz w:val="14"/>
                <w:szCs w:val="14"/>
                <w:color w:val="auto"/>
              </w:rPr>
              <w:t>41</w:t>
            </w:r>
          </w:p>
        </w:tc>
      </w:tr>
      <w:tr>
        <w:trPr>
          <w:trHeight w:val="297"/>
        </w:trPr>
        <w:tc>
          <w:tcPr>
            <w:tcW w:w="9160" w:type="dxa"/>
            <w:vAlign w:val="bottom"/>
          </w:tcPr>
          <w:p>
            <w:pPr>
              <w:ind w:left="20"/>
              <w:spacing w:after="0"/>
              <w:rPr>
                <w:rFonts w:ascii="Arial" w:cs="Arial" w:eastAsia="Arial" w:hAnsi="Arial"/>
                <w:sz w:val="14"/>
                <w:szCs w:val="14"/>
                <w:b w:val="1"/>
                <w:bCs w:val="1"/>
                <w:u w:val="single" w:color="auto"/>
                <w:color w:val="0000EE"/>
              </w:rPr>
            </w:pPr>
            <w:hyperlink w:anchor="page41">
              <w:r>
                <w:rPr>
                  <w:rFonts w:ascii="Arial" w:cs="Arial" w:eastAsia="Arial" w:hAnsi="Arial"/>
                  <w:sz w:val="14"/>
                  <w:szCs w:val="14"/>
                  <w:b w:val="1"/>
                  <w:bCs w:val="1"/>
                  <w:u w:val="single" w:color="auto"/>
                  <w:color w:val="0000EE"/>
                </w:rPr>
                <w:t>Item 2. Unregistered Sales of Equity Securities and Use of Proceeds</w:t>
              </w:r>
            </w:hyperlink>
          </w:p>
        </w:tc>
        <w:tc>
          <w:tcPr>
            <w:tcW w:w="2080" w:type="dxa"/>
            <w:vAlign w:val="bottom"/>
          </w:tcPr>
          <w:p>
            <w:pPr>
              <w:jc w:val="right"/>
              <w:spacing w:after="0"/>
              <w:rPr>
                <w:sz w:val="20"/>
                <w:szCs w:val="20"/>
                <w:color w:val="auto"/>
              </w:rPr>
            </w:pPr>
            <w:r>
              <w:rPr>
                <w:rFonts w:ascii="Arial" w:cs="Arial" w:eastAsia="Arial" w:hAnsi="Arial"/>
                <w:sz w:val="14"/>
                <w:szCs w:val="14"/>
                <w:color w:val="auto"/>
              </w:rPr>
              <w:t>41</w:t>
            </w:r>
          </w:p>
        </w:tc>
      </w:tr>
      <w:tr>
        <w:trPr>
          <w:trHeight w:val="297"/>
        </w:trPr>
        <w:tc>
          <w:tcPr>
            <w:tcW w:w="9160" w:type="dxa"/>
            <w:vAlign w:val="bottom"/>
          </w:tcPr>
          <w:p>
            <w:pPr>
              <w:ind w:left="20"/>
              <w:spacing w:after="0"/>
              <w:rPr>
                <w:rFonts w:ascii="Arial" w:cs="Arial" w:eastAsia="Arial" w:hAnsi="Arial"/>
                <w:sz w:val="14"/>
                <w:szCs w:val="14"/>
                <w:b w:val="1"/>
                <w:bCs w:val="1"/>
                <w:u w:val="single" w:color="auto"/>
                <w:color w:val="0000EE"/>
              </w:rPr>
            </w:pPr>
            <w:hyperlink w:anchor="page41">
              <w:r>
                <w:rPr>
                  <w:rFonts w:ascii="Arial" w:cs="Arial" w:eastAsia="Arial" w:hAnsi="Arial"/>
                  <w:sz w:val="14"/>
                  <w:szCs w:val="14"/>
                  <w:b w:val="1"/>
                  <w:bCs w:val="1"/>
                  <w:u w:val="single" w:color="auto"/>
                  <w:color w:val="0000EE"/>
                </w:rPr>
                <w:t>Item 3. Defaults Upon Senior Securities</w:t>
              </w:r>
            </w:hyperlink>
          </w:p>
        </w:tc>
        <w:tc>
          <w:tcPr>
            <w:tcW w:w="2080" w:type="dxa"/>
            <w:vAlign w:val="bottom"/>
          </w:tcPr>
          <w:p>
            <w:pPr>
              <w:jc w:val="right"/>
              <w:spacing w:after="0"/>
              <w:rPr>
                <w:sz w:val="20"/>
                <w:szCs w:val="20"/>
                <w:color w:val="auto"/>
              </w:rPr>
            </w:pPr>
            <w:r>
              <w:rPr>
                <w:rFonts w:ascii="Arial" w:cs="Arial" w:eastAsia="Arial" w:hAnsi="Arial"/>
                <w:sz w:val="14"/>
                <w:szCs w:val="14"/>
                <w:color w:val="auto"/>
              </w:rPr>
              <w:t>41</w:t>
            </w:r>
          </w:p>
        </w:tc>
      </w:tr>
      <w:tr>
        <w:trPr>
          <w:trHeight w:val="297"/>
        </w:trPr>
        <w:tc>
          <w:tcPr>
            <w:tcW w:w="9160" w:type="dxa"/>
            <w:vAlign w:val="bottom"/>
          </w:tcPr>
          <w:p>
            <w:pPr>
              <w:ind w:left="20"/>
              <w:spacing w:after="0"/>
              <w:rPr>
                <w:rFonts w:ascii="Arial" w:cs="Arial" w:eastAsia="Arial" w:hAnsi="Arial"/>
                <w:sz w:val="14"/>
                <w:szCs w:val="14"/>
                <w:b w:val="1"/>
                <w:bCs w:val="1"/>
                <w:u w:val="single" w:color="auto"/>
                <w:color w:val="0000EE"/>
              </w:rPr>
            </w:pPr>
            <w:hyperlink w:anchor="page41">
              <w:r>
                <w:rPr>
                  <w:rFonts w:ascii="Arial" w:cs="Arial" w:eastAsia="Arial" w:hAnsi="Arial"/>
                  <w:sz w:val="14"/>
                  <w:szCs w:val="14"/>
                  <w:b w:val="1"/>
                  <w:bCs w:val="1"/>
                  <w:u w:val="single" w:color="auto"/>
                  <w:color w:val="0000EE"/>
                </w:rPr>
                <w:t>Item 4. Mine Safety Disclosures</w:t>
              </w:r>
            </w:hyperlink>
          </w:p>
        </w:tc>
        <w:tc>
          <w:tcPr>
            <w:tcW w:w="2080" w:type="dxa"/>
            <w:vAlign w:val="bottom"/>
          </w:tcPr>
          <w:p>
            <w:pPr>
              <w:jc w:val="right"/>
              <w:spacing w:after="0"/>
              <w:rPr>
                <w:sz w:val="20"/>
                <w:szCs w:val="20"/>
                <w:color w:val="auto"/>
              </w:rPr>
            </w:pPr>
            <w:r>
              <w:rPr>
                <w:rFonts w:ascii="Arial" w:cs="Arial" w:eastAsia="Arial" w:hAnsi="Arial"/>
                <w:sz w:val="14"/>
                <w:szCs w:val="14"/>
                <w:color w:val="auto"/>
              </w:rPr>
              <w:t>41</w:t>
            </w:r>
          </w:p>
        </w:tc>
      </w:tr>
      <w:tr>
        <w:trPr>
          <w:trHeight w:val="297"/>
        </w:trPr>
        <w:tc>
          <w:tcPr>
            <w:tcW w:w="9160" w:type="dxa"/>
            <w:vAlign w:val="bottom"/>
          </w:tcPr>
          <w:p>
            <w:pPr>
              <w:ind w:left="20"/>
              <w:spacing w:after="0"/>
              <w:rPr>
                <w:rFonts w:ascii="Arial" w:cs="Arial" w:eastAsia="Arial" w:hAnsi="Arial"/>
                <w:sz w:val="14"/>
                <w:szCs w:val="14"/>
                <w:b w:val="1"/>
                <w:bCs w:val="1"/>
                <w:u w:val="single" w:color="auto"/>
                <w:color w:val="0000EE"/>
              </w:rPr>
            </w:pPr>
            <w:hyperlink w:anchor="page41">
              <w:r>
                <w:rPr>
                  <w:rFonts w:ascii="Arial" w:cs="Arial" w:eastAsia="Arial" w:hAnsi="Arial"/>
                  <w:sz w:val="14"/>
                  <w:szCs w:val="14"/>
                  <w:b w:val="1"/>
                  <w:bCs w:val="1"/>
                  <w:u w:val="single" w:color="auto"/>
                  <w:color w:val="0000EE"/>
                </w:rPr>
                <w:t>Item 5. Other Information</w:t>
              </w:r>
            </w:hyperlink>
          </w:p>
        </w:tc>
        <w:tc>
          <w:tcPr>
            <w:tcW w:w="2080" w:type="dxa"/>
            <w:vAlign w:val="bottom"/>
          </w:tcPr>
          <w:p>
            <w:pPr>
              <w:jc w:val="right"/>
              <w:spacing w:after="0"/>
              <w:rPr>
                <w:sz w:val="20"/>
                <w:szCs w:val="20"/>
                <w:color w:val="auto"/>
              </w:rPr>
            </w:pPr>
            <w:r>
              <w:rPr>
                <w:rFonts w:ascii="Arial" w:cs="Arial" w:eastAsia="Arial" w:hAnsi="Arial"/>
                <w:sz w:val="14"/>
                <w:szCs w:val="14"/>
                <w:color w:val="auto"/>
              </w:rPr>
              <w:t>41</w:t>
            </w:r>
          </w:p>
        </w:tc>
      </w:tr>
      <w:tr>
        <w:trPr>
          <w:trHeight w:val="297"/>
        </w:trPr>
        <w:tc>
          <w:tcPr>
            <w:tcW w:w="9160" w:type="dxa"/>
            <w:vAlign w:val="bottom"/>
          </w:tcPr>
          <w:p>
            <w:pPr>
              <w:ind w:left="20"/>
              <w:spacing w:after="0"/>
              <w:rPr>
                <w:rFonts w:ascii="Arial" w:cs="Arial" w:eastAsia="Arial" w:hAnsi="Arial"/>
                <w:sz w:val="14"/>
                <w:szCs w:val="14"/>
                <w:b w:val="1"/>
                <w:bCs w:val="1"/>
                <w:u w:val="single" w:color="auto"/>
                <w:color w:val="0000EE"/>
              </w:rPr>
            </w:pPr>
            <w:hyperlink w:anchor="page42">
              <w:r>
                <w:rPr>
                  <w:rFonts w:ascii="Arial" w:cs="Arial" w:eastAsia="Arial" w:hAnsi="Arial"/>
                  <w:sz w:val="14"/>
                  <w:szCs w:val="14"/>
                  <w:b w:val="1"/>
                  <w:bCs w:val="1"/>
                  <w:u w:val="single" w:color="auto"/>
                  <w:color w:val="0000EE"/>
                </w:rPr>
                <w:t>Item 6. Exhibits</w:t>
              </w:r>
            </w:hyperlink>
          </w:p>
        </w:tc>
        <w:tc>
          <w:tcPr>
            <w:tcW w:w="2080" w:type="dxa"/>
            <w:vAlign w:val="bottom"/>
          </w:tcPr>
          <w:p>
            <w:pPr>
              <w:jc w:val="right"/>
              <w:spacing w:after="0"/>
              <w:rPr>
                <w:sz w:val="20"/>
                <w:szCs w:val="20"/>
                <w:color w:val="auto"/>
              </w:rPr>
            </w:pPr>
            <w:r>
              <w:rPr>
                <w:rFonts w:ascii="Arial" w:cs="Arial" w:eastAsia="Arial" w:hAnsi="Arial"/>
                <w:sz w:val="14"/>
                <w:szCs w:val="14"/>
                <w:color w:val="auto"/>
              </w:rPr>
              <w:t>42</w:t>
            </w:r>
          </w:p>
        </w:tc>
      </w:tr>
      <w:tr>
        <w:trPr>
          <w:trHeight w:val="297"/>
        </w:trPr>
        <w:tc>
          <w:tcPr>
            <w:tcW w:w="9160" w:type="dxa"/>
            <w:vAlign w:val="bottom"/>
          </w:tcPr>
          <w:p>
            <w:pPr>
              <w:ind w:left="20"/>
              <w:spacing w:after="0"/>
              <w:rPr>
                <w:rFonts w:ascii="Arial" w:cs="Arial" w:eastAsia="Arial" w:hAnsi="Arial"/>
                <w:sz w:val="14"/>
                <w:szCs w:val="14"/>
                <w:b w:val="1"/>
                <w:bCs w:val="1"/>
                <w:u w:val="single" w:color="auto"/>
                <w:color w:val="0000EE"/>
              </w:rPr>
            </w:pPr>
            <w:hyperlink w:anchor="page43">
              <w:r>
                <w:rPr>
                  <w:rFonts w:ascii="Arial" w:cs="Arial" w:eastAsia="Arial" w:hAnsi="Arial"/>
                  <w:sz w:val="14"/>
                  <w:szCs w:val="14"/>
                  <w:b w:val="1"/>
                  <w:bCs w:val="1"/>
                  <w:u w:val="single" w:color="auto"/>
                  <w:color w:val="0000EE"/>
                </w:rPr>
                <w:t>SIGNATURES</w:t>
              </w:r>
            </w:hyperlink>
          </w:p>
        </w:tc>
        <w:tc>
          <w:tcPr>
            <w:tcW w:w="2080" w:type="dxa"/>
            <w:vAlign w:val="bottom"/>
          </w:tcPr>
          <w:p>
            <w:pPr>
              <w:jc w:val="right"/>
              <w:spacing w:after="0"/>
              <w:rPr>
                <w:sz w:val="20"/>
                <w:szCs w:val="20"/>
                <w:color w:val="auto"/>
              </w:rPr>
            </w:pPr>
            <w:r>
              <w:rPr>
                <w:rFonts w:ascii="Arial" w:cs="Arial" w:eastAsia="Arial" w:hAnsi="Arial"/>
                <w:sz w:val="14"/>
                <w:szCs w:val="14"/>
                <w:color w:val="auto"/>
              </w:rPr>
              <w:t>43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4"/>
          <w:szCs w:val="14"/>
          <w:b w:val="1"/>
          <w:bCs w:val="1"/>
          <w:color w:val="auto"/>
        </w:rPr>
        <w:t>PART I—CONSOLIDATED FINANCIAL INFORMATION</w:t>
      </w:r>
    </w:p>
    <w:p>
      <w:pPr>
        <w:spacing w:after="0" w:line="274" w:lineRule="exact"/>
        <w:rPr>
          <w:sz w:val="20"/>
          <w:szCs w:val="20"/>
          <w:color w:val="auto"/>
        </w:rPr>
      </w:pPr>
    </w:p>
    <w:p>
      <w:pPr>
        <w:spacing w:after="0" w:line="245" w:lineRule="auto"/>
        <w:rPr>
          <w:sz w:val="20"/>
          <w:szCs w:val="20"/>
          <w:color w:val="auto"/>
        </w:rPr>
      </w:pPr>
      <w:r>
        <w:rPr>
          <w:rFonts w:ascii="Arial" w:cs="Arial" w:eastAsia="Arial" w:hAnsi="Arial"/>
          <w:sz w:val="13"/>
          <w:szCs w:val="13"/>
          <w:color w:val="auto"/>
        </w:rPr>
        <w:t>We are filing this Quarterly Report on Form 10-Q, or the Report, in compliance with Rule 13a-13 promulgated by the Securities and Exchange Commission, or the SEC, under the Securities Exchange Act of 1934, as amended, or the Exchange Act. In this Report, except where the context suggests otherwise, the terms “Company,” “we,” “our” or “us” refer to PennantPark Floating Rate Capital Ltd. and its wholly-owned consolidated subsidiaries; “Funding I” refers to PennantPark Floating Rate Funding I, LLC; “Taxable Subsidiary” refers to PFLT Investment Holdings, LLC; “PSSL” refers to PennantPark Senior Secured Loan Fund I LLC, an unconsolidated joint venture; “PennantPark Investment Advisers” or “Investment Adviser” refers to PennantPark Investment Advisers, LLC; “PennantPark Investment Administration” or “Administrator” refers to PennantPark Investment Administration, LLC; “Credit Facility” refers to our multi-currency, senior secured revolving credit facility, as amended and restated; “2023 Notes” refers to our 3.83% Series A notes due 2023; “1940 Act” refers to the Investment Company Act of 1940, as amended; “Code” refers to the Internal Revenue Code of 1986, as amended; “RIC” refers to a regulated investment company under the Code; and “BDC” refers to a business development company under the 1940 Act. References to our portfolio, our investments, our Credit Facility, and our business include investments we make through our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226695</wp:posOffset>
            </wp:positionV>
            <wp:extent cx="71494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080"/>
          </w:cols>
          <w:pgMar w:left="320" w:top="118" w:right="499" w:bottom="1440" w:gutter="0" w:footer="0" w:header="0"/>
        </w:sectPr>
      </w:pPr>
    </w:p>
    <w:bookmarkStart w:id="3" w:name="page4"/>
    <w:bookmarkEnd w:id="3"/>
    <w:p>
      <w:pPr>
        <w:spacing w:after="0"/>
        <w:tabs>
          <w:tab w:leader="none" w:pos="800" w:val="left"/>
        </w:tabs>
        <w:rPr>
          <w:sz w:val="20"/>
          <w:szCs w:val="20"/>
          <w:color w:val="auto"/>
        </w:rPr>
      </w:pPr>
      <w:r>
        <w:rPr>
          <w:rFonts w:ascii="Arial" w:cs="Arial" w:eastAsia="Arial" w:hAnsi="Arial"/>
          <w:sz w:val="14"/>
          <w:szCs w:val="14"/>
          <w:b w:val="1"/>
          <w:bCs w:val="1"/>
          <w:color w:val="auto"/>
        </w:rPr>
        <w:t>Item 1.</w:t>
      </w:r>
      <w:r>
        <w:rPr>
          <w:sz w:val="20"/>
          <w:szCs w:val="20"/>
          <w:color w:val="auto"/>
        </w:rPr>
        <w:tab/>
      </w:r>
      <w:r>
        <w:rPr>
          <w:rFonts w:ascii="Arial" w:cs="Arial" w:eastAsia="Arial" w:hAnsi="Arial"/>
          <w:sz w:val="12"/>
          <w:szCs w:val="12"/>
          <w:b w:val="1"/>
          <w:bCs w:val="1"/>
          <w:color w:val="auto"/>
        </w:rPr>
        <w:t>Consolidated Financial Statements</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ASSETS AND LIABILITIES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June 30, 2018</w:t>
            </w:r>
          </w:p>
        </w:tc>
        <w:tc>
          <w:tcPr>
            <w:tcW w:w="120" w:type="dxa"/>
            <w:vAlign w:val="bottom"/>
          </w:tcPr>
          <w:p>
            <w:pPr>
              <w:spacing w:after="0"/>
              <w:rPr>
                <w:sz w:val="14"/>
                <w:szCs w:val="14"/>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4"/>
              </w:rPr>
              <w:t>September 30, 2017</w:t>
            </w:r>
          </w:p>
        </w:tc>
      </w:tr>
      <w:tr>
        <w:trPr>
          <w:trHeight w:val="171"/>
        </w:trPr>
        <w:tc>
          <w:tcPr>
            <w:tcW w:w="7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772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Assets</w:t>
            </w:r>
          </w:p>
        </w:tc>
        <w:tc>
          <w:tcPr>
            <w:tcW w:w="220" w:type="dxa"/>
            <w:vAlign w:val="bottom"/>
            <w:tcBorders>
              <w:top w:val="single" w:sz="8" w:color="auto"/>
            </w:tcBorders>
            <w:shd w:val="clear" w:color="auto" w:fill="CCECFF"/>
          </w:tcPr>
          <w:p>
            <w:pPr>
              <w:spacing w:after="0"/>
              <w:rPr>
                <w:sz w:val="13"/>
                <w:szCs w:val="13"/>
                <w:color w:val="auto"/>
              </w:rPr>
            </w:pPr>
          </w:p>
        </w:tc>
        <w:tc>
          <w:tcPr>
            <w:tcW w:w="1340" w:type="dxa"/>
            <w:vAlign w:val="bottom"/>
            <w:tcBorders>
              <w:top w:val="single" w:sz="8" w:color="auto"/>
            </w:tcBorders>
            <w:shd w:val="clear" w:color="auto" w:fill="CCECFF"/>
          </w:tcPr>
          <w:p>
            <w:pPr>
              <w:spacing w:after="0"/>
              <w:rPr>
                <w:sz w:val="13"/>
                <w:szCs w:val="13"/>
                <w:color w:val="auto"/>
              </w:rPr>
            </w:pPr>
          </w:p>
        </w:tc>
        <w:tc>
          <w:tcPr>
            <w:tcW w:w="28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auto"/>
            </w:tcBorders>
            <w:shd w:val="clear" w:color="auto" w:fill="CCECFF"/>
          </w:tcPr>
          <w:p>
            <w:pPr>
              <w:spacing w:after="0"/>
              <w:rPr>
                <w:sz w:val="13"/>
                <w:szCs w:val="13"/>
                <w:color w:val="auto"/>
              </w:rPr>
            </w:pPr>
          </w:p>
        </w:tc>
        <w:tc>
          <w:tcPr>
            <w:tcW w:w="1440" w:type="dxa"/>
            <w:vAlign w:val="bottom"/>
            <w:tcBorders>
              <w:top w:val="single" w:sz="8" w:color="auto"/>
            </w:tcBorders>
            <w:shd w:val="clear" w:color="auto" w:fill="CCECFF"/>
          </w:tcPr>
          <w:p>
            <w:pPr>
              <w:spacing w:after="0"/>
              <w:rPr>
                <w:sz w:val="13"/>
                <w:szCs w:val="13"/>
                <w:color w:val="auto"/>
              </w:rPr>
            </w:pPr>
          </w:p>
        </w:tc>
        <w:tc>
          <w:tcPr>
            <w:tcW w:w="120" w:type="dxa"/>
            <w:vAlign w:val="bottom"/>
            <w:tcBorders>
              <w:top w:val="single" w:sz="8" w:color="CCECFF"/>
            </w:tcBorders>
            <w:shd w:val="clear" w:color="auto" w:fill="CCECFF"/>
          </w:tcPr>
          <w:p>
            <w:pPr>
              <w:spacing w:after="0"/>
              <w:rPr>
                <w:sz w:val="13"/>
                <w:szCs w:val="13"/>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Investments at fair value</w:t>
            </w: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77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Non-controlled, non-affiliated investments (cost—$786,884,573 and $665,514,821, respectively)</w:t>
            </w:r>
          </w:p>
        </w:tc>
        <w:tc>
          <w:tcPr>
            <w:tcW w:w="220" w:type="dxa"/>
            <w:vAlign w:val="bottom"/>
            <w:shd w:val="clear" w:color="auto" w:fill="CCECFF"/>
          </w:tcPr>
          <w:p>
            <w:pPr>
              <w:jc w:val="right"/>
              <w:ind w:right="68"/>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787,566,315</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666,973,639</w:t>
            </w:r>
          </w:p>
        </w:tc>
        <w:tc>
          <w:tcPr>
            <w:tcW w:w="120" w:type="dxa"/>
            <w:vAlign w:val="bottom"/>
            <w:shd w:val="clear" w:color="auto" w:fill="CCECFF"/>
          </w:tcPr>
          <w:p>
            <w:pPr>
              <w:spacing w:after="0"/>
              <w:rPr>
                <w:sz w:val="14"/>
                <w:szCs w:val="14"/>
                <w:color w:val="auto"/>
              </w:rPr>
            </w:pPr>
          </w:p>
        </w:tc>
      </w:tr>
      <w:tr>
        <w:trPr>
          <w:trHeight w:val="162"/>
        </w:trPr>
        <w:tc>
          <w:tcPr>
            <w:tcW w:w="7720" w:type="dxa"/>
            <w:vAlign w:val="bottom"/>
            <w:tcBorders>
              <w:bottom w:val="single" w:sz="8" w:color="CCECFF"/>
            </w:tcBorders>
          </w:tcPr>
          <w:p>
            <w:pPr>
              <w:ind w:left="260"/>
              <w:spacing w:after="0"/>
              <w:rPr>
                <w:sz w:val="20"/>
                <w:szCs w:val="20"/>
                <w:color w:val="auto"/>
              </w:rPr>
            </w:pPr>
            <w:r>
              <w:rPr>
                <w:rFonts w:ascii="Arial" w:cs="Arial" w:eastAsia="Arial" w:hAnsi="Arial"/>
                <w:sz w:val="14"/>
                <w:szCs w:val="14"/>
                <w:color w:val="auto"/>
              </w:rPr>
              <w:t>Controlled, affiliated investments (cost—$118,125,000 and $43,000,000, respectively)</w:t>
            </w: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119,586,472</w:t>
            </w:r>
          </w:p>
        </w:tc>
        <w:tc>
          <w:tcPr>
            <w:tcW w:w="280" w:type="dxa"/>
            <w:vAlign w:val="bottom"/>
            <w:tcBorders>
              <w:bottom w:val="single" w:sz="8" w:color="CCEC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43,525,143</w:t>
            </w:r>
          </w:p>
        </w:tc>
        <w:tc>
          <w:tcPr>
            <w:tcW w:w="120" w:type="dxa"/>
            <w:vAlign w:val="bottom"/>
            <w:tcBorders>
              <w:bottom w:val="single" w:sz="8" w:color="CCECFF"/>
            </w:tcBorders>
          </w:tcPr>
          <w:p>
            <w:pPr>
              <w:spacing w:after="0"/>
              <w:rPr>
                <w:sz w:val="14"/>
                <w:szCs w:val="14"/>
                <w:color w:val="auto"/>
              </w:rPr>
            </w:pPr>
          </w:p>
        </w:tc>
      </w:tr>
      <w:tr>
        <w:trPr>
          <w:trHeight w:val="156"/>
        </w:trPr>
        <w:tc>
          <w:tcPr>
            <w:tcW w:w="7720" w:type="dxa"/>
            <w:vAlign w:val="bottom"/>
            <w:shd w:val="clear" w:color="auto" w:fill="CCECFF"/>
          </w:tcPr>
          <w:p>
            <w:pPr>
              <w:ind w:left="260"/>
              <w:spacing w:after="0" w:line="155" w:lineRule="exact"/>
              <w:rPr>
                <w:sz w:val="20"/>
                <w:szCs w:val="20"/>
                <w:color w:val="auto"/>
              </w:rPr>
            </w:pPr>
            <w:r>
              <w:rPr>
                <w:rFonts w:ascii="Arial" w:cs="Arial" w:eastAsia="Arial" w:hAnsi="Arial"/>
                <w:sz w:val="14"/>
                <w:szCs w:val="14"/>
                <w:color w:val="auto"/>
              </w:rPr>
              <w:t>Total of investments (cost—$905,009,573 and $708,514,821, respectively)</w:t>
            </w:r>
          </w:p>
        </w:tc>
        <w:tc>
          <w:tcPr>
            <w:tcW w:w="220" w:type="dxa"/>
            <w:vAlign w:val="bottom"/>
            <w:shd w:val="clear" w:color="auto" w:fill="CCECFF"/>
          </w:tcPr>
          <w:p>
            <w:pPr>
              <w:spacing w:after="0"/>
              <w:rPr>
                <w:sz w:val="13"/>
                <w:szCs w:val="13"/>
                <w:color w:val="auto"/>
              </w:rPr>
            </w:pPr>
          </w:p>
        </w:tc>
        <w:tc>
          <w:tcPr>
            <w:tcW w:w="134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907,152,787</w:t>
            </w:r>
          </w:p>
        </w:tc>
        <w:tc>
          <w:tcPr>
            <w:tcW w:w="28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44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710,498,782</w:t>
            </w:r>
          </w:p>
        </w:tc>
        <w:tc>
          <w:tcPr>
            <w:tcW w:w="120" w:type="dxa"/>
            <w:vAlign w:val="bottom"/>
            <w:shd w:val="clear" w:color="auto" w:fill="CCECFF"/>
          </w:tcPr>
          <w:p>
            <w:pPr>
              <w:spacing w:after="0"/>
              <w:rPr>
                <w:sz w:val="13"/>
                <w:szCs w:val="13"/>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Cash and cash equivalents (cost—$31,303,697 and $18,847,673, respectively)</w:t>
            </w:r>
          </w:p>
        </w:tc>
        <w:tc>
          <w:tcPr>
            <w:tcW w:w="2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31,178,070</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18,910,756</w:t>
            </w:r>
          </w:p>
        </w:tc>
        <w:tc>
          <w:tcPr>
            <w:tcW w:w="120" w:type="dxa"/>
            <w:vAlign w:val="bottom"/>
          </w:tcPr>
          <w:p>
            <w:pPr>
              <w:spacing w:after="0"/>
              <w:rPr>
                <w:sz w:val="14"/>
                <w:szCs w:val="14"/>
                <w:color w:val="auto"/>
              </w:rPr>
            </w:pPr>
          </w:p>
        </w:tc>
      </w:tr>
      <w:tr>
        <w:trPr>
          <w:trHeight w:val="162"/>
        </w:trPr>
        <w:tc>
          <w:tcPr>
            <w:tcW w:w="7720" w:type="dxa"/>
            <w:vAlign w:val="bottom"/>
            <w:shd w:val="clear" w:color="auto" w:fill="CCECFF"/>
          </w:tcPr>
          <w:p>
            <w:pPr>
              <w:spacing w:after="0"/>
              <w:rPr>
                <w:sz w:val="20"/>
                <w:szCs w:val="20"/>
                <w:color w:val="auto"/>
              </w:rPr>
            </w:pPr>
            <w:r>
              <w:rPr>
                <w:rFonts w:ascii="Arial" w:cs="Arial" w:eastAsia="Arial" w:hAnsi="Arial"/>
                <w:sz w:val="14"/>
                <w:szCs w:val="14"/>
                <w:color w:val="auto"/>
              </w:rPr>
              <w:t>Interest receivable</w:t>
            </w:r>
          </w:p>
        </w:tc>
        <w:tc>
          <w:tcPr>
            <w:tcW w:w="220" w:type="dxa"/>
            <w:vAlign w:val="bottom"/>
            <w:shd w:val="clear" w:color="auto" w:fill="CCECFF"/>
          </w:tcPr>
          <w:p>
            <w:pPr>
              <w:spacing w:after="0"/>
              <w:rPr>
                <w:sz w:val="14"/>
                <w:szCs w:val="14"/>
                <w:color w:val="auto"/>
              </w:rPr>
            </w:pPr>
          </w:p>
        </w:tc>
        <w:tc>
          <w:tcPr>
            <w:tcW w:w="13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2,846,350</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2,520,506</w:t>
            </w:r>
          </w:p>
        </w:tc>
        <w:tc>
          <w:tcPr>
            <w:tcW w:w="120" w:type="dxa"/>
            <w:vAlign w:val="bottom"/>
            <w:shd w:val="clear" w:color="auto" w:fill="CCECFF"/>
          </w:tcPr>
          <w:p>
            <w:pPr>
              <w:spacing w:after="0"/>
              <w:rPr>
                <w:sz w:val="14"/>
                <w:szCs w:val="14"/>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Receivable for investments sold</w:t>
            </w:r>
          </w:p>
        </w:tc>
        <w:tc>
          <w:tcPr>
            <w:tcW w:w="220" w:type="dxa"/>
            <w:vAlign w:val="bottom"/>
          </w:tcPr>
          <w:p>
            <w:pPr>
              <w:spacing w:after="0"/>
              <w:rPr>
                <w:sz w:val="14"/>
                <w:szCs w:val="14"/>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14,185,850</w:t>
            </w:r>
          </w:p>
        </w:tc>
        <w:tc>
          <w:tcPr>
            <w:tcW w:w="120" w:type="dxa"/>
            <w:vAlign w:val="bottom"/>
          </w:tcPr>
          <w:p>
            <w:pPr>
              <w:spacing w:after="0"/>
              <w:rPr>
                <w:sz w:val="14"/>
                <w:szCs w:val="14"/>
                <w:color w:val="auto"/>
              </w:rPr>
            </w:pPr>
          </w:p>
        </w:tc>
      </w:tr>
      <w:tr>
        <w:trPr>
          <w:trHeight w:val="162"/>
        </w:trPr>
        <w:tc>
          <w:tcPr>
            <w:tcW w:w="7720" w:type="dxa"/>
            <w:vAlign w:val="bottom"/>
            <w:shd w:val="clear" w:color="auto" w:fill="CCECFF"/>
          </w:tcPr>
          <w:p>
            <w:pPr>
              <w:spacing w:after="0"/>
              <w:rPr>
                <w:sz w:val="20"/>
                <w:szCs w:val="20"/>
                <w:color w:val="auto"/>
              </w:rPr>
            </w:pPr>
            <w:r>
              <w:rPr>
                <w:rFonts w:ascii="Arial" w:cs="Arial" w:eastAsia="Arial" w:hAnsi="Arial"/>
                <w:sz w:val="14"/>
                <w:szCs w:val="14"/>
                <w:color w:val="auto"/>
              </w:rPr>
              <w:t>Prepaid expenses and other assets</w:t>
            </w:r>
          </w:p>
        </w:tc>
        <w:tc>
          <w:tcPr>
            <w:tcW w:w="220" w:type="dxa"/>
            <w:vAlign w:val="bottom"/>
            <w:tcBorders>
              <w:bottom w:val="single" w:sz="8" w:color="auto"/>
            </w:tcBorders>
            <w:shd w:val="clear" w:color="auto" w:fill="CCECFF"/>
          </w:tcPr>
          <w:p>
            <w:pPr>
              <w:spacing w:after="0"/>
              <w:rPr>
                <w:sz w:val="14"/>
                <w:szCs w:val="14"/>
                <w:color w:val="auto"/>
              </w:rPr>
            </w:pPr>
          </w:p>
        </w:tc>
        <w:tc>
          <w:tcPr>
            <w:tcW w:w="13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704,720</w:t>
            </w:r>
          </w:p>
        </w:tc>
        <w:tc>
          <w:tcPr>
            <w:tcW w:w="280" w:type="dxa"/>
            <w:vAlign w:val="bottom"/>
            <w:shd w:val="clear" w:color="auto" w:fill="CCECFF"/>
          </w:tcPr>
          <w:p>
            <w:pPr>
              <w:spacing w:after="0"/>
              <w:rPr>
                <w:sz w:val="14"/>
                <w:szCs w:val="14"/>
                <w:color w:val="auto"/>
              </w:rPr>
            </w:pPr>
          </w:p>
        </w:tc>
        <w:tc>
          <w:tcPr>
            <w:tcW w:w="120" w:type="dxa"/>
            <w:vAlign w:val="bottom"/>
            <w:tcBorders>
              <w:bottom w:val="single" w:sz="8" w:color="auto"/>
            </w:tcBorders>
            <w:shd w:val="clear" w:color="auto" w:fill="CCECFF"/>
          </w:tcPr>
          <w:p>
            <w:pPr>
              <w:spacing w:after="0"/>
              <w:rPr>
                <w:sz w:val="14"/>
                <w:szCs w:val="14"/>
                <w:color w:val="auto"/>
              </w:rPr>
            </w:pPr>
          </w:p>
        </w:tc>
        <w:tc>
          <w:tcPr>
            <w:tcW w:w="14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1,229,505</w:t>
            </w:r>
          </w:p>
        </w:tc>
        <w:tc>
          <w:tcPr>
            <w:tcW w:w="120" w:type="dxa"/>
            <w:vAlign w:val="bottom"/>
            <w:shd w:val="clear" w:color="auto" w:fill="CCECFF"/>
          </w:tcPr>
          <w:p>
            <w:pPr>
              <w:spacing w:after="0"/>
              <w:rPr>
                <w:sz w:val="14"/>
                <w:szCs w:val="14"/>
                <w:color w:val="auto"/>
              </w:rPr>
            </w:pPr>
          </w:p>
        </w:tc>
      </w:tr>
      <w:tr>
        <w:trPr>
          <w:trHeight w:val="156"/>
        </w:trPr>
        <w:tc>
          <w:tcPr>
            <w:tcW w:w="7720" w:type="dxa"/>
            <w:vAlign w:val="bottom"/>
            <w:tcBorders>
              <w:bottom w:val="single" w:sz="8" w:color="CCECFF"/>
            </w:tcBorders>
          </w:tcPr>
          <w:p>
            <w:pPr>
              <w:ind w:left="740"/>
              <w:spacing w:after="0" w:line="155" w:lineRule="exact"/>
              <w:rPr>
                <w:sz w:val="20"/>
                <w:szCs w:val="20"/>
                <w:color w:val="auto"/>
              </w:rPr>
            </w:pPr>
            <w:r>
              <w:rPr>
                <w:rFonts w:ascii="Arial" w:cs="Arial" w:eastAsia="Arial" w:hAnsi="Arial"/>
                <w:sz w:val="14"/>
                <w:szCs w:val="14"/>
                <w:b w:val="1"/>
                <w:bCs w:val="1"/>
                <w:color w:val="auto"/>
              </w:rPr>
              <w:t>Total assets</w:t>
            </w:r>
          </w:p>
        </w:tc>
        <w:tc>
          <w:tcPr>
            <w:tcW w:w="2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941,881,927</w:t>
            </w:r>
          </w:p>
        </w:tc>
        <w:tc>
          <w:tcPr>
            <w:tcW w:w="280" w:type="dxa"/>
            <w:vAlign w:val="bottom"/>
            <w:tcBorders>
              <w:bottom w:val="single" w:sz="8" w:color="CCEC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747,345,399</w:t>
            </w:r>
          </w:p>
        </w:tc>
        <w:tc>
          <w:tcPr>
            <w:tcW w:w="120" w:type="dxa"/>
            <w:vAlign w:val="bottom"/>
            <w:tcBorders>
              <w:bottom w:val="single" w:sz="8" w:color="CCECFF"/>
            </w:tcBorders>
          </w:tcPr>
          <w:p>
            <w:pPr>
              <w:spacing w:after="0"/>
              <w:rPr>
                <w:sz w:val="13"/>
                <w:szCs w:val="13"/>
                <w:color w:val="auto"/>
              </w:rPr>
            </w:pPr>
          </w:p>
        </w:tc>
      </w:tr>
      <w:tr>
        <w:trPr>
          <w:trHeight w:val="155"/>
        </w:trPr>
        <w:tc>
          <w:tcPr>
            <w:tcW w:w="772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Liabilities</w:t>
            </w:r>
          </w:p>
        </w:tc>
        <w:tc>
          <w:tcPr>
            <w:tcW w:w="220" w:type="dxa"/>
            <w:vAlign w:val="bottom"/>
            <w:shd w:val="clear" w:color="auto" w:fill="CCECFF"/>
          </w:tcPr>
          <w:p>
            <w:pPr>
              <w:spacing w:after="0"/>
              <w:rPr>
                <w:sz w:val="13"/>
                <w:szCs w:val="13"/>
                <w:color w:val="auto"/>
              </w:rPr>
            </w:pPr>
          </w:p>
        </w:tc>
        <w:tc>
          <w:tcPr>
            <w:tcW w:w="134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44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Distributions payable</w:t>
            </w:r>
          </w:p>
        </w:tc>
        <w:tc>
          <w:tcPr>
            <w:tcW w:w="2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3,683,347</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3,085,607</w:t>
            </w:r>
          </w:p>
        </w:tc>
        <w:tc>
          <w:tcPr>
            <w:tcW w:w="120" w:type="dxa"/>
            <w:vAlign w:val="bottom"/>
          </w:tcPr>
          <w:p>
            <w:pPr>
              <w:spacing w:after="0"/>
              <w:rPr>
                <w:sz w:val="14"/>
                <w:szCs w:val="14"/>
                <w:color w:val="auto"/>
              </w:rPr>
            </w:pPr>
          </w:p>
        </w:tc>
      </w:tr>
      <w:tr>
        <w:trPr>
          <w:trHeight w:val="162"/>
        </w:trPr>
        <w:tc>
          <w:tcPr>
            <w:tcW w:w="7720" w:type="dxa"/>
            <w:vAlign w:val="bottom"/>
            <w:shd w:val="clear" w:color="auto" w:fill="CCECFF"/>
          </w:tcPr>
          <w:p>
            <w:pPr>
              <w:spacing w:after="0"/>
              <w:rPr>
                <w:sz w:val="20"/>
                <w:szCs w:val="20"/>
                <w:color w:val="auto"/>
              </w:rPr>
            </w:pPr>
            <w:r>
              <w:rPr>
                <w:rFonts w:ascii="Arial" w:cs="Arial" w:eastAsia="Arial" w:hAnsi="Arial"/>
                <w:sz w:val="14"/>
                <w:szCs w:val="14"/>
                <w:color w:val="auto"/>
              </w:rPr>
              <w:t>Payable for investments purchased</w:t>
            </w:r>
          </w:p>
        </w:tc>
        <w:tc>
          <w:tcPr>
            <w:tcW w:w="220" w:type="dxa"/>
            <w:vAlign w:val="bottom"/>
            <w:shd w:val="clear" w:color="auto" w:fill="CCECFF"/>
          </w:tcPr>
          <w:p>
            <w:pPr>
              <w:spacing w:after="0"/>
              <w:rPr>
                <w:sz w:val="14"/>
                <w:szCs w:val="14"/>
                <w:color w:val="auto"/>
              </w:rPr>
            </w:pPr>
          </w:p>
        </w:tc>
        <w:tc>
          <w:tcPr>
            <w:tcW w:w="13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4,430,012</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21,730,512</w:t>
            </w:r>
          </w:p>
        </w:tc>
        <w:tc>
          <w:tcPr>
            <w:tcW w:w="120" w:type="dxa"/>
            <w:vAlign w:val="bottom"/>
            <w:shd w:val="clear" w:color="auto" w:fill="CCECFF"/>
          </w:tcPr>
          <w:p>
            <w:pPr>
              <w:spacing w:after="0"/>
              <w:rPr>
                <w:sz w:val="14"/>
                <w:szCs w:val="14"/>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Credit Facility payable (cost—$255,673,311 and $253,783,301, respectively) (See Notes 5 and 10)</w:t>
            </w:r>
          </w:p>
        </w:tc>
        <w:tc>
          <w:tcPr>
            <w:tcW w:w="2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255,862,159</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256,858,457</w:t>
            </w:r>
          </w:p>
        </w:tc>
        <w:tc>
          <w:tcPr>
            <w:tcW w:w="120" w:type="dxa"/>
            <w:vAlign w:val="bottom"/>
          </w:tcPr>
          <w:p>
            <w:pPr>
              <w:spacing w:after="0"/>
              <w:rPr>
                <w:sz w:val="14"/>
                <w:szCs w:val="14"/>
                <w:color w:val="auto"/>
              </w:rPr>
            </w:pPr>
          </w:p>
        </w:tc>
      </w:tr>
      <w:tr>
        <w:trPr>
          <w:trHeight w:val="162"/>
        </w:trPr>
        <w:tc>
          <w:tcPr>
            <w:tcW w:w="7720" w:type="dxa"/>
            <w:vAlign w:val="bottom"/>
            <w:shd w:val="clear" w:color="auto" w:fill="CCECFF"/>
          </w:tcPr>
          <w:p>
            <w:pPr>
              <w:spacing w:after="0"/>
              <w:rPr>
                <w:sz w:val="20"/>
                <w:szCs w:val="20"/>
                <w:color w:val="auto"/>
              </w:rPr>
            </w:pPr>
            <w:r>
              <w:rPr>
                <w:rFonts w:ascii="Arial" w:cs="Arial" w:eastAsia="Arial" w:hAnsi="Arial"/>
                <w:sz w:val="14"/>
                <w:szCs w:val="14"/>
                <w:color w:val="auto"/>
              </w:rPr>
              <w:t>2023 Notes payable (cost—$138,579,858 and zero, respectively) (See Notes 5 and 10)</w:t>
            </w:r>
          </w:p>
        </w:tc>
        <w:tc>
          <w:tcPr>
            <w:tcW w:w="220" w:type="dxa"/>
            <w:vAlign w:val="bottom"/>
            <w:shd w:val="clear" w:color="auto" w:fill="CCECFF"/>
          </w:tcPr>
          <w:p>
            <w:pPr>
              <w:spacing w:after="0"/>
              <w:rPr>
                <w:sz w:val="14"/>
                <w:szCs w:val="14"/>
                <w:color w:val="auto"/>
              </w:rPr>
            </w:pPr>
          </w:p>
        </w:tc>
        <w:tc>
          <w:tcPr>
            <w:tcW w:w="13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134,921,350</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56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Interest payable on debt</w:t>
            </w:r>
          </w:p>
        </w:tc>
        <w:tc>
          <w:tcPr>
            <w:tcW w:w="2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1,152,999</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693,787</w:t>
            </w:r>
          </w:p>
        </w:tc>
        <w:tc>
          <w:tcPr>
            <w:tcW w:w="120" w:type="dxa"/>
            <w:vAlign w:val="bottom"/>
          </w:tcPr>
          <w:p>
            <w:pPr>
              <w:spacing w:after="0"/>
              <w:rPr>
                <w:sz w:val="14"/>
                <w:szCs w:val="14"/>
                <w:color w:val="auto"/>
              </w:rPr>
            </w:pPr>
          </w:p>
        </w:tc>
      </w:tr>
      <w:tr>
        <w:trPr>
          <w:trHeight w:val="162"/>
        </w:trPr>
        <w:tc>
          <w:tcPr>
            <w:tcW w:w="7720" w:type="dxa"/>
            <w:vAlign w:val="bottom"/>
            <w:shd w:val="clear" w:color="auto" w:fill="CCECFF"/>
          </w:tcPr>
          <w:p>
            <w:pPr>
              <w:spacing w:after="0"/>
              <w:rPr>
                <w:sz w:val="20"/>
                <w:szCs w:val="20"/>
                <w:color w:val="auto"/>
              </w:rPr>
            </w:pPr>
            <w:r>
              <w:rPr>
                <w:rFonts w:ascii="Arial" w:cs="Arial" w:eastAsia="Arial" w:hAnsi="Arial"/>
                <w:sz w:val="14"/>
                <w:szCs w:val="14"/>
                <w:color w:val="auto"/>
              </w:rPr>
              <w:t>Base management fee payable (See Note 3)</w:t>
            </w:r>
          </w:p>
        </w:tc>
        <w:tc>
          <w:tcPr>
            <w:tcW w:w="220" w:type="dxa"/>
            <w:vAlign w:val="bottom"/>
            <w:shd w:val="clear" w:color="auto" w:fill="CCECFF"/>
          </w:tcPr>
          <w:p>
            <w:pPr>
              <w:spacing w:after="0"/>
              <w:rPr>
                <w:sz w:val="14"/>
                <w:szCs w:val="14"/>
                <w:color w:val="auto"/>
              </w:rPr>
            </w:pPr>
          </w:p>
        </w:tc>
        <w:tc>
          <w:tcPr>
            <w:tcW w:w="13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2,180,258</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1,784,806</w:t>
            </w:r>
          </w:p>
        </w:tc>
        <w:tc>
          <w:tcPr>
            <w:tcW w:w="120" w:type="dxa"/>
            <w:vAlign w:val="bottom"/>
            <w:shd w:val="clear" w:color="auto" w:fill="CCECFF"/>
          </w:tcPr>
          <w:p>
            <w:pPr>
              <w:spacing w:after="0"/>
              <w:rPr>
                <w:sz w:val="14"/>
                <w:szCs w:val="14"/>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Performance-based incentive fee payable (See Note 3)</w:t>
            </w:r>
          </w:p>
        </w:tc>
        <w:tc>
          <w:tcPr>
            <w:tcW w:w="2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3,077,059</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5,061,217</w:t>
            </w:r>
          </w:p>
        </w:tc>
        <w:tc>
          <w:tcPr>
            <w:tcW w:w="120" w:type="dxa"/>
            <w:vAlign w:val="bottom"/>
          </w:tcPr>
          <w:p>
            <w:pPr>
              <w:spacing w:after="0"/>
              <w:rPr>
                <w:sz w:val="14"/>
                <w:szCs w:val="14"/>
                <w:color w:val="auto"/>
              </w:rPr>
            </w:pPr>
          </w:p>
        </w:tc>
      </w:tr>
      <w:tr>
        <w:trPr>
          <w:trHeight w:val="162"/>
        </w:trPr>
        <w:tc>
          <w:tcPr>
            <w:tcW w:w="7720" w:type="dxa"/>
            <w:vAlign w:val="bottom"/>
            <w:shd w:val="clear" w:color="auto" w:fill="CCECFF"/>
          </w:tcPr>
          <w:p>
            <w:pPr>
              <w:spacing w:after="0"/>
              <w:rPr>
                <w:sz w:val="20"/>
                <w:szCs w:val="20"/>
                <w:color w:val="auto"/>
              </w:rPr>
            </w:pPr>
            <w:r>
              <w:rPr>
                <w:rFonts w:ascii="Arial" w:cs="Arial" w:eastAsia="Arial" w:hAnsi="Arial"/>
                <w:sz w:val="14"/>
                <w:szCs w:val="14"/>
                <w:color w:val="auto"/>
              </w:rPr>
              <w:t>Accrued other expenses</w:t>
            </w:r>
          </w:p>
        </w:tc>
        <w:tc>
          <w:tcPr>
            <w:tcW w:w="220" w:type="dxa"/>
            <w:vAlign w:val="bottom"/>
            <w:tcBorders>
              <w:bottom w:val="single" w:sz="8" w:color="auto"/>
            </w:tcBorders>
            <w:shd w:val="clear" w:color="auto" w:fill="CCECFF"/>
          </w:tcPr>
          <w:p>
            <w:pPr>
              <w:spacing w:after="0"/>
              <w:rPr>
                <w:sz w:val="14"/>
                <w:szCs w:val="14"/>
                <w:color w:val="auto"/>
              </w:rPr>
            </w:pPr>
          </w:p>
        </w:tc>
        <w:tc>
          <w:tcPr>
            <w:tcW w:w="13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696,427</w:t>
            </w:r>
          </w:p>
        </w:tc>
        <w:tc>
          <w:tcPr>
            <w:tcW w:w="280" w:type="dxa"/>
            <w:vAlign w:val="bottom"/>
            <w:shd w:val="clear" w:color="auto" w:fill="CCECFF"/>
          </w:tcPr>
          <w:p>
            <w:pPr>
              <w:spacing w:after="0"/>
              <w:rPr>
                <w:sz w:val="14"/>
                <w:szCs w:val="14"/>
                <w:color w:val="auto"/>
              </w:rPr>
            </w:pPr>
          </w:p>
        </w:tc>
        <w:tc>
          <w:tcPr>
            <w:tcW w:w="120" w:type="dxa"/>
            <w:vAlign w:val="bottom"/>
            <w:tcBorders>
              <w:bottom w:val="single" w:sz="8" w:color="auto"/>
            </w:tcBorders>
            <w:shd w:val="clear" w:color="auto" w:fill="CCECFF"/>
          </w:tcPr>
          <w:p>
            <w:pPr>
              <w:spacing w:after="0"/>
              <w:rPr>
                <w:sz w:val="14"/>
                <w:szCs w:val="14"/>
                <w:color w:val="auto"/>
              </w:rPr>
            </w:pPr>
          </w:p>
        </w:tc>
        <w:tc>
          <w:tcPr>
            <w:tcW w:w="14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224,739</w:t>
            </w:r>
          </w:p>
        </w:tc>
        <w:tc>
          <w:tcPr>
            <w:tcW w:w="120" w:type="dxa"/>
            <w:vAlign w:val="bottom"/>
            <w:shd w:val="clear" w:color="auto" w:fill="CCECFF"/>
          </w:tcPr>
          <w:p>
            <w:pPr>
              <w:spacing w:after="0"/>
              <w:rPr>
                <w:sz w:val="14"/>
                <w:szCs w:val="14"/>
                <w:color w:val="auto"/>
              </w:rPr>
            </w:pPr>
          </w:p>
        </w:tc>
      </w:tr>
      <w:tr>
        <w:trPr>
          <w:trHeight w:val="155"/>
        </w:trPr>
        <w:tc>
          <w:tcPr>
            <w:tcW w:w="7720" w:type="dxa"/>
            <w:vAlign w:val="bottom"/>
            <w:tcBorders>
              <w:bottom w:val="single" w:sz="8" w:color="CCECFF"/>
            </w:tcBorders>
          </w:tcPr>
          <w:p>
            <w:pPr>
              <w:ind w:left="740"/>
              <w:spacing w:after="0" w:line="155" w:lineRule="exact"/>
              <w:rPr>
                <w:sz w:val="20"/>
                <w:szCs w:val="20"/>
                <w:color w:val="auto"/>
              </w:rPr>
            </w:pPr>
            <w:r>
              <w:rPr>
                <w:rFonts w:ascii="Arial" w:cs="Arial" w:eastAsia="Arial" w:hAnsi="Arial"/>
                <w:sz w:val="14"/>
                <w:szCs w:val="14"/>
                <w:b w:val="1"/>
                <w:bCs w:val="1"/>
                <w:color w:val="auto"/>
              </w:rPr>
              <w:t>Total liabilities</w:t>
            </w:r>
          </w:p>
        </w:tc>
        <w:tc>
          <w:tcPr>
            <w:tcW w:w="2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406,003,611</w:t>
            </w:r>
          </w:p>
        </w:tc>
        <w:tc>
          <w:tcPr>
            <w:tcW w:w="280" w:type="dxa"/>
            <w:vAlign w:val="bottom"/>
            <w:tcBorders>
              <w:bottom w:val="single" w:sz="8" w:color="CCEC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289,439,125</w:t>
            </w:r>
          </w:p>
        </w:tc>
        <w:tc>
          <w:tcPr>
            <w:tcW w:w="120" w:type="dxa"/>
            <w:vAlign w:val="bottom"/>
            <w:tcBorders>
              <w:bottom w:val="single" w:sz="8" w:color="CCECFF"/>
            </w:tcBorders>
          </w:tcPr>
          <w:p>
            <w:pPr>
              <w:spacing w:after="0"/>
              <w:rPr>
                <w:sz w:val="13"/>
                <w:szCs w:val="13"/>
                <w:color w:val="auto"/>
              </w:rPr>
            </w:pPr>
          </w:p>
        </w:tc>
      </w:tr>
      <w:tr>
        <w:trPr>
          <w:trHeight w:val="156"/>
        </w:trPr>
        <w:tc>
          <w:tcPr>
            <w:tcW w:w="772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Commitments and contingencies (See Note 11)</w:t>
            </w:r>
          </w:p>
        </w:tc>
        <w:tc>
          <w:tcPr>
            <w:tcW w:w="220" w:type="dxa"/>
            <w:vAlign w:val="bottom"/>
            <w:shd w:val="clear" w:color="auto" w:fill="CCECFF"/>
          </w:tcPr>
          <w:p>
            <w:pPr>
              <w:spacing w:after="0"/>
              <w:rPr>
                <w:sz w:val="13"/>
                <w:szCs w:val="13"/>
                <w:color w:val="auto"/>
              </w:rPr>
            </w:pPr>
          </w:p>
        </w:tc>
        <w:tc>
          <w:tcPr>
            <w:tcW w:w="134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44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b w:val="1"/>
                <w:bCs w:val="1"/>
                <w:color w:val="auto"/>
              </w:rPr>
              <w:t>Net assets</w:t>
            </w: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3"/>
        </w:trPr>
        <w:tc>
          <w:tcPr>
            <w:tcW w:w="7720" w:type="dxa"/>
            <w:vAlign w:val="bottom"/>
            <w:shd w:val="clear" w:color="auto" w:fill="CCECFF"/>
          </w:tcPr>
          <w:p>
            <w:pPr>
              <w:spacing w:after="0" w:line="143" w:lineRule="exact"/>
              <w:rPr>
                <w:sz w:val="20"/>
                <w:szCs w:val="20"/>
                <w:color w:val="auto"/>
              </w:rPr>
            </w:pPr>
            <w:r>
              <w:rPr>
                <w:rFonts w:ascii="Arial" w:cs="Arial" w:eastAsia="Arial" w:hAnsi="Arial"/>
                <w:sz w:val="14"/>
                <w:szCs w:val="14"/>
                <w:color w:val="auto"/>
              </w:rPr>
              <w:t>Common stock, 38,772,074 and 32,480,074 shares issued and outstanding, respectively</w:t>
            </w:r>
          </w:p>
        </w:tc>
        <w:tc>
          <w:tcPr>
            <w:tcW w:w="220" w:type="dxa"/>
            <w:vAlign w:val="bottom"/>
            <w:shd w:val="clear" w:color="auto" w:fill="CCECFF"/>
          </w:tcPr>
          <w:p>
            <w:pPr>
              <w:spacing w:after="0"/>
              <w:rPr>
                <w:sz w:val="12"/>
                <w:szCs w:val="12"/>
                <w:color w:val="auto"/>
              </w:rPr>
            </w:pPr>
          </w:p>
        </w:tc>
        <w:tc>
          <w:tcPr>
            <w:tcW w:w="134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4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r>
      <w:tr>
        <w:trPr>
          <w:trHeight w:val="167"/>
        </w:trPr>
        <w:tc>
          <w:tcPr>
            <w:tcW w:w="7720" w:type="dxa"/>
            <w:vAlign w:val="bottom"/>
            <w:shd w:val="clear" w:color="auto" w:fill="CCECFF"/>
          </w:tcPr>
          <w:p>
            <w:pPr>
              <w:ind w:left="120"/>
              <w:spacing w:after="0"/>
              <w:rPr>
                <w:sz w:val="20"/>
                <w:szCs w:val="20"/>
                <w:color w:val="auto"/>
              </w:rPr>
            </w:pPr>
            <w:r>
              <w:rPr>
                <w:rFonts w:ascii="Arial" w:cs="Arial" w:eastAsia="Arial" w:hAnsi="Arial"/>
                <w:sz w:val="14"/>
                <w:szCs w:val="14"/>
                <w:color w:val="auto"/>
              </w:rPr>
              <w:t>Par value $0.001 per share and 100,000,000 shares authorized</w:t>
            </w:r>
          </w:p>
        </w:tc>
        <w:tc>
          <w:tcPr>
            <w:tcW w:w="220" w:type="dxa"/>
            <w:vAlign w:val="bottom"/>
            <w:shd w:val="clear" w:color="auto" w:fill="CCECFF"/>
          </w:tcPr>
          <w:p>
            <w:pPr>
              <w:spacing w:after="0"/>
              <w:rPr>
                <w:sz w:val="14"/>
                <w:szCs w:val="14"/>
                <w:color w:val="auto"/>
              </w:rPr>
            </w:pPr>
          </w:p>
        </w:tc>
        <w:tc>
          <w:tcPr>
            <w:tcW w:w="13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38,772</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32,480</w:t>
            </w:r>
          </w:p>
        </w:tc>
        <w:tc>
          <w:tcPr>
            <w:tcW w:w="120" w:type="dxa"/>
            <w:vAlign w:val="bottom"/>
            <w:shd w:val="clear" w:color="auto" w:fill="CCECFF"/>
          </w:tcPr>
          <w:p>
            <w:pPr>
              <w:spacing w:after="0"/>
              <w:rPr>
                <w:sz w:val="14"/>
                <w:szCs w:val="14"/>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Paid-in capital in excess of par value</w:t>
            </w:r>
          </w:p>
        </w:tc>
        <w:tc>
          <w:tcPr>
            <w:tcW w:w="2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539,462,336</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451,448,872</w:t>
            </w:r>
          </w:p>
        </w:tc>
        <w:tc>
          <w:tcPr>
            <w:tcW w:w="120" w:type="dxa"/>
            <w:vAlign w:val="bottom"/>
          </w:tcPr>
          <w:p>
            <w:pPr>
              <w:spacing w:after="0"/>
              <w:rPr>
                <w:sz w:val="14"/>
                <w:szCs w:val="14"/>
                <w:color w:val="auto"/>
              </w:rPr>
            </w:pPr>
          </w:p>
        </w:tc>
      </w:tr>
      <w:tr>
        <w:trPr>
          <w:trHeight w:val="162"/>
        </w:trPr>
        <w:tc>
          <w:tcPr>
            <w:tcW w:w="7720" w:type="dxa"/>
            <w:vAlign w:val="bottom"/>
            <w:shd w:val="clear" w:color="auto" w:fill="CCECFF"/>
          </w:tcPr>
          <w:p>
            <w:pPr>
              <w:spacing w:after="0"/>
              <w:rPr>
                <w:sz w:val="20"/>
                <w:szCs w:val="20"/>
                <w:color w:val="auto"/>
              </w:rPr>
            </w:pPr>
            <w:r>
              <w:rPr>
                <w:rFonts w:ascii="Arial" w:cs="Arial" w:eastAsia="Arial" w:hAnsi="Arial"/>
                <w:sz w:val="14"/>
                <w:szCs w:val="14"/>
                <w:color w:val="auto"/>
              </w:rPr>
              <w:t>(Distributions in excess of) undistributed net investment income</w:t>
            </w:r>
          </w:p>
        </w:tc>
        <w:tc>
          <w:tcPr>
            <w:tcW w:w="220" w:type="dxa"/>
            <w:vAlign w:val="bottom"/>
            <w:shd w:val="clear" w:color="auto" w:fill="CCECFF"/>
          </w:tcPr>
          <w:p>
            <w:pPr>
              <w:spacing w:after="0"/>
              <w:rPr>
                <w:sz w:val="14"/>
                <w:szCs w:val="14"/>
                <w:color w:val="auto"/>
              </w:rPr>
            </w:pPr>
          </w:p>
        </w:tc>
        <w:tc>
          <w:tcPr>
            <w:tcW w:w="162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(10,065,794)</w:t>
            </w: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3,163,645</w:t>
            </w:r>
          </w:p>
        </w:tc>
        <w:tc>
          <w:tcPr>
            <w:tcW w:w="120" w:type="dxa"/>
            <w:vAlign w:val="bottom"/>
            <w:shd w:val="clear" w:color="auto" w:fill="CCECFF"/>
          </w:tcPr>
          <w:p>
            <w:pPr>
              <w:spacing w:after="0"/>
              <w:rPr>
                <w:sz w:val="14"/>
                <w:szCs w:val="14"/>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Accumulated net realized gain on investments</w:t>
            </w:r>
          </w:p>
        </w:tc>
        <w:tc>
          <w:tcPr>
            <w:tcW w:w="2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1,175,847</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4,289,389</w:t>
            </w:r>
          </w:p>
        </w:tc>
        <w:tc>
          <w:tcPr>
            <w:tcW w:w="120" w:type="dxa"/>
            <w:vAlign w:val="bottom"/>
          </w:tcPr>
          <w:p>
            <w:pPr>
              <w:spacing w:after="0"/>
              <w:rPr>
                <w:sz w:val="14"/>
                <w:szCs w:val="14"/>
                <w:color w:val="auto"/>
              </w:rPr>
            </w:pPr>
          </w:p>
        </w:tc>
      </w:tr>
      <w:tr>
        <w:trPr>
          <w:trHeight w:val="162"/>
        </w:trPr>
        <w:tc>
          <w:tcPr>
            <w:tcW w:w="7720" w:type="dxa"/>
            <w:vAlign w:val="bottom"/>
            <w:shd w:val="clear" w:color="auto" w:fill="CCECFF"/>
          </w:tcPr>
          <w:p>
            <w:pPr>
              <w:spacing w:after="0"/>
              <w:rPr>
                <w:sz w:val="20"/>
                <w:szCs w:val="20"/>
                <w:color w:val="auto"/>
              </w:rPr>
            </w:pPr>
            <w:r>
              <w:rPr>
                <w:rFonts w:ascii="Arial" w:cs="Arial" w:eastAsia="Arial" w:hAnsi="Arial"/>
                <w:sz w:val="14"/>
                <w:szCs w:val="14"/>
                <w:color w:val="auto"/>
              </w:rPr>
              <w:t>Net unrealized appreciation on investments</w:t>
            </w:r>
          </w:p>
        </w:tc>
        <w:tc>
          <w:tcPr>
            <w:tcW w:w="220" w:type="dxa"/>
            <w:vAlign w:val="bottom"/>
            <w:shd w:val="clear" w:color="auto" w:fill="CCECFF"/>
          </w:tcPr>
          <w:p>
            <w:pPr>
              <w:spacing w:after="0"/>
              <w:rPr>
                <w:sz w:val="14"/>
                <w:szCs w:val="14"/>
                <w:color w:val="auto"/>
              </w:rPr>
            </w:pPr>
          </w:p>
        </w:tc>
        <w:tc>
          <w:tcPr>
            <w:tcW w:w="13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1,797,495</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2,047,044</w:t>
            </w:r>
          </w:p>
        </w:tc>
        <w:tc>
          <w:tcPr>
            <w:tcW w:w="120" w:type="dxa"/>
            <w:vAlign w:val="bottom"/>
            <w:shd w:val="clear" w:color="auto" w:fill="CCECFF"/>
          </w:tcPr>
          <w:p>
            <w:pPr>
              <w:spacing w:after="0"/>
              <w:rPr>
                <w:sz w:val="14"/>
                <w:szCs w:val="14"/>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Net unrealized depreciation (appreciation) on debt</w:t>
            </w:r>
          </w:p>
        </w:tc>
        <w:tc>
          <w:tcPr>
            <w:tcW w:w="2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3,469,660</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4"/>
                <w:szCs w:val="14"/>
                <w:color w:val="auto"/>
              </w:rPr>
              <w:t>(3,075,156)</w:t>
            </w:r>
          </w:p>
        </w:tc>
      </w:tr>
      <w:tr>
        <w:trPr>
          <w:trHeight w:val="155"/>
        </w:trPr>
        <w:tc>
          <w:tcPr>
            <w:tcW w:w="7720" w:type="dxa"/>
            <w:vAlign w:val="bottom"/>
            <w:tcBorders>
              <w:top w:val="single" w:sz="8" w:color="CCECFF"/>
            </w:tcBorders>
            <w:shd w:val="clear" w:color="auto" w:fill="CCECFF"/>
          </w:tcPr>
          <w:p>
            <w:pPr>
              <w:ind w:left="740"/>
              <w:spacing w:after="0" w:line="155" w:lineRule="exact"/>
              <w:rPr>
                <w:sz w:val="20"/>
                <w:szCs w:val="20"/>
                <w:color w:val="auto"/>
              </w:rPr>
            </w:pPr>
            <w:r>
              <w:rPr>
                <w:rFonts w:ascii="Arial" w:cs="Arial" w:eastAsia="Arial" w:hAnsi="Arial"/>
                <w:sz w:val="14"/>
                <w:szCs w:val="14"/>
                <w:b w:val="1"/>
                <w:bCs w:val="1"/>
                <w:color w:val="auto"/>
              </w:rPr>
              <w:t>Total net assets</w:t>
            </w:r>
          </w:p>
        </w:tc>
        <w:tc>
          <w:tcPr>
            <w:tcW w:w="220" w:type="dxa"/>
            <w:vAlign w:val="bottom"/>
            <w:tcBorders>
              <w:top w:val="single" w:sz="8" w:color="auto"/>
              <w:bottom w:val="single" w:sz="8" w:color="auto"/>
            </w:tcBorders>
            <w:shd w:val="clear" w:color="auto" w:fill="CCEC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3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535,878,316</w:t>
            </w:r>
          </w:p>
        </w:tc>
        <w:tc>
          <w:tcPr>
            <w:tcW w:w="28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4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457,906,274</w:t>
            </w:r>
          </w:p>
        </w:tc>
        <w:tc>
          <w:tcPr>
            <w:tcW w:w="120" w:type="dxa"/>
            <w:vAlign w:val="bottom"/>
            <w:tcBorders>
              <w:top w:val="single" w:sz="8" w:color="CCECFF"/>
            </w:tcBorders>
            <w:shd w:val="clear" w:color="auto" w:fill="CCECFF"/>
          </w:tcPr>
          <w:p>
            <w:pPr>
              <w:spacing w:after="0"/>
              <w:rPr>
                <w:sz w:val="13"/>
                <w:szCs w:val="13"/>
                <w:color w:val="auto"/>
              </w:rPr>
            </w:pPr>
          </w:p>
        </w:tc>
      </w:tr>
      <w:tr>
        <w:trPr>
          <w:trHeight w:val="196"/>
        </w:trPr>
        <w:tc>
          <w:tcPr>
            <w:tcW w:w="7720" w:type="dxa"/>
            <w:vAlign w:val="bottom"/>
            <w:tcBorders>
              <w:bottom w:val="single" w:sz="8" w:color="CCECFF"/>
            </w:tcBorders>
          </w:tcPr>
          <w:p>
            <w:pPr>
              <w:ind w:left="740"/>
              <w:spacing w:after="0" w:line="155" w:lineRule="exact"/>
              <w:rPr>
                <w:sz w:val="20"/>
                <w:szCs w:val="20"/>
                <w:color w:val="auto"/>
              </w:rPr>
            </w:pPr>
            <w:r>
              <w:rPr>
                <w:rFonts w:ascii="Arial" w:cs="Arial" w:eastAsia="Arial" w:hAnsi="Arial"/>
                <w:sz w:val="14"/>
                <w:szCs w:val="14"/>
                <w:b w:val="1"/>
                <w:bCs w:val="1"/>
                <w:color w:val="auto"/>
              </w:rPr>
              <w:t>Total liabilities and net assets</w:t>
            </w:r>
          </w:p>
        </w:tc>
        <w:tc>
          <w:tcPr>
            <w:tcW w:w="2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941,881,927</w:t>
            </w:r>
          </w:p>
        </w:tc>
        <w:tc>
          <w:tcPr>
            <w:tcW w:w="280" w:type="dxa"/>
            <w:vAlign w:val="bottom"/>
            <w:tcBorders>
              <w:bottom w:val="single" w:sz="8" w:color="CCECFF"/>
            </w:tcBorders>
          </w:tcPr>
          <w:p>
            <w:pPr>
              <w:spacing w:after="0"/>
              <w:rPr>
                <w:sz w:val="17"/>
                <w:szCs w:val="17"/>
                <w:color w:val="auto"/>
              </w:rPr>
            </w:pPr>
          </w:p>
        </w:tc>
        <w:tc>
          <w:tcPr>
            <w:tcW w:w="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747,345,399</w:t>
            </w:r>
          </w:p>
        </w:tc>
        <w:tc>
          <w:tcPr>
            <w:tcW w:w="120" w:type="dxa"/>
            <w:vAlign w:val="bottom"/>
            <w:tcBorders>
              <w:bottom w:val="single" w:sz="8" w:color="CCECFF"/>
            </w:tcBorders>
          </w:tcPr>
          <w:p>
            <w:pPr>
              <w:spacing w:after="0"/>
              <w:rPr>
                <w:sz w:val="17"/>
                <w:szCs w:val="17"/>
                <w:color w:val="auto"/>
              </w:rPr>
            </w:pPr>
          </w:p>
        </w:tc>
      </w:tr>
      <w:tr>
        <w:trPr>
          <w:trHeight w:val="143"/>
        </w:trPr>
        <w:tc>
          <w:tcPr>
            <w:tcW w:w="7720" w:type="dxa"/>
            <w:vAlign w:val="bottom"/>
            <w:tcBorders>
              <w:bottom w:val="single" w:sz="8" w:color="CCECFF"/>
            </w:tcBorders>
            <w:shd w:val="clear" w:color="auto" w:fill="CCECFF"/>
          </w:tcPr>
          <w:p>
            <w:pPr>
              <w:spacing w:after="0" w:line="143" w:lineRule="exact"/>
              <w:rPr>
                <w:sz w:val="20"/>
                <w:szCs w:val="20"/>
                <w:color w:val="auto"/>
              </w:rPr>
            </w:pPr>
            <w:r>
              <w:rPr>
                <w:rFonts w:ascii="Arial" w:cs="Arial" w:eastAsia="Arial" w:hAnsi="Arial"/>
                <w:sz w:val="14"/>
                <w:szCs w:val="14"/>
                <w:b w:val="1"/>
                <w:bCs w:val="1"/>
                <w:color w:val="auto"/>
              </w:rPr>
              <w:t>Net asset value per share</w:t>
            </w:r>
          </w:p>
        </w:tc>
        <w:tc>
          <w:tcPr>
            <w:tcW w:w="220" w:type="dxa"/>
            <w:vAlign w:val="bottom"/>
            <w:tcBorders>
              <w:bottom w:val="single" w:sz="8" w:color="auto"/>
            </w:tcBorders>
            <w:shd w:val="clear" w:color="auto" w:fill="CCECFF"/>
          </w:tcPr>
          <w:p>
            <w:pPr>
              <w:jc w:val="right"/>
              <w:ind w:right="68"/>
              <w:spacing w:after="0" w:line="143" w:lineRule="exact"/>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13.82</w:t>
            </w:r>
          </w:p>
        </w:tc>
        <w:tc>
          <w:tcPr>
            <w:tcW w:w="28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14.10</w:t>
            </w:r>
          </w:p>
        </w:tc>
        <w:tc>
          <w:tcPr>
            <w:tcW w:w="120" w:type="dxa"/>
            <w:vAlign w:val="bottom"/>
            <w:tcBorders>
              <w:bottom w:val="single" w:sz="8" w:color="CCECFF"/>
            </w:tcBorders>
            <w:shd w:val="clear" w:color="auto" w:fill="CCECFF"/>
          </w:tcPr>
          <w:p>
            <w:pPr>
              <w:spacing w:after="0"/>
              <w:rPr>
                <w:sz w:val="12"/>
                <w:szCs w:val="12"/>
                <w:color w:val="auto"/>
              </w:rPr>
            </w:pPr>
          </w:p>
        </w:tc>
      </w:tr>
      <w:tr>
        <w:trPr>
          <w:trHeight w:val="20"/>
        </w:trPr>
        <w:tc>
          <w:tcPr>
            <w:tcW w:w="7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STATEMENTS OF OPERATIONS</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5"/>
              </w:rPr>
              <w:t>Three Months Ended June 30,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2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4"/>
              </w:rPr>
              <w:t>Nine Months Ended June 30,</w:t>
            </w:r>
          </w:p>
        </w:tc>
        <w:tc>
          <w:tcPr>
            <w:tcW w:w="0" w:type="dxa"/>
            <w:vAlign w:val="bottom"/>
          </w:tcPr>
          <w:p>
            <w:pPr>
              <w:spacing w:after="0"/>
              <w:rPr>
                <w:sz w:val="1"/>
                <w:szCs w:val="1"/>
                <w:color w:val="auto"/>
              </w:rPr>
            </w:pPr>
          </w:p>
        </w:tc>
      </w:tr>
      <w:tr>
        <w:trPr>
          <w:trHeight w:val="156"/>
        </w:trPr>
        <w:tc>
          <w:tcPr>
            <w:tcW w:w="6520" w:type="dxa"/>
            <w:vAlign w:val="bottom"/>
            <w:tcBorders>
              <w:bottom w:val="single" w:sz="8" w:color="CCEC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88"/>
              <w:spacing w:after="0" w:line="155"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bottom w:val="single" w:sz="8" w:color="CCECFF"/>
            </w:tcBorders>
          </w:tcPr>
          <w:p>
            <w:pPr>
              <w:spacing w:after="0"/>
              <w:rPr>
                <w:sz w:val="13"/>
                <w:szCs w:val="13"/>
                <w:color w:val="auto"/>
              </w:rPr>
            </w:pPr>
          </w:p>
        </w:tc>
        <w:tc>
          <w:tcPr>
            <w:tcW w:w="80" w:type="dxa"/>
            <w:vAlign w:val="bottom"/>
            <w:tcBorders>
              <w:top w:val="single" w:sz="8" w:color="auto"/>
              <w:bottom w:val="single" w:sz="8" w:color="CCEC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308"/>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CFF"/>
            </w:tcBorders>
          </w:tcPr>
          <w:p>
            <w:pPr>
              <w:spacing w:after="0"/>
              <w:rPr>
                <w:sz w:val="13"/>
                <w:szCs w:val="13"/>
                <w:color w:val="auto"/>
              </w:rPr>
            </w:pPr>
          </w:p>
        </w:tc>
        <w:tc>
          <w:tcPr>
            <w:tcW w:w="80" w:type="dxa"/>
            <w:vAlign w:val="bottom"/>
            <w:tcBorders>
              <w:bottom w:val="single" w:sz="8" w:color="CCEC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68"/>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CCECFF"/>
            </w:tcBorders>
          </w:tcPr>
          <w:p>
            <w:pPr>
              <w:spacing w:after="0"/>
              <w:rPr>
                <w:sz w:val="13"/>
                <w:szCs w:val="13"/>
                <w:color w:val="auto"/>
              </w:rPr>
            </w:pPr>
          </w:p>
        </w:tc>
        <w:tc>
          <w:tcPr>
            <w:tcW w:w="20" w:type="dxa"/>
            <w:vAlign w:val="bottom"/>
            <w:tcBorders>
              <w:top w:val="single" w:sz="8" w:color="auto"/>
              <w:bottom w:val="single" w:sz="8" w:color="CCEC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88"/>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52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Investment income:</w:t>
            </w:r>
          </w:p>
        </w:tc>
        <w:tc>
          <w:tcPr>
            <w:tcW w:w="120" w:type="dxa"/>
            <w:vAlign w:val="bottom"/>
            <w:shd w:val="clear" w:color="auto" w:fill="CCECFF"/>
          </w:tcPr>
          <w:p>
            <w:pPr>
              <w:spacing w:after="0"/>
              <w:rPr>
                <w:sz w:val="13"/>
                <w:szCs w:val="13"/>
                <w:color w:val="auto"/>
              </w:rPr>
            </w:pPr>
          </w:p>
        </w:tc>
        <w:tc>
          <w:tcPr>
            <w:tcW w:w="88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80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82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7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520" w:type="dxa"/>
            <w:vAlign w:val="bottom"/>
          </w:tcPr>
          <w:p>
            <w:pPr>
              <w:spacing w:after="0"/>
              <w:rPr>
                <w:sz w:val="20"/>
                <w:szCs w:val="20"/>
                <w:color w:val="auto"/>
              </w:rPr>
            </w:pPr>
            <w:r>
              <w:rPr>
                <w:rFonts w:ascii="Arial" w:cs="Arial" w:eastAsia="Arial" w:hAnsi="Arial"/>
                <w:sz w:val="14"/>
                <w:szCs w:val="14"/>
                <w:color w:val="auto"/>
              </w:rPr>
              <w:t>From non-controlled, non-affiliated investments:</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Interest</w:t>
            </w:r>
          </w:p>
        </w:tc>
        <w:tc>
          <w:tcPr>
            <w:tcW w:w="120" w:type="dxa"/>
            <w:vAlign w:val="bottom"/>
            <w:shd w:val="clear" w:color="auto" w:fill="CCECFF"/>
          </w:tcPr>
          <w:p>
            <w:pPr>
              <w:jc w:val="right"/>
              <w:ind w:right="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16,718,163</w:t>
            </w:r>
          </w:p>
        </w:tc>
        <w:tc>
          <w:tcPr>
            <w:tcW w:w="140" w:type="dxa"/>
            <w:vAlign w:val="bottom"/>
            <w:shd w:val="clear" w:color="auto" w:fill="CCECFF"/>
          </w:tcPr>
          <w:p>
            <w:pPr>
              <w:spacing w:after="0"/>
              <w:rPr>
                <w:sz w:val="14"/>
                <w:szCs w:val="14"/>
                <w:color w:val="auto"/>
              </w:rPr>
            </w:pPr>
          </w:p>
        </w:tc>
        <w:tc>
          <w:tcPr>
            <w:tcW w:w="300" w:type="dxa"/>
            <w:vAlign w:val="bottom"/>
            <w:gridSpan w:val="2"/>
            <w:shd w:val="clear" w:color="auto" w:fill="CCEC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14,695,276</w:t>
            </w:r>
          </w:p>
        </w:tc>
        <w:tc>
          <w:tcPr>
            <w:tcW w:w="140" w:type="dxa"/>
            <w:vAlign w:val="bottom"/>
            <w:shd w:val="clear" w:color="auto" w:fill="CCECFF"/>
          </w:tcPr>
          <w:p>
            <w:pPr>
              <w:spacing w:after="0"/>
              <w:rPr>
                <w:sz w:val="14"/>
                <w:szCs w:val="14"/>
                <w:color w:val="auto"/>
              </w:rPr>
            </w:pPr>
          </w:p>
        </w:tc>
        <w:tc>
          <w:tcPr>
            <w:tcW w:w="22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45,225,422</w:t>
            </w:r>
          </w:p>
        </w:tc>
        <w:tc>
          <w:tcPr>
            <w:tcW w:w="240" w:type="dxa"/>
            <w:vAlign w:val="bottom"/>
            <w:shd w:val="clear" w:color="auto" w:fill="CCECFF"/>
          </w:tcPr>
          <w:p>
            <w:pPr>
              <w:spacing w:after="0"/>
              <w:rPr>
                <w:sz w:val="14"/>
                <w:szCs w:val="14"/>
                <w:color w:val="auto"/>
              </w:rPr>
            </w:pPr>
          </w:p>
        </w:tc>
        <w:tc>
          <w:tcPr>
            <w:tcW w:w="180" w:type="dxa"/>
            <w:vAlign w:val="bottom"/>
            <w:gridSpan w:val="2"/>
            <w:shd w:val="clear" w:color="auto" w:fill="CCECFF"/>
          </w:tcPr>
          <w:p>
            <w:pPr>
              <w:jc w:val="right"/>
              <w:ind w:right="94"/>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39,564,205</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20" w:type="dxa"/>
            <w:vAlign w:val="bottom"/>
          </w:tcPr>
          <w:p>
            <w:pPr>
              <w:ind w:left="260"/>
              <w:spacing w:after="0"/>
              <w:rPr>
                <w:sz w:val="20"/>
                <w:szCs w:val="20"/>
                <w:color w:val="auto"/>
              </w:rPr>
            </w:pPr>
            <w:r>
              <w:rPr>
                <w:rFonts w:ascii="Arial" w:cs="Arial" w:eastAsia="Arial" w:hAnsi="Arial"/>
                <w:sz w:val="14"/>
                <w:szCs w:val="14"/>
                <w:color w:val="auto"/>
              </w:rPr>
              <w:t>Other income</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559,708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451,597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1,255,766</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1,434,834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20" w:type="dxa"/>
            <w:vAlign w:val="bottom"/>
            <w:shd w:val="clear" w:color="auto" w:fill="CCECFF"/>
          </w:tcPr>
          <w:p>
            <w:pPr>
              <w:spacing w:after="0"/>
              <w:rPr>
                <w:sz w:val="20"/>
                <w:szCs w:val="20"/>
                <w:color w:val="auto"/>
              </w:rPr>
            </w:pPr>
            <w:r>
              <w:rPr>
                <w:rFonts w:ascii="Arial" w:cs="Arial" w:eastAsia="Arial" w:hAnsi="Arial"/>
                <w:sz w:val="14"/>
                <w:szCs w:val="14"/>
                <w:color w:val="auto"/>
              </w:rPr>
              <w:t>From controlled, affiliated investments:</w:t>
            </w:r>
          </w:p>
        </w:tc>
        <w:tc>
          <w:tcPr>
            <w:tcW w:w="120" w:type="dxa"/>
            <w:vAlign w:val="bottom"/>
            <w:shd w:val="clear" w:color="auto" w:fill="CCECFF"/>
          </w:tcPr>
          <w:p>
            <w:pPr>
              <w:spacing w:after="0"/>
              <w:rPr>
                <w:sz w:val="14"/>
                <w:szCs w:val="14"/>
                <w:color w:val="auto"/>
              </w:rPr>
            </w:pPr>
          </w:p>
        </w:tc>
        <w:tc>
          <w:tcPr>
            <w:tcW w:w="88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0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8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78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20" w:type="dxa"/>
            <w:vAlign w:val="bottom"/>
          </w:tcPr>
          <w:p>
            <w:pPr>
              <w:ind w:left="260"/>
              <w:spacing w:after="0"/>
              <w:rPr>
                <w:sz w:val="20"/>
                <w:szCs w:val="20"/>
                <w:color w:val="auto"/>
              </w:rPr>
            </w:pPr>
            <w:r>
              <w:rPr>
                <w:rFonts w:ascii="Arial" w:cs="Arial" w:eastAsia="Arial" w:hAnsi="Arial"/>
                <w:sz w:val="14"/>
                <w:szCs w:val="14"/>
                <w:color w:val="auto"/>
              </w:rPr>
              <w:t>Interest</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1,551,198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43,962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2,985,061</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43,962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Dividend</w:t>
            </w:r>
          </w:p>
        </w:tc>
        <w:tc>
          <w:tcPr>
            <w:tcW w:w="120" w:type="dxa"/>
            <w:vAlign w:val="bottom"/>
            <w:shd w:val="clear" w:color="auto" w:fill="CCECFF"/>
          </w:tcPr>
          <w:p>
            <w:pPr>
              <w:spacing w:after="0"/>
              <w:rPr>
                <w:sz w:val="14"/>
                <w:szCs w:val="14"/>
                <w:color w:val="auto"/>
              </w:rPr>
            </w:pP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700,000</w:t>
            </w:r>
          </w:p>
        </w:tc>
        <w:tc>
          <w:tcPr>
            <w:tcW w:w="14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940" w:type="dxa"/>
            <w:vAlign w:val="bottom"/>
            <w:gridSpan w:val="2"/>
            <w:shd w:val="clear" w:color="auto" w:fill="CCEC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1,400,000</w:t>
            </w:r>
          </w:p>
        </w:tc>
        <w:tc>
          <w:tcPr>
            <w:tcW w:w="24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880" w:type="dxa"/>
            <w:vAlign w:val="bottom"/>
            <w:gridSpan w:val="2"/>
            <w:shd w:val="clear" w:color="auto" w:fill="CCEC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652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Total investment income</w:t>
            </w:r>
          </w:p>
        </w:tc>
        <w:tc>
          <w:tcPr>
            <w:tcW w:w="12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19,529,069</w:t>
            </w:r>
          </w:p>
        </w:tc>
        <w:tc>
          <w:tcPr>
            <w:tcW w:w="140" w:type="dxa"/>
            <w:vAlign w:val="bottom"/>
            <w:tcBorders>
              <w:bottom w:val="single" w:sz="8" w:color="CCECFF"/>
            </w:tcBorders>
          </w:tcPr>
          <w:p>
            <w:pPr>
              <w:spacing w:after="0"/>
              <w:rPr>
                <w:sz w:val="13"/>
                <w:szCs w:val="13"/>
                <w:color w:val="auto"/>
              </w:rPr>
            </w:pPr>
          </w:p>
        </w:tc>
        <w:tc>
          <w:tcPr>
            <w:tcW w:w="80" w:type="dxa"/>
            <w:vAlign w:val="bottom"/>
            <w:tcBorders>
              <w:bottom w:val="single" w:sz="8" w:color="CCEC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15,190,835</w:t>
            </w:r>
          </w:p>
        </w:tc>
        <w:tc>
          <w:tcPr>
            <w:tcW w:w="140" w:type="dxa"/>
            <w:vAlign w:val="bottom"/>
            <w:tcBorders>
              <w:bottom w:val="single" w:sz="8" w:color="CCECFF"/>
            </w:tcBorders>
          </w:tcPr>
          <w:p>
            <w:pPr>
              <w:spacing w:after="0"/>
              <w:rPr>
                <w:sz w:val="13"/>
                <w:szCs w:val="13"/>
                <w:color w:val="auto"/>
              </w:rPr>
            </w:pPr>
          </w:p>
        </w:tc>
        <w:tc>
          <w:tcPr>
            <w:tcW w:w="80" w:type="dxa"/>
            <w:vAlign w:val="bottom"/>
            <w:tcBorders>
              <w:bottom w:val="single" w:sz="8" w:color="CCEC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50,866,249</w:t>
            </w:r>
          </w:p>
        </w:tc>
        <w:tc>
          <w:tcPr>
            <w:tcW w:w="240" w:type="dxa"/>
            <w:vAlign w:val="bottom"/>
            <w:tcBorders>
              <w:bottom w:val="single" w:sz="8" w:color="CCECFF"/>
            </w:tcBorders>
          </w:tcPr>
          <w:p>
            <w:pPr>
              <w:spacing w:after="0"/>
              <w:rPr>
                <w:sz w:val="13"/>
                <w:szCs w:val="13"/>
                <w:color w:val="auto"/>
              </w:rPr>
            </w:pPr>
          </w:p>
        </w:tc>
        <w:tc>
          <w:tcPr>
            <w:tcW w:w="20" w:type="dxa"/>
            <w:vAlign w:val="bottom"/>
            <w:tcBorders>
              <w:bottom w:val="single" w:sz="8" w:color="CCEC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41,043,001</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52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Expenses:</w:t>
            </w:r>
          </w:p>
        </w:tc>
        <w:tc>
          <w:tcPr>
            <w:tcW w:w="120" w:type="dxa"/>
            <w:vAlign w:val="bottom"/>
            <w:shd w:val="clear" w:color="auto" w:fill="CCECFF"/>
          </w:tcPr>
          <w:p>
            <w:pPr>
              <w:spacing w:after="0"/>
              <w:rPr>
                <w:sz w:val="13"/>
                <w:szCs w:val="13"/>
                <w:color w:val="auto"/>
              </w:rPr>
            </w:pPr>
          </w:p>
        </w:tc>
        <w:tc>
          <w:tcPr>
            <w:tcW w:w="88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80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82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78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520" w:type="dxa"/>
            <w:vAlign w:val="bottom"/>
          </w:tcPr>
          <w:p>
            <w:pPr>
              <w:ind w:left="260"/>
              <w:spacing w:after="0"/>
              <w:rPr>
                <w:sz w:val="20"/>
                <w:szCs w:val="20"/>
                <w:color w:val="auto"/>
              </w:rPr>
            </w:pPr>
            <w:r>
              <w:rPr>
                <w:rFonts w:ascii="Arial" w:cs="Arial" w:eastAsia="Arial" w:hAnsi="Arial"/>
                <w:sz w:val="14"/>
                <w:szCs w:val="14"/>
                <w:color w:val="auto"/>
              </w:rPr>
              <w:t>Base management fee (See Note 3)</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2,180,258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1,790,695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5,932,024</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5,117,839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Performance-based incentive fee (See Note 3)</w:t>
            </w:r>
          </w:p>
        </w:tc>
        <w:tc>
          <w:tcPr>
            <w:tcW w:w="120" w:type="dxa"/>
            <w:vAlign w:val="bottom"/>
            <w:shd w:val="clear" w:color="auto" w:fill="CCECFF"/>
          </w:tcPr>
          <w:p>
            <w:pPr>
              <w:spacing w:after="0"/>
              <w:rPr>
                <w:sz w:val="14"/>
                <w:szCs w:val="14"/>
                <w:color w:val="auto"/>
              </w:rPr>
            </w:pP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329,567</w:t>
            </w:r>
          </w:p>
        </w:tc>
        <w:tc>
          <w:tcPr>
            <w:tcW w:w="14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1,444,896</w:t>
            </w:r>
          </w:p>
        </w:tc>
        <w:tc>
          <w:tcPr>
            <w:tcW w:w="14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852,678</w:t>
            </w:r>
          </w:p>
        </w:tc>
        <w:tc>
          <w:tcPr>
            <w:tcW w:w="24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3,367,931</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20" w:type="dxa"/>
            <w:vAlign w:val="bottom"/>
          </w:tcPr>
          <w:p>
            <w:pPr>
              <w:ind w:left="260"/>
              <w:spacing w:after="0"/>
              <w:rPr>
                <w:sz w:val="20"/>
                <w:szCs w:val="20"/>
                <w:color w:val="auto"/>
              </w:rPr>
            </w:pPr>
            <w:r>
              <w:rPr>
                <w:rFonts w:ascii="Arial" w:cs="Arial" w:eastAsia="Arial" w:hAnsi="Arial"/>
                <w:sz w:val="14"/>
                <w:szCs w:val="14"/>
                <w:color w:val="auto"/>
              </w:rPr>
              <w:t>Interest and expenses on debt (See Note 10)</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3,862,037</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2,398,520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9,957,719</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6,197,592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Administrative services expenses (See Note 3)</w:t>
            </w:r>
          </w:p>
        </w:tc>
        <w:tc>
          <w:tcPr>
            <w:tcW w:w="120" w:type="dxa"/>
            <w:vAlign w:val="bottom"/>
            <w:shd w:val="clear" w:color="auto" w:fill="CCECFF"/>
          </w:tcPr>
          <w:p>
            <w:pPr>
              <w:spacing w:after="0"/>
              <w:rPr>
                <w:sz w:val="14"/>
                <w:szCs w:val="14"/>
                <w:color w:val="auto"/>
              </w:rPr>
            </w:pP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500,000</w:t>
            </w:r>
          </w:p>
        </w:tc>
        <w:tc>
          <w:tcPr>
            <w:tcW w:w="14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561,250</w:t>
            </w:r>
          </w:p>
        </w:tc>
        <w:tc>
          <w:tcPr>
            <w:tcW w:w="14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1,500,000</w:t>
            </w:r>
          </w:p>
        </w:tc>
        <w:tc>
          <w:tcPr>
            <w:tcW w:w="24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1,683,750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20" w:type="dxa"/>
            <w:vAlign w:val="bottom"/>
            <w:tcBorders>
              <w:bottom w:val="single" w:sz="8" w:color="CCECFF"/>
            </w:tcBorders>
          </w:tcPr>
          <w:p>
            <w:pPr>
              <w:ind w:left="260"/>
              <w:spacing w:after="0"/>
              <w:rPr>
                <w:sz w:val="20"/>
                <w:szCs w:val="20"/>
                <w:color w:val="auto"/>
              </w:rPr>
            </w:pPr>
            <w:r>
              <w:rPr>
                <w:rFonts w:ascii="Arial" w:cs="Arial" w:eastAsia="Arial" w:hAnsi="Arial"/>
                <w:sz w:val="14"/>
                <w:szCs w:val="14"/>
                <w:color w:val="auto"/>
              </w:rPr>
              <w:t>Other general and administrative expenses</w:t>
            </w: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622,025</w:t>
            </w:r>
          </w:p>
        </w:tc>
        <w:tc>
          <w:tcPr>
            <w:tcW w:w="140" w:type="dxa"/>
            <w:vAlign w:val="bottom"/>
            <w:tcBorders>
              <w:bottom w:val="single" w:sz="8" w:color="CCECFF"/>
            </w:tcBorders>
          </w:tcPr>
          <w:p>
            <w:pPr>
              <w:spacing w:after="0"/>
              <w:rPr>
                <w:sz w:val="14"/>
                <w:szCs w:val="14"/>
                <w:color w:val="auto"/>
              </w:rPr>
            </w:pPr>
          </w:p>
        </w:tc>
        <w:tc>
          <w:tcPr>
            <w:tcW w:w="80" w:type="dxa"/>
            <w:vAlign w:val="bottom"/>
            <w:tcBorders>
              <w:bottom w:val="single" w:sz="8" w:color="CCEC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607,499</w:t>
            </w:r>
          </w:p>
        </w:tc>
        <w:tc>
          <w:tcPr>
            <w:tcW w:w="140" w:type="dxa"/>
            <w:vAlign w:val="bottom"/>
            <w:tcBorders>
              <w:bottom w:val="single" w:sz="8" w:color="CCECFF"/>
            </w:tcBorders>
          </w:tcPr>
          <w:p>
            <w:pPr>
              <w:spacing w:after="0"/>
              <w:rPr>
                <w:sz w:val="14"/>
                <w:szCs w:val="14"/>
                <w:color w:val="auto"/>
              </w:rPr>
            </w:pPr>
          </w:p>
        </w:tc>
        <w:tc>
          <w:tcPr>
            <w:tcW w:w="80" w:type="dxa"/>
            <w:vAlign w:val="bottom"/>
            <w:tcBorders>
              <w:bottom w:val="single" w:sz="8" w:color="CCEC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1,859,526</w:t>
            </w:r>
          </w:p>
        </w:tc>
        <w:tc>
          <w:tcPr>
            <w:tcW w:w="240" w:type="dxa"/>
            <w:vAlign w:val="bottom"/>
            <w:tcBorders>
              <w:bottom w:val="single" w:sz="8" w:color="CCECFF"/>
            </w:tcBorders>
          </w:tcPr>
          <w:p>
            <w:pPr>
              <w:spacing w:after="0"/>
              <w:rPr>
                <w:sz w:val="14"/>
                <w:szCs w:val="14"/>
                <w:color w:val="auto"/>
              </w:rPr>
            </w:pPr>
          </w:p>
        </w:tc>
        <w:tc>
          <w:tcPr>
            <w:tcW w:w="20" w:type="dxa"/>
            <w:vAlign w:val="bottom"/>
            <w:tcBorders>
              <w:bottom w:val="single" w:sz="8" w:color="CCEC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1,322,499</w:t>
            </w:r>
          </w:p>
        </w:tc>
        <w:tc>
          <w:tcPr>
            <w:tcW w:w="10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520" w:type="dxa"/>
            <w:vAlign w:val="bottom"/>
            <w:shd w:val="clear" w:color="auto" w:fill="CCECFF"/>
          </w:tcPr>
          <w:p>
            <w:pPr>
              <w:ind w:left="260"/>
              <w:spacing w:after="0" w:line="155" w:lineRule="exact"/>
              <w:rPr>
                <w:sz w:val="20"/>
                <w:szCs w:val="20"/>
                <w:color w:val="auto"/>
              </w:rPr>
            </w:pPr>
            <w:r>
              <w:rPr>
                <w:rFonts w:ascii="Arial" w:cs="Arial" w:eastAsia="Arial" w:hAnsi="Arial"/>
                <w:sz w:val="14"/>
                <w:szCs w:val="14"/>
                <w:b w:val="1"/>
                <w:bCs w:val="1"/>
                <w:color w:val="auto"/>
              </w:rPr>
              <w:t>Expenses before amendment costs, debt issuance costs and provision for taxes</w:t>
            </w:r>
          </w:p>
        </w:tc>
        <w:tc>
          <w:tcPr>
            <w:tcW w:w="120" w:type="dxa"/>
            <w:vAlign w:val="bottom"/>
            <w:shd w:val="clear" w:color="auto" w:fill="CCECFF"/>
          </w:tcPr>
          <w:p>
            <w:pPr>
              <w:spacing w:after="0"/>
              <w:rPr>
                <w:sz w:val="13"/>
                <w:szCs w:val="13"/>
                <w:color w:val="auto"/>
              </w:rPr>
            </w:pPr>
          </w:p>
        </w:tc>
        <w:tc>
          <w:tcPr>
            <w:tcW w:w="88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7,493,887</w:t>
            </w:r>
          </w:p>
        </w:tc>
        <w:tc>
          <w:tcPr>
            <w:tcW w:w="14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80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6,802,860</w:t>
            </w:r>
          </w:p>
        </w:tc>
        <w:tc>
          <w:tcPr>
            <w:tcW w:w="14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82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20,101,947</w:t>
            </w:r>
          </w:p>
        </w:tc>
        <w:tc>
          <w:tcPr>
            <w:tcW w:w="24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78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17,689,611</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520" w:type="dxa"/>
            <w:vAlign w:val="bottom"/>
          </w:tcPr>
          <w:p>
            <w:pPr>
              <w:ind w:left="260"/>
              <w:spacing w:after="0"/>
              <w:rPr>
                <w:sz w:val="20"/>
                <w:szCs w:val="20"/>
                <w:color w:val="auto"/>
              </w:rPr>
            </w:pPr>
            <w:r>
              <w:rPr>
                <w:rFonts w:ascii="Arial" w:cs="Arial" w:eastAsia="Arial" w:hAnsi="Arial"/>
                <w:sz w:val="14"/>
                <w:szCs w:val="14"/>
                <w:color w:val="auto"/>
              </w:rPr>
              <w:t>Credit Facility amendment costs and debt issuance costs (See Notes 5 and 10)</w:t>
            </w:r>
          </w:p>
        </w:tc>
        <w:tc>
          <w:tcPr>
            <w:tcW w:w="12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112,736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10,869,098</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112,736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Provision for taxes</w:t>
            </w:r>
          </w:p>
        </w:tc>
        <w:tc>
          <w:tcPr>
            <w:tcW w:w="120" w:type="dxa"/>
            <w:vAlign w:val="bottom"/>
            <w:tcBorders>
              <w:bottom w:val="single" w:sz="8" w:color="auto"/>
            </w:tcBorders>
            <w:shd w:val="clear" w:color="auto" w:fill="CCECFF"/>
          </w:tcPr>
          <w:p>
            <w:pPr>
              <w:spacing w:after="0"/>
              <w:rPr>
                <w:sz w:val="14"/>
                <w:szCs w:val="14"/>
                <w:color w:val="auto"/>
              </w:rPr>
            </w:pPr>
          </w:p>
        </w:tc>
        <w:tc>
          <w:tcPr>
            <w:tcW w:w="8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200,000</w:t>
            </w:r>
          </w:p>
        </w:tc>
        <w:tc>
          <w:tcPr>
            <w:tcW w:w="14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220" w:type="dxa"/>
            <w:vAlign w:val="bottom"/>
            <w:tcBorders>
              <w:bottom w:val="single" w:sz="8" w:color="auto"/>
            </w:tcBorders>
            <w:shd w:val="clear" w:color="auto" w:fill="CCECFF"/>
          </w:tcPr>
          <w:p>
            <w:pPr>
              <w:spacing w:after="0"/>
              <w:rPr>
                <w:sz w:val="14"/>
                <w:szCs w:val="14"/>
                <w:color w:val="auto"/>
              </w:rPr>
            </w:pPr>
          </w:p>
        </w:tc>
        <w:tc>
          <w:tcPr>
            <w:tcW w:w="8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90,000</w:t>
            </w:r>
          </w:p>
        </w:tc>
        <w:tc>
          <w:tcPr>
            <w:tcW w:w="14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40" w:type="dxa"/>
            <w:vAlign w:val="bottom"/>
            <w:tcBorders>
              <w:bottom w:val="single" w:sz="8" w:color="auto"/>
            </w:tcBorders>
            <w:shd w:val="clear" w:color="auto" w:fill="CCECFF"/>
          </w:tcPr>
          <w:p>
            <w:pPr>
              <w:spacing w:after="0"/>
              <w:rPr>
                <w:sz w:val="14"/>
                <w:szCs w:val="14"/>
                <w:color w:val="auto"/>
              </w:rPr>
            </w:pPr>
          </w:p>
        </w:tc>
        <w:tc>
          <w:tcPr>
            <w:tcW w:w="8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600,000</w:t>
            </w:r>
          </w:p>
        </w:tc>
        <w:tc>
          <w:tcPr>
            <w:tcW w:w="24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60" w:type="dxa"/>
            <w:vAlign w:val="bottom"/>
            <w:tcBorders>
              <w:bottom w:val="single" w:sz="8" w:color="auto"/>
            </w:tcBorders>
            <w:shd w:val="clear" w:color="auto" w:fill="CCECFF"/>
          </w:tcPr>
          <w:p>
            <w:pPr>
              <w:spacing w:after="0"/>
              <w:rPr>
                <w:sz w:val="14"/>
                <w:szCs w:val="14"/>
                <w:color w:val="auto"/>
              </w:rPr>
            </w:pPr>
          </w:p>
        </w:tc>
        <w:tc>
          <w:tcPr>
            <w:tcW w:w="7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205,000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52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Total expenses</w:t>
            </w: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7,693,887</w:t>
            </w:r>
          </w:p>
        </w:tc>
        <w:tc>
          <w:tcPr>
            <w:tcW w:w="140" w:type="dxa"/>
            <w:vAlign w:val="bottom"/>
            <w:tcBorders>
              <w:bottom w:val="single" w:sz="8" w:color="CCECFF"/>
            </w:tcBorders>
          </w:tcPr>
          <w:p>
            <w:pPr>
              <w:spacing w:after="0"/>
              <w:rPr>
                <w:sz w:val="13"/>
                <w:szCs w:val="13"/>
                <w:color w:val="auto"/>
              </w:rPr>
            </w:pPr>
          </w:p>
        </w:tc>
        <w:tc>
          <w:tcPr>
            <w:tcW w:w="80" w:type="dxa"/>
            <w:vAlign w:val="bottom"/>
            <w:tcBorders>
              <w:bottom w:val="single" w:sz="8" w:color="CCEC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7,005,596</w:t>
            </w:r>
          </w:p>
        </w:tc>
        <w:tc>
          <w:tcPr>
            <w:tcW w:w="140" w:type="dxa"/>
            <w:vAlign w:val="bottom"/>
            <w:tcBorders>
              <w:bottom w:val="single" w:sz="8" w:color="CCECFF"/>
            </w:tcBorders>
          </w:tcPr>
          <w:p>
            <w:pPr>
              <w:spacing w:after="0"/>
              <w:rPr>
                <w:sz w:val="13"/>
                <w:szCs w:val="13"/>
                <w:color w:val="auto"/>
              </w:rPr>
            </w:pPr>
          </w:p>
        </w:tc>
        <w:tc>
          <w:tcPr>
            <w:tcW w:w="80" w:type="dxa"/>
            <w:vAlign w:val="bottom"/>
            <w:tcBorders>
              <w:bottom w:val="single" w:sz="8" w:color="CCEC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31,571,045</w:t>
            </w:r>
          </w:p>
        </w:tc>
        <w:tc>
          <w:tcPr>
            <w:tcW w:w="240" w:type="dxa"/>
            <w:vAlign w:val="bottom"/>
            <w:tcBorders>
              <w:bottom w:val="single" w:sz="8" w:color="CCECFF"/>
            </w:tcBorders>
          </w:tcPr>
          <w:p>
            <w:pPr>
              <w:spacing w:after="0"/>
              <w:rPr>
                <w:sz w:val="13"/>
                <w:szCs w:val="13"/>
                <w:color w:val="auto"/>
              </w:rPr>
            </w:pPr>
          </w:p>
        </w:tc>
        <w:tc>
          <w:tcPr>
            <w:tcW w:w="20" w:type="dxa"/>
            <w:vAlign w:val="bottom"/>
            <w:tcBorders>
              <w:bottom w:val="single" w:sz="8" w:color="CCEC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18,007,347</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520" w:type="dxa"/>
            <w:vAlign w:val="bottom"/>
            <w:shd w:val="clear" w:color="auto" w:fill="CCECFF"/>
          </w:tcPr>
          <w:p>
            <w:pPr>
              <w:ind w:left="260"/>
              <w:spacing w:after="0" w:line="155" w:lineRule="exact"/>
              <w:rPr>
                <w:sz w:val="20"/>
                <w:szCs w:val="20"/>
                <w:color w:val="auto"/>
              </w:rPr>
            </w:pPr>
            <w:r>
              <w:rPr>
                <w:rFonts w:ascii="Arial" w:cs="Arial" w:eastAsia="Arial" w:hAnsi="Arial"/>
                <w:sz w:val="14"/>
                <w:szCs w:val="14"/>
                <w:b w:val="1"/>
                <w:bCs w:val="1"/>
                <w:color w:val="auto"/>
              </w:rPr>
              <w:t>Net investment income</w:t>
            </w:r>
          </w:p>
        </w:tc>
        <w:tc>
          <w:tcPr>
            <w:tcW w:w="120" w:type="dxa"/>
            <w:vAlign w:val="bottom"/>
            <w:tcBorders>
              <w:bottom w:val="single" w:sz="8" w:color="auto"/>
            </w:tcBorders>
            <w:shd w:val="clear" w:color="auto" w:fill="CCECFF"/>
          </w:tcPr>
          <w:p>
            <w:pPr>
              <w:spacing w:after="0"/>
              <w:rPr>
                <w:sz w:val="13"/>
                <w:szCs w:val="13"/>
                <w:color w:val="auto"/>
              </w:rPr>
            </w:pPr>
          </w:p>
        </w:tc>
        <w:tc>
          <w:tcPr>
            <w:tcW w:w="8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11,835,182</w:t>
            </w:r>
          </w:p>
        </w:tc>
        <w:tc>
          <w:tcPr>
            <w:tcW w:w="14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220" w:type="dxa"/>
            <w:vAlign w:val="bottom"/>
            <w:tcBorders>
              <w:bottom w:val="single" w:sz="8" w:color="auto"/>
            </w:tcBorders>
            <w:shd w:val="clear" w:color="auto" w:fill="CCECFF"/>
          </w:tcPr>
          <w:p>
            <w:pPr>
              <w:spacing w:after="0"/>
              <w:rPr>
                <w:sz w:val="13"/>
                <w:szCs w:val="13"/>
                <w:color w:val="auto"/>
              </w:rPr>
            </w:pPr>
          </w:p>
        </w:tc>
        <w:tc>
          <w:tcPr>
            <w:tcW w:w="8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8,185,239</w:t>
            </w:r>
          </w:p>
        </w:tc>
        <w:tc>
          <w:tcPr>
            <w:tcW w:w="14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140" w:type="dxa"/>
            <w:vAlign w:val="bottom"/>
            <w:tcBorders>
              <w:bottom w:val="single" w:sz="8" w:color="auto"/>
            </w:tcBorders>
            <w:shd w:val="clear" w:color="auto" w:fill="CCECFF"/>
          </w:tcPr>
          <w:p>
            <w:pPr>
              <w:spacing w:after="0"/>
              <w:rPr>
                <w:sz w:val="13"/>
                <w:szCs w:val="13"/>
                <w:color w:val="auto"/>
              </w:rPr>
            </w:pPr>
          </w:p>
        </w:tc>
        <w:tc>
          <w:tcPr>
            <w:tcW w:w="8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19,295,204</w:t>
            </w:r>
          </w:p>
        </w:tc>
        <w:tc>
          <w:tcPr>
            <w:tcW w:w="24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160" w:type="dxa"/>
            <w:vAlign w:val="bottom"/>
            <w:tcBorders>
              <w:bottom w:val="single" w:sz="8" w:color="auto"/>
            </w:tcBorders>
            <w:shd w:val="clear" w:color="auto" w:fill="CCECFF"/>
          </w:tcPr>
          <w:p>
            <w:pPr>
              <w:spacing w:after="0"/>
              <w:rPr>
                <w:sz w:val="13"/>
                <w:szCs w:val="13"/>
                <w:color w:val="auto"/>
              </w:rPr>
            </w:pPr>
          </w:p>
        </w:tc>
        <w:tc>
          <w:tcPr>
            <w:tcW w:w="7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23,035,654</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520" w:type="dxa"/>
            <w:vAlign w:val="bottom"/>
          </w:tcPr>
          <w:p>
            <w:pPr>
              <w:spacing w:after="0" w:line="155" w:lineRule="exact"/>
              <w:rPr>
                <w:sz w:val="20"/>
                <w:szCs w:val="20"/>
                <w:color w:val="auto"/>
              </w:rPr>
            </w:pPr>
            <w:r>
              <w:rPr>
                <w:rFonts w:ascii="Arial" w:cs="Arial" w:eastAsia="Arial" w:hAnsi="Arial"/>
                <w:sz w:val="14"/>
                <w:szCs w:val="14"/>
                <w:b w:val="1"/>
                <w:bCs w:val="1"/>
                <w:color w:val="auto"/>
              </w:rPr>
              <w:t>Realized and unrealized (loss) gain on investments and debt:</w:t>
            </w: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520" w:type="dxa"/>
            <w:vAlign w:val="bottom"/>
            <w:shd w:val="clear" w:color="auto" w:fill="CCECFF"/>
          </w:tcPr>
          <w:p>
            <w:pPr>
              <w:spacing w:after="0"/>
              <w:rPr>
                <w:sz w:val="20"/>
                <w:szCs w:val="20"/>
                <w:color w:val="auto"/>
              </w:rPr>
            </w:pPr>
            <w:r>
              <w:rPr>
                <w:rFonts w:ascii="Arial" w:cs="Arial" w:eastAsia="Arial" w:hAnsi="Arial"/>
                <w:sz w:val="14"/>
                <w:szCs w:val="14"/>
                <w:color w:val="auto"/>
              </w:rPr>
              <w:t>Net realized (loss) gain on investments</w:t>
            </w:r>
          </w:p>
        </w:tc>
        <w:tc>
          <w:tcPr>
            <w:tcW w:w="120" w:type="dxa"/>
            <w:vAlign w:val="bottom"/>
            <w:shd w:val="clear" w:color="auto" w:fill="CCECFF"/>
          </w:tcPr>
          <w:p>
            <w:pPr>
              <w:spacing w:after="0"/>
              <w:rPr>
                <w:sz w:val="14"/>
                <w:szCs w:val="14"/>
                <w:color w:val="auto"/>
              </w:rPr>
            </w:pPr>
          </w:p>
        </w:tc>
        <w:tc>
          <w:tcPr>
            <w:tcW w:w="1020" w:type="dxa"/>
            <w:vAlign w:val="bottom"/>
            <w:gridSpan w:val="2"/>
            <w:shd w:val="clear" w:color="auto" w:fill="CCECFF"/>
          </w:tcPr>
          <w:p>
            <w:pPr>
              <w:jc w:val="right"/>
              <w:ind w:right="100"/>
              <w:spacing w:after="0"/>
              <w:rPr>
                <w:sz w:val="20"/>
                <w:szCs w:val="20"/>
                <w:color w:val="auto"/>
              </w:rPr>
            </w:pPr>
            <w:r>
              <w:rPr>
                <w:rFonts w:ascii="Arial" w:cs="Arial" w:eastAsia="Arial" w:hAnsi="Arial"/>
                <w:sz w:val="14"/>
                <w:szCs w:val="14"/>
                <w:color w:val="auto"/>
              </w:rPr>
              <w:t>(1,790,048)</w:t>
            </w:r>
          </w:p>
        </w:tc>
        <w:tc>
          <w:tcPr>
            <w:tcW w:w="8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2,451,169</w:t>
            </w:r>
          </w:p>
        </w:tc>
        <w:tc>
          <w:tcPr>
            <w:tcW w:w="14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060" w:type="dxa"/>
            <w:vAlign w:val="bottom"/>
            <w:gridSpan w:val="2"/>
            <w:shd w:val="clear" w:color="auto" w:fill="CCECFF"/>
          </w:tcPr>
          <w:p>
            <w:pPr>
              <w:jc w:val="right"/>
              <w:ind w:right="180"/>
              <w:spacing w:after="0"/>
              <w:rPr>
                <w:sz w:val="20"/>
                <w:szCs w:val="20"/>
                <w:color w:val="auto"/>
              </w:rPr>
            </w:pPr>
            <w:r>
              <w:rPr>
                <w:rFonts w:ascii="Arial" w:cs="Arial" w:eastAsia="Arial" w:hAnsi="Arial"/>
                <w:sz w:val="14"/>
                <w:szCs w:val="14"/>
                <w:color w:val="auto"/>
              </w:rPr>
              <w:t>(3,113,542)</w:t>
            </w:r>
          </w:p>
        </w:tc>
        <w:tc>
          <w:tcPr>
            <w:tcW w:w="2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4,961,180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20" w:type="dxa"/>
            <w:vAlign w:val="bottom"/>
          </w:tcPr>
          <w:p>
            <w:pPr>
              <w:spacing w:after="0"/>
              <w:rPr>
                <w:sz w:val="20"/>
                <w:szCs w:val="20"/>
                <w:color w:val="auto"/>
              </w:rPr>
            </w:pPr>
            <w:r>
              <w:rPr>
                <w:rFonts w:ascii="Arial" w:cs="Arial" w:eastAsia="Arial" w:hAnsi="Arial"/>
                <w:sz w:val="14"/>
                <w:szCs w:val="14"/>
                <w:color w:val="auto"/>
              </w:rPr>
              <w:t>Net change in unrealized (depreciation) appreciation on:</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Non-controlled, non-affiliated investments</w:t>
            </w:r>
          </w:p>
        </w:tc>
        <w:tc>
          <w:tcPr>
            <w:tcW w:w="120" w:type="dxa"/>
            <w:vAlign w:val="bottom"/>
            <w:shd w:val="clear" w:color="auto" w:fill="CCECFF"/>
          </w:tcPr>
          <w:p>
            <w:pPr>
              <w:spacing w:after="0"/>
              <w:rPr>
                <w:sz w:val="14"/>
                <w:szCs w:val="14"/>
                <w:color w:val="auto"/>
              </w:rPr>
            </w:pPr>
          </w:p>
        </w:tc>
        <w:tc>
          <w:tcPr>
            <w:tcW w:w="1020" w:type="dxa"/>
            <w:vAlign w:val="bottom"/>
            <w:gridSpan w:val="2"/>
            <w:shd w:val="clear" w:color="auto" w:fill="CCECFF"/>
          </w:tcPr>
          <w:p>
            <w:pPr>
              <w:jc w:val="right"/>
              <w:ind w:right="100"/>
              <w:spacing w:after="0"/>
              <w:rPr>
                <w:sz w:val="20"/>
                <w:szCs w:val="20"/>
                <w:color w:val="auto"/>
              </w:rPr>
            </w:pPr>
            <w:r>
              <w:rPr>
                <w:rFonts w:ascii="Arial" w:cs="Arial" w:eastAsia="Arial" w:hAnsi="Arial"/>
                <w:sz w:val="14"/>
                <w:szCs w:val="14"/>
                <w:color w:val="auto"/>
              </w:rPr>
              <w:t>(3,370,875)</w:t>
            </w:r>
          </w:p>
        </w:tc>
        <w:tc>
          <w:tcPr>
            <w:tcW w:w="8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625,872</w:t>
            </w:r>
          </w:p>
        </w:tc>
        <w:tc>
          <w:tcPr>
            <w:tcW w:w="14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060" w:type="dxa"/>
            <w:vAlign w:val="bottom"/>
            <w:gridSpan w:val="2"/>
            <w:shd w:val="clear" w:color="auto" w:fill="CCECFF"/>
          </w:tcPr>
          <w:p>
            <w:pPr>
              <w:jc w:val="right"/>
              <w:ind w:right="180"/>
              <w:spacing w:after="0"/>
              <w:rPr>
                <w:sz w:val="20"/>
                <w:szCs w:val="20"/>
                <w:color w:val="auto"/>
              </w:rPr>
            </w:pPr>
            <w:r>
              <w:rPr>
                <w:rFonts w:ascii="Arial" w:cs="Arial" w:eastAsia="Arial" w:hAnsi="Arial"/>
                <w:sz w:val="14"/>
                <w:szCs w:val="14"/>
                <w:color w:val="auto"/>
              </w:rPr>
              <w:t>(1,185,879)</w:t>
            </w:r>
          </w:p>
        </w:tc>
        <w:tc>
          <w:tcPr>
            <w:tcW w:w="2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426,906</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20" w:type="dxa"/>
            <w:vAlign w:val="bottom"/>
          </w:tcPr>
          <w:p>
            <w:pPr>
              <w:ind w:left="260"/>
              <w:spacing w:after="0"/>
              <w:rPr>
                <w:sz w:val="20"/>
                <w:szCs w:val="20"/>
                <w:color w:val="auto"/>
              </w:rPr>
            </w:pPr>
            <w:r>
              <w:rPr>
                <w:rFonts w:ascii="Arial" w:cs="Arial" w:eastAsia="Arial" w:hAnsi="Arial"/>
                <w:sz w:val="14"/>
                <w:szCs w:val="14"/>
                <w:color w:val="auto"/>
              </w:rPr>
              <w:t>Controlled, affiliated investments</w:t>
            </w: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182,630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22,425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936,330</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22,425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Debt (appreciation) depreciation (See Notes 5 and 10)</w:t>
            </w:r>
          </w:p>
        </w:tc>
        <w:tc>
          <w:tcPr>
            <w:tcW w:w="120" w:type="dxa"/>
            <w:vAlign w:val="bottom"/>
            <w:shd w:val="clear" w:color="auto" w:fill="CCECFF"/>
          </w:tcPr>
          <w:p>
            <w:pPr>
              <w:spacing w:after="0"/>
              <w:rPr>
                <w:sz w:val="14"/>
                <w:szCs w:val="14"/>
                <w:color w:val="auto"/>
              </w:rPr>
            </w:pPr>
          </w:p>
        </w:tc>
        <w:tc>
          <w:tcPr>
            <w:tcW w:w="1020" w:type="dxa"/>
            <w:vAlign w:val="bottom"/>
            <w:gridSpan w:val="2"/>
            <w:shd w:val="clear" w:color="auto" w:fill="CCECFF"/>
          </w:tcPr>
          <w:p>
            <w:pPr>
              <w:jc w:val="right"/>
              <w:ind w:right="100"/>
              <w:spacing w:after="0"/>
              <w:rPr>
                <w:sz w:val="20"/>
                <w:szCs w:val="20"/>
                <w:color w:val="auto"/>
              </w:rPr>
            </w:pPr>
            <w:r>
              <w:rPr>
                <w:rFonts w:ascii="Arial" w:cs="Arial" w:eastAsia="Arial" w:hAnsi="Arial"/>
                <w:sz w:val="14"/>
                <w:szCs w:val="14"/>
                <w:color w:val="auto"/>
              </w:rPr>
              <w:t>(1,888,502)</w:t>
            </w:r>
          </w:p>
        </w:tc>
        <w:tc>
          <w:tcPr>
            <w:tcW w:w="8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940" w:type="dxa"/>
            <w:vAlign w:val="bottom"/>
            <w:gridSpan w:val="2"/>
            <w:shd w:val="clear" w:color="auto" w:fill="CCECFF"/>
          </w:tcPr>
          <w:p>
            <w:pPr>
              <w:jc w:val="right"/>
              <w:ind w:right="100"/>
              <w:spacing w:after="0"/>
              <w:rPr>
                <w:sz w:val="20"/>
                <w:szCs w:val="20"/>
                <w:color w:val="auto"/>
              </w:rPr>
            </w:pPr>
            <w:r>
              <w:rPr>
                <w:rFonts w:ascii="Arial" w:cs="Arial" w:eastAsia="Arial" w:hAnsi="Arial"/>
                <w:sz w:val="14"/>
                <w:szCs w:val="14"/>
                <w:color w:val="auto"/>
              </w:rPr>
              <w:t>(1,942,856)</w:t>
            </w:r>
          </w:p>
        </w:tc>
        <w:tc>
          <w:tcPr>
            <w:tcW w:w="8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8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6,544,816</w:t>
            </w:r>
          </w:p>
        </w:tc>
        <w:tc>
          <w:tcPr>
            <w:tcW w:w="24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88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(2,972,262)</w:t>
            </w:r>
          </w:p>
        </w:tc>
        <w:tc>
          <w:tcPr>
            <w:tcW w:w="0" w:type="dxa"/>
            <w:vAlign w:val="bottom"/>
          </w:tcPr>
          <w:p>
            <w:pPr>
              <w:spacing w:after="0"/>
              <w:rPr>
                <w:sz w:val="1"/>
                <w:szCs w:val="1"/>
                <w:color w:val="auto"/>
              </w:rPr>
            </w:pPr>
          </w:p>
        </w:tc>
      </w:tr>
      <w:tr>
        <w:trPr>
          <w:trHeight w:val="155"/>
        </w:trPr>
        <w:tc>
          <w:tcPr>
            <w:tcW w:w="652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Net change in unrealized (depreciation) appreciation on investments and debt</w:t>
            </w:r>
          </w:p>
        </w:tc>
        <w:tc>
          <w:tcPr>
            <w:tcW w:w="12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(5,076,747)</w:t>
            </w:r>
          </w:p>
        </w:tc>
        <w:tc>
          <w:tcPr>
            <w:tcW w:w="140" w:type="dxa"/>
            <w:vAlign w:val="bottom"/>
            <w:tcBorders>
              <w:bottom w:val="single" w:sz="8" w:color="CCECFF"/>
            </w:tcBorders>
          </w:tcPr>
          <w:p>
            <w:pPr>
              <w:spacing w:after="0"/>
              <w:rPr>
                <w:sz w:val="13"/>
                <w:szCs w:val="13"/>
                <w:color w:val="auto"/>
              </w:rPr>
            </w:pPr>
          </w:p>
        </w:tc>
        <w:tc>
          <w:tcPr>
            <w:tcW w:w="80" w:type="dxa"/>
            <w:vAlign w:val="bottom"/>
            <w:tcBorders>
              <w:bottom w:val="single" w:sz="8" w:color="CCEC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(1,294,559)</w:t>
            </w:r>
          </w:p>
        </w:tc>
        <w:tc>
          <w:tcPr>
            <w:tcW w:w="140" w:type="dxa"/>
            <w:vAlign w:val="bottom"/>
            <w:tcBorders>
              <w:bottom w:val="single" w:sz="8" w:color="CCECFF"/>
            </w:tcBorders>
          </w:tcPr>
          <w:p>
            <w:pPr>
              <w:spacing w:after="0"/>
              <w:rPr>
                <w:sz w:val="13"/>
                <w:szCs w:val="13"/>
                <w:color w:val="auto"/>
              </w:rPr>
            </w:pPr>
          </w:p>
        </w:tc>
        <w:tc>
          <w:tcPr>
            <w:tcW w:w="80" w:type="dxa"/>
            <w:vAlign w:val="bottom"/>
            <w:tcBorders>
              <w:bottom w:val="single" w:sz="8" w:color="CCEC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6,295,267</w:t>
            </w:r>
          </w:p>
        </w:tc>
        <w:tc>
          <w:tcPr>
            <w:tcW w:w="240" w:type="dxa"/>
            <w:vAlign w:val="bottom"/>
            <w:tcBorders>
              <w:bottom w:val="single" w:sz="8" w:color="CCECFF"/>
            </w:tcBorders>
          </w:tcPr>
          <w:p>
            <w:pPr>
              <w:spacing w:after="0"/>
              <w:rPr>
                <w:sz w:val="13"/>
                <w:szCs w:val="13"/>
                <w:color w:val="auto"/>
              </w:rPr>
            </w:pPr>
          </w:p>
        </w:tc>
        <w:tc>
          <w:tcPr>
            <w:tcW w:w="20" w:type="dxa"/>
            <w:vAlign w:val="bottom"/>
            <w:tcBorders>
              <w:bottom w:val="single" w:sz="8" w:color="CCEC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(2,522,931)</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52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Net realized and unrealized (loss) gain from investments and debt</w:t>
            </w:r>
          </w:p>
        </w:tc>
        <w:tc>
          <w:tcPr>
            <w:tcW w:w="120" w:type="dxa"/>
            <w:vAlign w:val="bottom"/>
            <w:tcBorders>
              <w:bottom w:val="single" w:sz="8" w:color="auto"/>
            </w:tcBorders>
            <w:shd w:val="clear" w:color="auto" w:fill="CCECFF"/>
          </w:tcPr>
          <w:p>
            <w:pPr>
              <w:spacing w:after="0"/>
              <w:rPr>
                <w:sz w:val="13"/>
                <w:szCs w:val="13"/>
                <w:color w:val="auto"/>
              </w:rPr>
            </w:pPr>
          </w:p>
        </w:tc>
        <w:tc>
          <w:tcPr>
            <w:tcW w:w="8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(6,866,795)</w:t>
            </w:r>
          </w:p>
        </w:tc>
        <w:tc>
          <w:tcPr>
            <w:tcW w:w="14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220" w:type="dxa"/>
            <w:vAlign w:val="bottom"/>
            <w:tcBorders>
              <w:bottom w:val="single" w:sz="8" w:color="auto"/>
            </w:tcBorders>
            <w:shd w:val="clear" w:color="auto" w:fill="CCECFF"/>
          </w:tcPr>
          <w:p>
            <w:pPr>
              <w:spacing w:after="0"/>
              <w:rPr>
                <w:sz w:val="13"/>
                <w:szCs w:val="13"/>
                <w:color w:val="auto"/>
              </w:rPr>
            </w:pPr>
          </w:p>
        </w:tc>
        <w:tc>
          <w:tcPr>
            <w:tcW w:w="8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1,156,610</w:t>
            </w:r>
          </w:p>
        </w:tc>
        <w:tc>
          <w:tcPr>
            <w:tcW w:w="140" w:type="dxa"/>
            <w:vAlign w:val="bottom"/>
            <w:shd w:val="clear" w:color="auto" w:fill="CCECFF"/>
          </w:tcPr>
          <w:p>
            <w:pPr>
              <w:spacing w:after="0"/>
              <w:rPr>
                <w:sz w:val="13"/>
                <w:szCs w:val="13"/>
                <w:color w:val="auto"/>
              </w:rPr>
            </w:pPr>
          </w:p>
        </w:tc>
        <w:tc>
          <w:tcPr>
            <w:tcW w:w="80" w:type="dxa"/>
            <w:vAlign w:val="bottom"/>
            <w:shd w:val="clear" w:color="auto" w:fill="CCECFF"/>
          </w:tcPr>
          <w:p>
            <w:pPr>
              <w:spacing w:after="0"/>
              <w:rPr>
                <w:sz w:val="13"/>
                <w:szCs w:val="13"/>
                <w:color w:val="auto"/>
              </w:rPr>
            </w:pPr>
          </w:p>
        </w:tc>
        <w:tc>
          <w:tcPr>
            <w:tcW w:w="140" w:type="dxa"/>
            <w:vAlign w:val="bottom"/>
            <w:tcBorders>
              <w:bottom w:val="single" w:sz="8" w:color="auto"/>
            </w:tcBorders>
            <w:shd w:val="clear" w:color="auto" w:fill="CCECFF"/>
          </w:tcPr>
          <w:p>
            <w:pPr>
              <w:spacing w:after="0"/>
              <w:rPr>
                <w:sz w:val="13"/>
                <w:szCs w:val="13"/>
                <w:color w:val="auto"/>
              </w:rPr>
            </w:pPr>
          </w:p>
        </w:tc>
        <w:tc>
          <w:tcPr>
            <w:tcW w:w="8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3,181,725</w:t>
            </w:r>
          </w:p>
        </w:tc>
        <w:tc>
          <w:tcPr>
            <w:tcW w:w="24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160" w:type="dxa"/>
            <w:vAlign w:val="bottom"/>
            <w:tcBorders>
              <w:bottom w:val="single" w:sz="8" w:color="auto"/>
            </w:tcBorders>
            <w:shd w:val="clear" w:color="auto" w:fill="CCECFF"/>
          </w:tcPr>
          <w:p>
            <w:pPr>
              <w:spacing w:after="0"/>
              <w:rPr>
                <w:sz w:val="13"/>
                <w:szCs w:val="13"/>
                <w:color w:val="auto"/>
              </w:rPr>
            </w:pPr>
          </w:p>
        </w:tc>
        <w:tc>
          <w:tcPr>
            <w:tcW w:w="7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2,438,249</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6520" w:type="dxa"/>
            <w:vAlign w:val="bottom"/>
            <w:tcBorders>
              <w:bottom w:val="single" w:sz="8" w:color="CCECFF"/>
            </w:tcBorders>
          </w:tcPr>
          <w:p>
            <w:pPr>
              <w:spacing w:after="0" w:line="155" w:lineRule="exact"/>
              <w:rPr>
                <w:sz w:val="20"/>
                <w:szCs w:val="20"/>
                <w:color w:val="auto"/>
              </w:rPr>
            </w:pPr>
            <w:r>
              <w:rPr>
                <w:rFonts w:ascii="Arial" w:cs="Arial" w:eastAsia="Arial" w:hAnsi="Arial"/>
                <w:sz w:val="14"/>
                <w:szCs w:val="14"/>
                <w:b w:val="1"/>
                <w:bCs w:val="1"/>
                <w:color w:val="auto"/>
              </w:rPr>
              <w:t>Net increase in net assets resulting from operations</w:t>
            </w: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4,968,387</w:t>
            </w:r>
          </w:p>
        </w:tc>
        <w:tc>
          <w:tcPr>
            <w:tcW w:w="140" w:type="dxa"/>
            <w:vAlign w:val="bottom"/>
            <w:tcBorders>
              <w:bottom w:val="single" w:sz="8" w:color="CCECFF"/>
            </w:tcBorders>
          </w:tcPr>
          <w:p>
            <w:pPr>
              <w:spacing w:after="0"/>
              <w:rPr>
                <w:sz w:val="17"/>
                <w:szCs w:val="17"/>
                <w:color w:val="auto"/>
              </w:rPr>
            </w:pPr>
          </w:p>
        </w:tc>
        <w:tc>
          <w:tcPr>
            <w:tcW w:w="80" w:type="dxa"/>
            <w:vAlign w:val="bottom"/>
            <w:tcBorders>
              <w:bottom w:val="single" w:sz="8" w:color="CCECFF"/>
            </w:tcBorders>
          </w:tcPr>
          <w:p>
            <w:pPr>
              <w:spacing w:after="0"/>
              <w:rPr>
                <w:sz w:val="17"/>
                <w:szCs w:val="17"/>
                <w:color w:val="auto"/>
              </w:rPr>
            </w:pPr>
          </w:p>
        </w:tc>
        <w:tc>
          <w:tcPr>
            <w:tcW w:w="2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9,341,849</w:t>
            </w:r>
          </w:p>
        </w:tc>
        <w:tc>
          <w:tcPr>
            <w:tcW w:w="140" w:type="dxa"/>
            <w:vAlign w:val="bottom"/>
            <w:tcBorders>
              <w:bottom w:val="single" w:sz="8" w:color="CCECFF"/>
            </w:tcBorders>
          </w:tcPr>
          <w:p>
            <w:pPr>
              <w:spacing w:after="0"/>
              <w:rPr>
                <w:sz w:val="17"/>
                <w:szCs w:val="17"/>
                <w:color w:val="auto"/>
              </w:rPr>
            </w:pPr>
          </w:p>
        </w:tc>
        <w:tc>
          <w:tcPr>
            <w:tcW w:w="80" w:type="dxa"/>
            <w:vAlign w:val="bottom"/>
            <w:tcBorders>
              <w:bottom w:val="single" w:sz="8" w:color="CCECFF"/>
            </w:tcBorders>
          </w:tcPr>
          <w:p>
            <w:pPr>
              <w:spacing w:after="0"/>
              <w:rPr>
                <w:sz w:val="17"/>
                <w:szCs w:val="17"/>
                <w:color w:val="auto"/>
              </w:rPr>
            </w:pPr>
          </w:p>
        </w:tc>
        <w:tc>
          <w:tcPr>
            <w:tcW w:w="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22,476,929</w:t>
            </w:r>
          </w:p>
        </w:tc>
        <w:tc>
          <w:tcPr>
            <w:tcW w:w="240" w:type="dxa"/>
            <w:vAlign w:val="bottom"/>
            <w:tcBorders>
              <w:bottom w:val="single" w:sz="8" w:color="CCECFF"/>
            </w:tcBorders>
          </w:tcPr>
          <w:p>
            <w:pPr>
              <w:spacing w:after="0"/>
              <w:rPr>
                <w:sz w:val="17"/>
                <w:szCs w:val="17"/>
                <w:color w:val="auto"/>
              </w:rPr>
            </w:pPr>
          </w:p>
        </w:tc>
        <w:tc>
          <w:tcPr>
            <w:tcW w:w="20" w:type="dxa"/>
            <w:vAlign w:val="bottom"/>
            <w:tcBorders>
              <w:bottom w:val="single" w:sz="8" w:color="CCECFF"/>
            </w:tcBorders>
          </w:tcPr>
          <w:p>
            <w:pPr>
              <w:spacing w:after="0"/>
              <w:rPr>
                <w:sz w:val="17"/>
                <w:szCs w:val="17"/>
                <w:color w:val="auto"/>
              </w:rPr>
            </w:pPr>
          </w:p>
        </w:tc>
        <w:tc>
          <w:tcPr>
            <w:tcW w:w="160" w:type="dxa"/>
            <w:vAlign w:val="bottom"/>
            <w:tcBorders>
              <w:bottom w:val="single" w:sz="8" w:color="auto"/>
            </w:tcBorders>
          </w:tcPr>
          <w:p>
            <w:pPr>
              <w:jc w:val="right"/>
              <w:ind w:right="94"/>
              <w:spacing w:after="0"/>
              <w:rPr>
                <w:sz w:val="20"/>
                <w:szCs w:val="20"/>
                <w:color w:val="auto"/>
              </w:rPr>
            </w:pPr>
            <w:r>
              <w:rPr>
                <w:rFonts w:ascii="Arial" w:cs="Arial" w:eastAsia="Arial" w:hAnsi="Arial"/>
                <w:sz w:val="5"/>
                <w:szCs w:val="5"/>
                <w:color w:val="auto"/>
                <w:w w:val="70"/>
              </w:rPr>
              <w:t>$</w:t>
            </w: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25,473,903</w:t>
            </w:r>
          </w:p>
        </w:tc>
        <w:tc>
          <w:tcPr>
            <w:tcW w:w="100" w:type="dxa"/>
            <w:vAlign w:val="bottom"/>
            <w:tcBorders>
              <w:bottom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6520" w:type="dxa"/>
            <w:vAlign w:val="bottom"/>
            <w:tcBorders>
              <w:bottom w:val="single" w:sz="8" w:color="CCECFF"/>
            </w:tcBorders>
            <w:shd w:val="clear" w:color="auto" w:fill="CCECFF"/>
          </w:tcPr>
          <w:p>
            <w:pPr>
              <w:spacing w:after="0" w:line="143" w:lineRule="exact"/>
              <w:rPr>
                <w:sz w:val="20"/>
                <w:szCs w:val="20"/>
                <w:color w:val="auto"/>
              </w:rPr>
            </w:pPr>
            <w:r>
              <w:rPr>
                <w:rFonts w:ascii="Arial" w:cs="Arial" w:eastAsia="Arial" w:hAnsi="Arial"/>
                <w:sz w:val="14"/>
                <w:szCs w:val="14"/>
                <w:color w:val="auto"/>
              </w:rPr>
              <w:t>Net increase in net assets resulting from operations per common share (See Note 7)</w:t>
            </w:r>
          </w:p>
        </w:tc>
        <w:tc>
          <w:tcPr>
            <w:tcW w:w="120" w:type="dxa"/>
            <w:vAlign w:val="bottom"/>
            <w:tcBorders>
              <w:bottom w:val="single" w:sz="8" w:color="auto"/>
            </w:tcBorders>
            <w:shd w:val="clear" w:color="auto" w:fill="CCECFF"/>
          </w:tcPr>
          <w:p>
            <w:pPr>
              <w:jc w:val="right"/>
              <w:ind w:right="9"/>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0.13</w:t>
            </w:r>
          </w:p>
        </w:tc>
        <w:tc>
          <w:tcPr>
            <w:tcW w:w="140" w:type="dxa"/>
            <w:vAlign w:val="bottom"/>
            <w:tcBorders>
              <w:bottom w:val="single" w:sz="8" w:color="CCECFF"/>
            </w:tcBorders>
            <w:shd w:val="clear" w:color="auto" w:fill="CCECFF"/>
          </w:tcPr>
          <w:p>
            <w:pPr>
              <w:spacing w:after="0"/>
              <w:rPr>
                <w:sz w:val="12"/>
                <w:szCs w:val="12"/>
                <w:color w:val="auto"/>
              </w:rPr>
            </w:pPr>
          </w:p>
        </w:tc>
        <w:tc>
          <w:tcPr>
            <w:tcW w:w="80" w:type="dxa"/>
            <w:vAlign w:val="bottom"/>
            <w:tcBorders>
              <w:bottom w:val="single" w:sz="8" w:color="CCECFF"/>
            </w:tcBorders>
            <w:shd w:val="clear" w:color="auto" w:fill="CCECFF"/>
          </w:tcPr>
          <w:p>
            <w:pPr>
              <w:spacing w:after="0"/>
              <w:rPr>
                <w:sz w:val="12"/>
                <w:szCs w:val="12"/>
                <w:color w:val="auto"/>
              </w:rPr>
            </w:pPr>
          </w:p>
        </w:tc>
        <w:tc>
          <w:tcPr>
            <w:tcW w:w="220" w:type="dxa"/>
            <w:vAlign w:val="bottom"/>
            <w:tcBorders>
              <w:bottom w:val="single" w:sz="8" w:color="auto"/>
            </w:tcBorders>
            <w:shd w:val="clear" w:color="auto" w:fill="CCECFF"/>
          </w:tcPr>
          <w:p>
            <w:pPr>
              <w:jc w:val="right"/>
              <w:ind w:right="68"/>
              <w:spacing w:after="0" w:line="143"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0.29</w:t>
            </w:r>
          </w:p>
        </w:tc>
        <w:tc>
          <w:tcPr>
            <w:tcW w:w="140" w:type="dxa"/>
            <w:vAlign w:val="bottom"/>
            <w:tcBorders>
              <w:bottom w:val="single" w:sz="8" w:color="CCECFF"/>
            </w:tcBorders>
            <w:shd w:val="clear" w:color="auto" w:fill="CCECFF"/>
          </w:tcPr>
          <w:p>
            <w:pPr>
              <w:spacing w:after="0"/>
              <w:rPr>
                <w:sz w:val="12"/>
                <w:szCs w:val="12"/>
                <w:color w:val="auto"/>
              </w:rPr>
            </w:pPr>
          </w:p>
        </w:tc>
        <w:tc>
          <w:tcPr>
            <w:tcW w:w="80" w:type="dxa"/>
            <w:vAlign w:val="bottom"/>
            <w:tcBorders>
              <w:bottom w:val="single" w:sz="8" w:color="CCECFF"/>
            </w:tcBorders>
            <w:shd w:val="clear" w:color="auto" w:fill="CCECFF"/>
          </w:tcPr>
          <w:p>
            <w:pPr>
              <w:spacing w:after="0"/>
              <w:rPr>
                <w:sz w:val="12"/>
                <w:szCs w:val="12"/>
                <w:color w:val="auto"/>
              </w:rPr>
            </w:pPr>
          </w:p>
        </w:tc>
        <w:tc>
          <w:tcPr>
            <w:tcW w:w="14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0.59</w:t>
            </w:r>
          </w:p>
        </w:tc>
        <w:tc>
          <w:tcPr>
            <w:tcW w:w="240" w:type="dxa"/>
            <w:vAlign w:val="bottom"/>
            <w:tcBorders>
              <w:bottom w:val="single" w:sz="8" w:color="CCECFF"/>
            </w:tcBorders>
            <w:shd w:val="clear" w:color="auto" w:fill="CCECFF"/>
          </w:tcPr>
          <w:p>
            <w:pPr>
              <w:spacing w:after="0"/>
              <w:rPr>
                <w:sz w:val="12"/>
                <w:szCs w:val="12"/>
                <w:color w:val="auto"/>
              </w:rPr>
            </w:pPr>
          </w:p>
        </w:tc>
        <w:tc>
          <w:tcPr>
            <w:tcW w:w="20" w:type="dxa"/>
            <w:vAlign w:val="bottom"/>
            <w:tcBorders>
              <w:bottom w:val="single" w:sz="8" w:color="CCECFF"/>
            </w:tcBorders>
            <w:shd w:val="clear" w:color="auto" w:fill="CCECFF"/>
          </w:tcPr>
          <w:p>
            <w:pPr>
              <w:spacing w:after="0"/>
              <w:rPr>
                <w:sz w:val="12"/>
                <w:szCs w:val="12"/>
                <w:color w:val="auto"/>
              </w:rPr>
            </w:pPr>
          </w:p>
        </w:tc>
        <w:tc>
          <w:tcPr>
            <w:tcW w:w="160" w:type="dxa"/>
            <w:vAlign w:val="bottom"/>
            <w:tcBorders>
              <w:bottom w:val="single" w:sz="8" w:color="auto"/>
            </w:tcBorders>
            <w:shd w:val="clear" w:color="auto" w:fill="CCECFF"/>
          </w:tcPr>
          <w:p>
            <w:pPr>
              <w:jc w:val="right"/>
              <w:ind w:right="94"/>
              <w:spacing w:after="0"/>
              <w:rPr>
                <w:sz w:val="20"/>
                <w:szCs w:val="20"/>
                <w:color w:val="auto"/>
              </w:rPr>
            </w:pPr>
            <w:r>
              <w:rPr>
                <w:rFonts w:ascii="Arial" w:cs="Arial" w:eastAsia="Arial" w:hAnsi="Arial"/>
                <w:sz w:val="5"/>
                <w:szCs w:val="5"/>
                <w:color w:val="auto"/>
                <w:w w:val="70"/>
              </w:rPr>
              <w:t>$</w:t>
            </w:r>
          </w:p>
        </w:tc>
        <w:tc>
          <w:tcPr>
            <w:tcW w:w="78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0.86</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Arial" w:cs="Arial" w:eastAsia="Arial" w:hAnsi="Arial"/>
                <w:sz w:val="14"/>
                <w:szCs w:val="14"/>
                <w:color w:val="auto"/>
              </w:rPr>
              <w:t>Net investment income per common share</w:t>
            </w: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520" w:type="dxa"/>
            <w:vAlign w:val="bottom"/>
            <w:vMerge w:val="continue"/>
          </w:tcPr>
          <w:p>
            <w:pPr>
              <w:spacing w:after="0"/>
              <w:rPr>
                <w:sz w:val="12"/>
                <w:szCs w:val="12"/>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0.31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68"/>
              <w:spacing w:after="0" w:line="143"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0.25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0.51</w:t>
            </w:r>
          </w:p>
        </w:tc>
        <w:tc>
          <w:tcPr>
            <w:tcW w:w="2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5"/>
                <w:szCs w:val="5"/>
                <w:color w:val="auto"/>
                <w:w w:val="70"/>
              </w:rPr>
              <w:t>$</w:t>
            </w:r>
          </w:p>
        </w:tc>
        <w:tc>
          <w:tcPr>
            <w:tcW w:w="7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0.78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STATEMENTS OF CHANGES IN NET ASSETS</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6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rPr>
              <w:t>Nine Months Ended June 30,</w:t>
            </w:r>
          </w:p>
        </w:tc>
        <w:tc>
          <w:tcPr>
            <w:tcW w:w="0" w:type="dxa"/>
            <w:vAlign w:val="bottom"/>
          </w:tcPr>
          <w:p>
            <w:pPr>
              <w:spacing w:after="0"/>
              <w:rPr>
                <w:sz w:val="1"/>
                <w:szCs w:val="1"/>
                <w:color w:val="auto"/>
              </w:rPr>
            </w:pPr>
          </w:p>
        </w:tc>
      </w:tr>
      <w:tr>
        <w:trPr>
          <w:trHeight w:val="155"/>
        </w:trPr>
        <w:tc>
          <w:tcPr>
            <w:tcW w:w="7720" w:type="dxa"/>
            <w:vAlign w:val="bottom"/>
            <w:tcBorders>
              <w:bottom w:val="single" w:sz="8" w:color="CCEC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bottom w:val="single" w:sz="8" w:color="CCEC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72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Net increase in net assets resulting from operations:</w:t>
            </w:r>
          </w:p>
        </w:tc>
        <w:tc>
          <w:tcPr>
            <w:tcW w:w="360" w:type="dxa"/>
            <w:vAlign w:val="bottom"/>
            <w:shd w:val="clear" w:color="auto" w:fill="CCECFF"/>
          </w:tcPr>
          <w:p>
            <w:pPr>
              <w:spacing w:after="0"/>
              <w:rPr>
                <w:sz w:val="13"/>
                <w:szCs w:val="13"/>
                <w:color w:val="auto"/>
              </w:rPr>
            </w:pPr>
          </w:p>
        </w:tc>
        <w:tc>
          <w:tcPr>
            <w:tcW w:w="120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360" w:type="dxa"/>
            <w:vAlign w:val="bottom"/>
            <w:shd w:val="clear" w:color="auto" w:fill="CCECFF"/>
          </w:tcPr>
          <w:p>
            <w:pPr>
              <w:spacing w:after="0"/>
              <w:rPr>
                <w:sz w:val="13"/>
                <w:szCs w:val="13"/>
                <w:color w:val="auto"/>
              </w:rPr>
            </w:pPr>
          </w:p>
        </w:tc>
        <w:tc>
          <w:tcPr>
            <w:tcW w:w="12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Net investment income</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19,295,204</w:t>
            </w:r>
          </w:p>
        </w:tc>
        <w:tc>
          <w:tcPr>
            <w:tcW w:w="280" w:type="dxa"/>
            <w:vAlign w:val="bottom"/>
          </w:tcPr>
          <w:p>
            <w:pPr>
              <w:spacing w:after="0"/>
              <w:rPr>
                <w:sz w:val="14"/>
                <w:szCs w:val="14"/>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23,035,654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Net realized (loss) gain on investments</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(3,113,542)</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4,961,180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Net change in unrealized appreciation on investments</w:t>
            </w:r>
          </w:p>
        </w:tc>
        <w:tc>
          <w:tcPr>
            <w:tcW w:w="36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(249,549)</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449,331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Net change in unrealized depreciation (appreciation) on debt</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6,544,816</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(2,972,262)</w:t>
            </w:r>
          </w:p>
        </w:tc>
        <w:tc>
          <w:tcPr>
            <w:tcW w:w="0" w:type="dxa"/>
            <w:vAlign w:val="bottom"/>
          </w:tcPr>
          <w:p>
            <w:pPr>
              <w:spacing w:after="0"/>
              <w:rPr>
                <w:sz w:val="1"/>
                <w:szCs w:val="1"/>
                <w:color w:val="auto"/>
              </w:rPr>
            </w:pPr>
          </w:p>
        </w:tc>
      </w:tr>
      <w:tr>
        <w:trPr>
          <w:trHeight w:val="156"/>
        </w:trPr>
        <w:tc>
          <w:tcPr>
            <w:tcW w:w="772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Net increase in net assets resulting from operations</w:t>
            </w: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22,476,929</w:t>
            </w:r>
          </w:p>
        </w:tc>
        <w:tc>
          <w:tcPr>
            <w:tcW w:w="280" w:type="dxa"/>
            <w:vAlign w:val="bottom"/>
            <w:tcBorders>
              <w:bottom w:val="single" w:sz="8" w:color="CCEC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25,473,903</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72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Distributions to stockholders</w:t>
            </w:r>
          </w:p>
        </w:tc>
        <w:tc>
          <w:tcPr>
            <w:tcW w:w="360" w:type="dxa"/>
            <w:vAlign w:val="bottom"/>
            <w:tcBorders>
              <w:bottom w:val="single" w:sz="8" w:color="auto"/>
            </w:tcBorders>
            <w:shd w:val="clear" w:color="auto" w:fill="CCECFF"/>
          </w:tcPr>
          <w:p>
            <w:pPr>
              <w:spacing w:after="0"/>
              <w:rPr>
                <w:sz w:val="13"/>
                <w:szCs w:val="13"/>
                <w:color w:val="auto"/>
              </w:rPr>
            </w:pPr>
          </w:p>
        </w:tc>
        <w:tc>
          <w:tcPr>
            <w:tcW w:w="12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(32,524,643)</w:t>
            </w:r>
          </w:p>
        </w:tc>
        <w:tc>
          <w:tcPr>
            <w:tcW w:w="280" w:type="dxa"/>
            <w:vAlign w:val="bottom"/>
            <w:shd w:val="clear" w:color="auto" w:fill="CCECFF"/>
          </w:tcPr>
          <w:p>
            <w:pPr>
              <w:spacing w:after="0"/>
              <w:rPr>
                <w:sz w:val="13"/>
                <w:szCs w:val="13"/>
                <w:color w:val="auto"/>
              </w:rPr>
            </w:pPr>
          </w:p>
        </w:tc>
        <w:tc>
          <w:tcPr>
            <w:tcW w:w="360" w:type="dxa"/>
            <w:vAlign w:val="bottom"/>
            <w:tcBorders>
              <w:bottom w:val="single" w:sz="8" w:color="auto"/>
            </w:tcBorders>
            <w:shd w:val="clear" w:color="auto" w:fill="CCECFF"/>
          </w:tcPr>
          <w:p>
            <w:pPr>
              <w:spacing w:after="0"/>
              <w:rPr>
                <w:sz w:val="13"/>
                <w:szCs w:val="13"/>
                <w:color w:val="auto"/>
              </w:rPr>
            </w:pPr>
          </w:p>
        </w:tc>
        <w:tc>
          <w:tcPr>
            <w:tcW w:w="12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(25,585,463)</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720" w:type="dxa"/>
            <w:vAlign w:val="bottom"/>
          </w:tcPr>
          <w:p>
            <w:pPr>
              <w:spacing w:after="0" w:line="155" w:lineRule="exact"/>
              <w:rPr>
                <w:sz w:val="20"/>
                <w:szCs w:val="20"/>
                <w:color w:val="auto"/>
              </w:rPr>
            </w:pPr>
            <w:r>
              <w:rPr>
                <w:rFonts w:ascii="Arial" w:cs="Arial" w:eastAsia="Arial" w:hAnsi="Arial"/>
                <w:sz w:val="14"/>
                <w:szCs w:val="14"/>
                <w:b w:val="1"/>
                <w:bCs w:val="1"/>
                <w:color w:val="auto"/>
              </w:rPr>
              <w:t>Capital transactions</w:t>
            </w: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Public offering (See Note 1)</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89,031,800</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80,986,450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Offering costs</w:t>
            </w:r>
          </w:p>
        </w:tc>
        <w:tc>
          <w:tcPr>
            <w:tcW w:w="36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(1,012,044)</w:t>
            </w: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(470,000)</w:t>
            </w:r>
          </w:p>
        </w:tc>
        <w:tc>
          <w:tcPr>
            <w:tcW w:w="0" w:type="dxa"/>
            <w:vAlign w:val="bottom"/>
          </w:tcPr>
          <w:p>
            <w:pPr>
              <w:spacing w:after="0"/>
              <w:rPr>
                <w:sz w:val="1"/>
                <w:szCs w:val="1"/>
                <w:color w:val="auto"/>
              </w:rPr>
            </w:pPr>
          </w:p>
        </w:tc>
      </w:tr>
      <w:tr>
        <w:trPr>
          <w:trHeight w:val="156"/>
        </w:trPr>
        <w:tc>
          <w:tcPr>
            <w:tcW w:w="7720" w:type="dxa"/>
            <w:vAlign w:val="bottom"/>
            <w:tcBorders>
              <w:top w:val="single" w:sz="8" w:color="CCECFF"/>
            </w:tcBorders>
            <w:shd w:val="clear" w:color="auto" w:fill="CCECFF"/>
          </w:tcPr>
          <w:p>
            <w:pPr>
              <w:ind w:left="260"/>
              <w:spacing w:after="0" w:line="155" w:lineRule="exact"/>
              <w:rPr>
                <w:sz w:val="20"/>
                <w:szCs w:val="20"/>
                <w:color w:val="auto"/>
              </w:rPr>
            </w:pPr>
            <w:r>
              <w:rPr>
                <w:rFonts w:ascii="Arial" w:cs="Arial" w:eastAsia="Arial" w:hAnsi="Arial"/>
                <w:sz w:val="14"/>
                <w:szCs w:val="14"/>
                <w:b w:val="1"/>
                <w:bCs w:val="1"/>
                <w:color w:val="auto"/>
              </w:rPr>
              <w:t>Net increase in net assets resulting from capital transactions</w:t>
            </w:r>
          </w:p>
        </w:tc>
        <w:tc>
          <w:tcPr>
            <w:tcW w:w="360" w:type="dxa"/>
            <w:vAlign w:val="bottom"/>
            <w:tcBorders>
              <w:top w:val="single" w:sz="8" w:color="auto"/>
              <w:bottom w:val="single" w:sz="8" w:color="auto"/>
            </w:tcBorders>
            <w:shd w:val="clear" w:color="auto" w:fill="CCECFF"/>
          </w:tcPr>
          <w:p>
            <w:pPr>
              <w:spacing w:after="0"/>
              <w:rPr>
                <w:sz w:val="13"/>
                <w:szCs w:val="13"/>
                <w:color w:val="auto"/>
              </w:rPr>
            </w:pPr>
          </w:p>
        </w:tc>
        <w:tc>
          <w:tcPr>
            <w:tcW w:w="12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88,019,756</w:t>
            </w:r>
          </w:p>
        </w:tc>
        <w:tc>
          <w:tcPr>
            <w:tcW w:w="280" w:type="dxa"/>
            <w:vAlign w:val="bottom"/>
            <w:tcBorders>
              <w:top w:val="single" w:sz="8" w:color="CCECFF"/>
            </w:tcBorders>
            <w:shd w:val="clear" w:color="auto" w:fill="CCECFF"/>
          </w:tcPr>
          <w:p>
            <w:pPr>
              <w:spacing w:after="0"/>
              <w:rPr>
                <w:sz w:val="13"/>
                <w:szCs w:val="13"/>
                <w:color w:val="auto"/>
              </w:rPr>
            </w:pPr>
          </w:p>
        </w:tc>
        <w:tc>
          <w:tcPr>
            <w:tcW w:w="360" w:type="dxa"/>
            <w:vAlign w:val="bottom"/>
            <w:tcBorders>
              <w:top w:val="single" w:sz="8" w:color="auto"/>
              <w:bottom w:val="single" w:sz="8" w:color="auto"/>
            </w:tcBorders>
            <w:shd w:val="clear" w:color="auto" w:fill="CCECFF"/>
          </w:tcPr>
          <w:p>
            <w:pPr>
              <w:spacing w:after="0"/>
              <w:rPr>
                <w:sz w:val="13"/>
                <w:szCs w:val="13"/>
                <w:color w:val="auto"/>
              </w:rPr>
            </w:pPr>
          </w:p>
        </w:tc>
        <w:tc>
          <w:tcPr>
            <w:tcW w:w="12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80,516,450</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720" w:type="dxa"/>
            <w:vAlign w:val="bottom"/>
            <w:tcBorders>
              <w:bottom w:val="single" w:sz="8" w:color="CCECFF"/>
            </w:tcBorders>
          </w:tcPr>
          <w:p>
            <w:pPr>
              <w:spacing w:after="0" w:line="155" w:lineRule="exact"/>
              <w:rPr>
                <w:sz w:val="20"/>
                <w:szCs w:val="20"/>
                <w:color w:val="auto"/>
              </w:rPr>
            </w:pPr>
            <w:r>
              <w:rPr>
                <w:rFonts w:ascii="Arial" w:cs="Arial" w:eastAsia="Arial" w:hAnsi="Arial"/>
                <w:sz w:val="14"/>
                <w:szCs w:val="14"/>
                <w:b w:val="1"/>
                <w:bCs w:val="1"/>
                <w:color w:val="auto"/>
              </w:rPr>
              <w:t>Net increase in net assets</w:t>
            </w: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77,972,042</w:t>
            </w:r>
          </w:p>
        </w:tc>
        <w:tc>
          <w:tcPr>
            <w:tcW w:w="280" w:type="dxa"/>
            <w:vAlign w:val="bottom"/>
            <w:tcBorders>
              <w:bottom w:val="single" w:sz="8" w:color="CCEC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80,404,890</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72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Net assets:</w:t>
            </w:r>
          </w:p>
        </w:tc>
        <w:tc>
          <w:tcPr>
            <w:tcW w:w="360" w:type="dxa"/>
            <w:vAlign w:val="bottom"/>
            <w:shd w:val="clear" w:color="auto" w:fill="CCECFF"/>
          </w:tcPr>
          <w:p>
            <w:pPr>
              <w:spacing w:after="0"/>
              <w:rPr>
                <w:sz w:val="13"/>
                <w:szCs w:val="13"/>
                <w:color w:val="auto"/>
              </w:rPr>
            </w:pPr>
          </w:p>
        </w:tc>
        <w:tc>
          <w:tcPr>
            <w:tcW w:w="120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360" w:type="dxa"/>
            <w:vAlign w:val="bottom"/>
            <w:shd w:val="clear" w:color="auto" w:fill="CCECFF"/>
          </w:tcPr>
          <w:p>
            <w:pPr>
              <w:spacing w:after="0"/>
              <w:rPr>
                <w:sz w:val="13"/>
                <w:szCs w:val="13"/>
                <w:color w:val="auto"/>
              </w:rPr>
            </w:pPr>
          </w:p>
        </w:tc>
        <w:tc>
          <w:tcPr>
            <w:tcW w:w="12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tcBorders>
              <w:bottom w:val="single" w:sz="8" w:color="CCECFF"/>
            </w:tcBorders>
          </w:tcPr>
          <w:p>
            <w:pPr>
              <w:ind w:left="260"/>
              <w:spacing w:after="0"/>
              <w:rPr>
                <w:sz w:val="20"/>
                <w:szCs w:val="20"/>
                <w:color w:val="auto"/>
              </w:rPr>
            </w:pPr>
            <w:r>
              <w:rPr>
                <w:rFonts w:ascii="Arial" w:cs="Arial" w:eastAsia="Arial" w:hAnsi="Arial"/>
                <w:sz w:val="14"/>
                <w:szCs w:val="14"/>
                <w:color w:val="auto"/>
              </w:rPr>
              <w:t>Beginning of period</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457,906,274</w:t>
            </w:r>
          </w:p>
        </w:tc>
        <w:tc>
          <w:tcPr>
            <w:tcW w:w="280" w:type="dxa"/>
            <w:vAlign w:val="bottom"/>
            <w:tcBorders>
              <w:bottom w:val="single" w:sz="8" w:color="CCEC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375,906,828</w:t>
            </w:r>
          </w:p>
        </w:tc>
        <w:tc>
          <w:tcPr>
            <w:tcW w:w="12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20" w:type="dxa"/>
            <w:vAlign w:val="bottom"/>
            <w:tcBorders>
              <w:bottom w:val="single" w:sz="8" w:color="CCECFF"/>
            </w:tcBorders>
            <w:shd w:val="clear" w:color="auto" w:fill="CCECFF"/>
          </w:tcPr>
          <w:p>
            <w:pPr>
              <w:ind w:left="260"/>
              <w:spacing w:after="0" w:line="155" w:lineRule="exact"/>
              <w:rPr>
                <w:sz w:val="20"/>
                <w:szCs w:val="20"/>
                <w:color w:val="auto"/>
              </w:rPr>
            </w:pPr>
            <w:r>
              <w:rPr>
                <w:rFonts w:ascii="Arial" w:cs="Arial" w:eastAsia="Arial" w:hAnsi="Arial"/>
                <w:sz w:val="14"/>
                <w:szCs w:val="14"/>
                <w:color w:val="auto"/>
              </w:rPr>
              <w:t>End of period</w:t>
            </w:r>
          </w:p>
        </w:tc>
        <w:tc>
          <w:tcPr>
            <w:tcW w:w="360" w:type="dxa"/>
            <w:vAlign w:val="bottom"/>
            <w:tcBorders>
              <w:bottom w:val="single" w:sz="8" w:color="auto"/>
            </w:tcBorders>
            <w:shd w:val="clear" w:color="auto" w:fill="CCECFF"/>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535,878,316</w:t>
            </w:r>
          </w:p>
        </w:tc>
        <w:tc>
          <w:tcPr>
            <w:tcW w:w="280" w:type="dxa"/>
            <w:vAlign w:val="bottom"/>
            <w:tcBorders>
              <w:bottom w:val="single" w:sz="8" w:color="CCECFF"/>
            </w:tcBorders>
            <w:shd w:val="clear" w:color="auto" w:fill="CCECFF"/>
          </w:tcPr>
          <w:p>
            <w:pPr>
              <w:spacing w:after="0"/>
              <w:rPr>
                <w:sz w:val="13"/>
                <w:szCs w:val="13"/>
                <w:color w:val="auto"/>
              </w:rPr>
            </w:pPr>
          </w:p>
        </w:tc>
        <w:tc>
          <w:tcPr>
            <w:tcW w:w="360" w:type="dxa"/>
            <w:vAlign w:val="bottom"/>
            <w:tcBorders>
              <w:bottom w:val="single" w:sz="8" w:color="auto"/>
            </w:tcBorders>
            <w:shd w:val="clear" w:color="auto" w:fill="CCECFF"/>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456,311,718</w:t>
            </w:r>
          </w:p>
        </w:tc>
        <w:tc>
          <w:tcPr>
            <w:tcW w:w="12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ind w:left="260"/>
              <w:spacing w:after="0"/>
              <w:rPr>
                <w:sz w:val="20"/>
                <w:szCs w:val="20"/>
                <w:color w:val="auto"/>
              </w:rPr>
            </w:pPr>
            <w:r>
              <w:rPr>
                <w:rFonts w:ascii="Arial" w:cs="Arial" w:eastAsia="Arial" w:hAnsi="Arial"/>
                <w:sz w:val="14"/>
                <w:szCs w:val="14"/>
                <w:color w:val="auto"/>
              </w:rPr>
              <w:t>(Distributions in excess of) undistributed net investment income, end of period</w:t>
            </w:r>
          </w:p>
        </w:tc>
        <w:tc>
          <w:tcPr>
            <w:tcW w:w="3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720" w:type="dxa"/>
            <w:vAlign w:val="bottom"/>
            <w:tcBorders>
              <w:bottom w:val="single" w:sz="8" w:color="CCECFF"/>
            </w:tcBorders>
            <w:vMerge w:val="continue"/>
          </w:tcPr>
          <w:p>
            <w:pPr>
              <w:spacing w:after="0"/>
              <w:rPr>
                <w:sz w:val="15"/>
                <w:szCs w:val="15"/>
                <w:color w:val="auto"/>
              </w:rPr>
            </w:pPr>
          </w:p>
        </w:tc>
        <w:tc>
          <w:tcPr>
            <w:tcW w:w="360" w:type="dxa"/>
            <w:vAlign w:val="bottom"/>
            <w:tcBorders>
              <w:top w:val="single" w:sz="8" w:color="auto"/>
              <w:bottom w:val="single" w:sz="8" w:color="auto"/>
            </w:tcBorders>
          </w:tcPr>
          <w:p>
            <w:pPr>
              <w:jc w:val="right"/>
              <w:ind w:right="208"/>
              <w:spacing w:after="0" w:line="143"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(10,065,794)</w:t>
            </w:r>
          </w:p>
        </w:tc>
        <w:tc>
          <w:tcPr>
            <w:tcW w:w="280" w:type="dxa"/>
            <w:vAlign w:val="bottom"/>
            <w:tcBorders>
              <w:bottom w:val="single" w:sz="8" w:color="CCECFF"/>
            </w:tcBorders>
          </w:tcPr>
          <w:p>
            <w:pPr>
              <w:spacing w:after="0"/>
              <w:rPr>
                <w:sz w:val="15"/>
                <w:szCs w:val="15"/>
                <w:color w:val="auto"/>
              </w:rPr>
            </w:pPr>
          </w:p>
        </w:tc>
        <w:tc>
          <w:tcPr>
            <w:tcW w:w="360" w:type="dxa"/>
            <w:vAlign w:val="bottom"/>
            <w:tcBorders>
              <w:top w:val="single" w:sz="8" w:color="auto"/>
              <w:bottom w:val="single" w:sz="8" w:color="auto"/>
            </w:tcBorders>
          </w:tcPr>
          <w:p>
            <w:pPr>
              <w:jc w:val="right"/>
              <w:ind w:right="208"/>
              <w:spacing w:after="0" w:line="143"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2,009,837</w:t>
            </w:r>
          </w:p>
        </w:tc>
        <w:tc>
          <w:tcPr>
            <w:tcW w:w="120" w:type="dxa"/>
            <w:vAlign w:val="bottom"/>
            <w:tcBorders>
              <w:bottom w:val="single" w:sz="8" w:color="CCECFF"/>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720" w:type="dxa"/>
            <w:vAlign w:val="bottom"/>
            <w:shd w:val="clear" w:color="auto" w:fill="CCECFF"/>
          </w:tcPr>
          <w:p>
            <w:pPr>
              <w:spacing w:after="0" w:line="143" w:lineRule="exact"/>
              <w:rPr>
                <w:sz w:val="20"/>
                <w:szCs w:val="20"/>
                <w:color w:val="auto"/>
              </w:rPr>
            </w:pPr>
            <w:r>
              <w:rPr>
                <w:rFonts w:ascii="Arial" w:cs="Arial" w:eastAsia="Arial" w:hAnsi="Arial"/>
                <w:sz w:val="14"/>
                <w:szCs w:val="14"/>
                <w:b w:val="1"/>
                <w:bCs w:val="1"/>
                <w:color w:val="auto"/>
              </w:rPr>
              <w:t>Capital share activity:</w:t>
            </w:r>
          </w:p>
        </w:tc>
        <w:tc>
          <w:tcPr>
            <w:tcW w:w="360" w:type="dxa"/>
            <w:vAlign w:val="bottom"/>
            <w:shd w:val="clear" w:color="auto" w:fill="CCECFF"/>
          </w:tcPr>
          <w:p>
            <w:pPr>
              <w:spacing w:after="0"/>
              <w:rPr>
                <w:sz w:val="12"/>
                <w:szCs w:val="12"/>
                <w:color w:val="auto"/>
              </w:rPr>
            </w:pPr>
          </w:p>
        </w:tc>
        <w:tc>
          <w:tcPr>
            <w:tcW w:w="120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360" w:type="dxa"/>
            <w:vAlign w:val="bottom"/>
            <w:shd w:val="clear" w:color="auto" w:fill="CCECFF"/>
          </w:tcPr>
          <w:p>
            <w:pPr>
              <w:spacing w:after="0"/>
              <w:rPr>
                <w:sz w:val="12"/>
                <w:szCs w:val="12"/>
                <w:color w:val="auto"/>
              </w:rPr>
            </w:pPr>
          </w:p>
        </w:tc>
        <w:tc>
          <w:tcPr>
            <w:tcW w:w="12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Shares issued from public offering</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6,292,000</w:t>
            </w:r>
          </w:p>
        </w:tc>
        <w:tc>
          <w:tcPr>
            <w:tcW w:w="2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5,750,000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STATEMENTS OF CASH FLOWS</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6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rPr>
              <w:t>Nine Months Ended June 30,</w:t>
            </w:r>
          </w:p>
        </w:tc>
        <w:tc>
          <w:tcPr>
            <w:tcW w:w="0" w:type="dxa"/>
            <w:vAlign w:val="bottom"/>
          </w:tcPr>
          <w:p>
            <w:pPr>
              <w:spacing w:after="0"/>
              <w:rPr>
                <w:sz w:val="1"/>
                <w:szCs w:val="1"/>
                <w:color w:val="auto"/>
              </w:rPr>
            </w:pPr>
          </w:p>
        </w:tc>
      </w:tr>
      <w:tr>
        <w:trPr>
          <w:trHeight w:val="155"/>
        </w:trPr>
        <w:tc>
          <w:tcPr>
            <w:tcW w:w="7720" w:type="dxa"/>
            <w:vAlign w:val="bottom"/>
            <w:tcBorders>
              <w:bottom w:val="single" w:sz="8" w:color="CCEC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bottom w:val="single" w:sz="8" w:color="CCEC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72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Cash flows from operating activities:</w:t>
            </w:r>
          </w:p>
        </w:tc>
        <w:tc>
          <w:tcPr>
            <w:tcW w:w="360" w:type="dxa"/>
            <w:vAlign w:val="bottom"/>
            <w:shd w:val="clear" w:color="auto" w:fill="CCECFF"/>
          </w:tcPr>
          <w:p>
            <w:pPr>
              <w:spacing w:after="0"/>
              <w:rPr>
                <w:sz w:val="13"/>
                <w:szCs w:val="13"/>
                <w:color w:val="auto"/>
              </w:rPr>
            </w:pPr>
          </w:p>
        </w:tc>
        <w:tc>
          <w:tcPr>
            <w:tcW w:w="120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360" w:type="dxa"/>
            <w:vAlign w:val="bottom"/>
            <w:shd w:val="clear" w:color="auto" w:fill="CCECFF"/>
          </w:tcPr>
          <w:p>
            <w:pPr>
              <w:spacing w:after="0"/>
              <w:rPr>
                <w:sz w:val="13"/>
                <w:szCs w:val="13"/>
                <w:color w:val="auto"/>
              </w:rPr>
            </w:pPr>
          </w:p>
        </w:tc>
        <w:tc>
          <w:tcPr>
            <w:tcW w:w="12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Net increase in net assets resulting from operations</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22,476,929</w:t>
            </w:r>
          </w:p>
        </w:tc>
        <w:tc>
          <w:tcPr>
            <w:tcW w:w="280" w:type="dxa"/>
            <w:vAlign w:val="bottom"/>
          </w:tcPr>
          <w:p>
            <w:pPr>
              <w:spacing w:after="0"/>
              <w:rPr>
                <w:sz w:val="14"/>
                <w:szCs w:val="14"/>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25,473,903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7720" w:type="dxa"/>
            <w:vAlign w:val="bottom"/>
            <w:shd w:val="clear" w:color="auto" w:fill="CCECFF"/>
          </w:tcPr>
          <w:p>
            <w:pPr>
              <w:ind w:left="260"/>
              <w:spacing w:after="0" w:line="143" w:lineRule="exact"/>
              <w:rPr>
                <w:sz w:val="20"/>
                <w:szCs w:val="20"/>
                <w:color w:val="auto"/>
              </w:rPr>
            </w:pPr>
            <w:r>
              <w:rPr>
                <w:rFonts w:ascii="Arial" w:cs="Arial" w:eastAsia="Arial" w:hAnsi="Arial"/>
                <w:sz w:val="14"/>
                <w:szCs w:val="14"/>
                <w:color w:val="auto"/>
              </w:rPr>
              <w:t>Adjustments to reconcile net increase in net assets resulting from operations to net cash</w:t>
            </w:r>
          </w:p>
        </w:tc>
        <w:tc>
          <w:tcPr>
            <w:tcW w:w="360" w:type="dxa"/>
            <w:vAlign w:val="bottom"/>
            <w:shd w:val="clear" w:color="auto" w:fill="CCECFF"/>
          </w:tcPr>
          <w:p>
            <w:pPr>
              <w:spacing w:after="0"/>
              <w:rPr>
                <w:sz w:val="12"/>
                <w:szCs w:val="12"/>
                <w:color w:val="auto"/>
              </w:rPr>
            </w:pPr>
          </w:p>
        </w:tc>
        <w:tc>
          <w:tcPr>
            <w:tcW w:w="120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360" w:type="dxa"/>
            <w:vAlign w:val="bottom"/>
            <w:shd w:val="clear" w:color="auto" w:fill="CCECFF"/>
          </w:tcPr>
          <w:p>
            <w:pPr>
              <w:spacing w:after="0"/>
              <w:rPr>
                <w:sz w:val="12"/>
                <w:szCs w:val="12"/>
                <w:color w:val="auto"/>
              </w:rPr>
            </w:pPr>
          </w:p>
        </w:tc>
        <w:tc>
          <w:tcPr>
            <w:tcW w:w="12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720" w:type="dxa"/>
            <w:vAlign w:val="bottom"/>
            <w:shd w:val="clear" w:color="auto" w:fill="CCECFF"/>
          </w:tcPr>
          <w:p>
            <w:pPr>
              <w:ind w:left="360"/>
              <w:spacing w:after="0"/>
              <w:rPr>
                <w:sz w:val="20"/>
                <w:szCs w:val="20"/>
                <w:color w:val="auto"/>
              </w:rPr>
            </w:pPr>
            <w:r>
              <w:rPr>
                <w:rFonts w:ascii="Arial" w:cs="Arial" w:eastAsia="Arial" w:hAnsi="Arial"/>
                <w:sz w:val="14"/>
                <w:szCs w:val="14"/>
                <w:color w:val="auto"/>
              </w:rPr>
              <w:t>used in operating activities:</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Net change in unrealized appreciation on investments</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249,549</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(449,331)</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Net change in unrealized (depreciation) appreciation on debt</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(6,544,816)</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2,972,262</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Net realized loss (gain) on investments</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3,113,542</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(4,961,180)</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Net accretion of discount and amortization of premium</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(1,160,019)</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(1,375,901)</w:t>
            </w: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Purchases of investments</w:t>
            </w:r>
          </w:p>
        </w:tc>
        <w:tc>
          <w:tcPr>
            <w:tcW w:w="36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(480,647,540)</w:t>
            </w: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(407,800,909)</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Payment-in-kind interest</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(536,132)</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(389,796)</w:t>
            </w: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Proceeds from dispositions of investments</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283,586,945</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314,807,488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Increase in interest receivable</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(325,844)</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(689,411)</w:t>
            </w: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Decrease (increase) in receivable for investments sold</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14,185,850</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(24,940,277)</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Decrease (increase) in prepaid expenses and other assets</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524,785</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(121,042)</w:t>
            </w: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(Decrease) increase in payable for investments purchased</w:t>
            </w:r>
          </w:p>
        </w:tc>
        <w:tc>
          <w:tcPr>
            <w:tcW w:w="36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(17,300,500)</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3,485,909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Increase in interest payable on debt</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459,212</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320,026</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Increase in base management fee payable</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395,452</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332,070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Decrease in performance-based incentive fee payable</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(1,984,158)</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(417,973)</w:t>
            </w: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Increase (decrease) in accrued other expenses</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471,688</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(111,775)</w:t>
            </w:r>
          </w:p>
        </w:tc>
        <w:tc>
          <w:tcPr>
            <w:tcW w:w="0" w:type="dxa"/>
            <w:vAlign w:val="bottom"/>
          </w:tcPr>
          <w:p>
            <w:pPr>
              <w:spacing w:after="0"/>
              <w:rPr>
                <w:sz w:val="1"/>
                <w:szCs w:val="1"/>
                <w:color w:val="auto"/>
              </w:rPr>
            </w:pPr>
          </w:p>
        </w:tc>
      </w:tr>
      <w:tr>
        <w:trPr>
          <w:trHeight w:val="155"/>
        </w:trPr>
        <w:tc>
          <w:tcPr>
            <w:tcW w:w="7720" w:type="dxa"/>
            <w:vAlign w:val="bottom"/>
            <w:tcBorders>
              <w:top w:val="single" w:sz="8" w:color="CCECFF"/>
            </w:tcBorders>
            <w:shd w:val="clear" w:color="auto" w:fill="CCECFF"/>
          </w:tcPr>
          <w:p>
            <w:pPr>
              <w:ind w:left="740"/>
              <w:spacing w:after="0" w:line="155" w:lineRule="exact"/>
              <w:rPr>
                <w:sz w:val="20"/>
                <w:szCs w:val="20"/>
                <w:color w:val="auto"/>
              </w:rPr>
            </w:pPr>
            <w:r>
              <w:rPr>
                <w:rFonts w:ascii="Arial" w:cs="Arial" w:eastAsia="Arial" w:hAnsi="Arial"/>
                <w:sz w:val="14"/>
                <w:szCs w:val="14"/>
                <w:color w:val="auto"/>
              </w:rPr>
              <w:t>Net cash used in operating activities</w:t>
            </w:r>
          </w:p>
        </w:tc>
        <w:tc>
          <w:tcPr>
            <w:tcW w:w="360" w:type="dxa"/>
            <w:vAlign w:val="bottom"/>
            <w:tcBorders>
              <w:top w:val="single" w:sz="8" w:color="auto"/>
              <w:bottom w:val="single" w:sz="8" w:color="auto"/>
            </w:tcBorders>
            <w:shd w:val="clear" w:color="auto" w:fill="CCECFF"/>
          </w:tcPr>
          <w:p>
            <w:pPr>
              <w:spacing w:after="0"/>
              <w:rPr>
                <w:sz w:val="13"/>
                <w:szCs w:val="13"/>
                <w:color w:val="auto"/>
              </w:rPr>
            </w:pPr>
          </w:p>
        </w:tc>
        <w:tc>
          <w:tcPr>
            <w:tcW w:w="12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(183,035,057)</w:t>
            </w:r>
          </w:p>
        </w:tc>
        <w:tc>
          <w:tcPr>
            <w:tcW w:w="280" w:type="dxa"/>
            <w:vAlign w:val="bottom"/>
            <w:tcBorders>
              <w:top w:val="single" w:sz="8" w:color="CCECFF"/>
            </w:tcBorders>
            <w:shd w:val="clear" w:color="auto" w:fill="CCECFF"/>
          </w:tcPr>
          <w:p>
            <w:pPr>
              <w:spacing w:after="0"/>
              <w:rPr>
                <w:sz w:val="13"/>
                <w:szCs w:val="13"/>
                <w:color w:val="auto"/>
              </w:rPr>
            </w:pPr>
          </w:p>
        </w:tc>
        <w:tc>
          <w:tcPr>
            <w:tcW w:w="360" w:type="dxa"/>
            <w:vAlign w:val="bottom"/>
            <w:tcBorders>
              <w:top w:val="single" w:sz="8" w:color="auto"/>
              <w:bottom w:val="single" w:sz="8" w:color="auto"/>
            </w:tcBorders>
            <w:shd w:val="clear" w:color="auto" w:fill="CCECFF"/>
          </w:tcPr>
          <w:p>
            <w:pPr>
              <w:spacing w:after="0"/>
              <w:rPr>
                <w:sz w:val="13"/>
                <w:szCs w:val="13"/>
                <w:color w:val="auto"/>
              </w:rPr>
            </w:pPr>
          </w:p>
        </w:tc>
        <w:tc>
          <w:tcPr>
            <w:tcW w:w="12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(93,865,937)</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720" w:type="dxa"/>
            <w:vAlign w:val="bottom"/>
          </w:tcPr>
          <w:p>
            <w:pPr>
              <w:spacing w:after="0" w:line="155" w:lineRule="exact"/>
              <w:rPr>
                <w:sz w:val="20"/>
                <w:szCs w:val="20"/>
                <w:color w:val="auto"/>
              </w:rPr>
            </w:pPr>
            <w:r>
              <w:rPr>
                <w:rFonts w:ascii="Arial" w:cs="Arial" w:eastAsia="Arial" w:hAnsi="Arial"/>
                <w:sz w:val="14"/>
                <w:szCs w:val="14"/>
                <w:b w:val="1"/>
                <w:bCs w:val="1"/>
                <w:color w:val="auto"/>
              </w:rPr>
              <w:t>Cash flows from financing activities:</w:t>
            </w: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Public offering</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89,031,800</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80,986,450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Offering costs</w:t>
            </w:r>
          </w:p>
        </w:tc>
        <w:tc>
          <w:tcPr>
            <w:tcW w:w="36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(1,012,044)</w:t>
            </w: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(470,000)</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Distributions paid to stockholders</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(31,926,903)</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(25,039,213)</w:t>
            </w: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Proceeds from 2023 Notes issuance (See Notes 5 and 10)</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138,579,858</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Borrowings under Credit Facility (See Notes 5 and 10)</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143,985,010</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259,802,000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Repayments under Credit Facility (See Notes 5 and 10)</w:t>
            </w:r>
          </w:p>
        </w:tc>
        <w:tc>
          <w:tcPr>
            <w:tcW w:w="36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(142,095,000)</w:t>
            </w: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(201,500,000)</w:t>
            </w:r>
          </w:p>
        </w:tc>
        <w:tc>
          <w:tcPr>
            <w:tcW w:w="0" w:type="dxa"/>
            <w:vAlign w:val="bottom"/>
          </w:tcPr>
          <w:p>
            <w:pPr>
              <w:spacing w:after="0"/>
              <w:rPr>
                <w:sz w:val="1"/>
                <w:szCs w:val="1"/>
                <w:color w:val="auto"/>
              </w:rPr>
            </w:pPr>
          </w:p>
        </w:tc>
      </w:tr>
      <w:tr>
        <w:trPr>
          <w:trHeight w:val="156"/>
        </w:trPr>
        <w:tc>
          <w:tcPr>
            <w:tcW w:w="7720" w:type="dxa"/>
            <w:vAlign w:val="bottom"/>
            <w:tcBorders>
              <w:top w:val="single" w:sz="8" w:color="CCECFF"/>
            </w:tcBorders>
            <w:shd w:val="clear" w:color="auto" w:fill="CCECFF"/>
          </w:tcPr>
          <w:p>
            <w:pPr>
              <w:ind w:left="740"/>
              <w:spacing w:after="0" w:line="155" w:lineRule="exact"/>
              <w:rPr>
                <w:sz w:val="20"/>
                <w:szCs w:val="20"/>
                <w:color w:val="auto"/>
              </w:rPr>
            </w:pPr>
            <w:r>
              <w:rPr>
                <w:rFonts w:ascii="Arial" w:cs="Arial" w:eastAsia="Arial" w:hAnsi="Arial"/>
                <w:sz w:val="14"/>
                <w:szCs w:val="14"/>
                <w:color w:val="auto"/>
              </w:rPr>
              <w:t>Net cash provided by financing activities</w:t>
            </w:r>
          </w:p>
        </w:tc>
        <w:tc>
          <w:tcPr>
            <w:tcW w:w="360" w:type="dxa"/>
            <w:vAlign w:val="bottom"/>
            <w:tcBorders>
              <w:top w:val="single" w:sz="8" w:color="auto"/>
              <w:bottom w:val="single" w:sz="8" w:color="auto"/>
            </w:tcBorders>
            <w:shd w:val="clear" w:color="auto" w:fill="CCECFF"/>
          </w:tcPr>
          <w:p>
            <w:pPr>
              <w:spacing w:after="0"/>
              <w:rPr>
                <w:sz w:val="13"/>
                <w:szCs w:val="13"/>
                <w:color w:val="auto"/>
              </w:rPr>
            </w:pPr>
          </w:p>
        </w:tc>
        <w:tc>
          <w:tcPr>
            <w:tcW w:w="12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196,562,721</w:t>
            </w:r>
          </w:p>
        </w:tc>
        <w:tc>
          <w:tcPr>
            <w:tcW w:w="280" w:type="dxa"/>
            <w:vAlign w:val="bottom"/>
            <w:tcBorders>
              <w:top w:val="single" w:sz="8" w:color="CCECFF"/>
            </w:tcBorders>
            <w:shd w:val="clear" w:color="auto" w:fill="CCECFF"/>
          </w:tcPr>
          <w:p>
            <w:pPr>
              <w:spacing w:after="0"/>
              <w:rPr>
                <w:sz w:val="13"/>
                <w:szCs w:val="13"/>
                <w:color w:val="auto"/>
              </w:rPr>
            </w:pPr>
          </w:p>
        </w:tc>
        <w:tc>
          <w:tcPr>
            <w:tcW w:w="360" w:type="dxa"/>
            <w:vAlign w:val="bottom"/>
            <w:tcBorders>
              <w:top w:val="single" w:sz="8" w:color="auto"/>
              <w:bottom w:val="single" w:sz="8" w:color="auto"/>
            </w:tcBorders>
            <w:shd w:val="clear" w:color="auto" w:fill="CCECFF"/>
          </w:tcPr>
          <w:p>
            <w:pPr>
              <w:spacing w:after="0"/>
              <w:rPr>
                <w:sz w:val="13"/>
                <w:szCs w:val="13"/>
                <w:color w:val="auto"/>
              </w:rPr>
            </w:pPr>
          </w:p>
        </w:tc>
        <w:tc>
          <w:tcPr>
            <w:tcW w:w="12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113,779,237</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720" w:type="dxa"/>
            <w:vAlign w:val="bottom"/>
          </w:tcPr>
          <w:p>
            <w:pPr>
              <w:spacing w:after="0" w:line="155" w:lineRule="exact"/>
              <w:rPr>
                <w:sz w:val="20"/>
                <w:szCs w:val="20"/>
                <w:color w:val="auto"/>
              </w:rPr>
            </w:pPr>
            <w:r>
              <w:rPr>
                <w:rFonts w:ascii="Arial" w:cs="Arial" w:eastAsia="Arial" w:hAnsi="Arial"/>
                <w:sz w:val="14"/>
                <w:szCs w:val="14"/>
                <w:b w:val="1"/>
                <w:bCs w:val="1"/>
                <w:color w:val="auto"/>
              </w:rPr>
              <w:t>Net increase in cash and cash equivalents</w:t>
            </w:r>
          </w:p>
        </w:tc>
        <w:tc>
          <w:tcPr>
            <w:tcW w:w="360" w:type="dxa"/>
            <w:vAlign w:val="bottom"/>
          </w:tcPr>
          <w:p>
            <w:pPr>
              <w:spacing w:after="0"/>
              <w:rPr>
                <w:sz w:val="13"/>
                <w:szCs w:val="13"/>
                <w:color w:val="auto"/>
              </w:rPr>
            </w:pPr>
          </w:p>
        </w:tc>
        <w:tc>
          <w:tcPr>
            <w:tcW w:w="1200" w:type="dxa"/>
            <w:vAlign w:val="bottom"/>
          </w:tcPr>
          <w:p>
            <w:pPr>
              <w:jc w:val="right"/>
              <w:spacing w:after="0" w:line="155" w:lineRule="exact"/>
              <w:rPr>
                <w:sz w:val="20"/>
                <w:szCs w:val="20"/>
                <w:color w:val="auto"/>
              </w:rPr>
            </w:pPr>
            <w:r>
              <w:rPr>
                <w:rFonts w:ascii="Arial" w:cs="Arial" w:eastAsia="Arial" w:hAnsi="Arial"/>
                <w:sz w:val="14"/>
                <w:szCs w:val="14"/>
                <w:color w:val="auto"/>
              </w:rPr>
              <w:t>13,527,664</w:t>
            </w: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spacing w:after="0" w:line="155" w:lineRule="exact"/>
              <w:rPr>
                <w:sz w:val="20"/>
                <w:szCs w:val="20"/>
                <w:color w:val="auto"/>
              </w:rPr>
            </w:pPr>
            <w:r>
              <w:rPr>
                <w:rFonts w:ascii="Arial" w:cs="Arial" w:eastAsia="Arial" w:hAnsi="Arial"/>
                <w:sz w:val="14"/>
                <w:szCs w:val="14"/>
                <w:color w:val="auto"/>
              </w:rPr>
              <w:t>19,913,300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spacing w:after="0"/>
              <w:rPr>
                <w:sz w:val="20"/>
                <w:szCs w:val="20"/>
                <w:color w:val="auto"/>
              </w:rPr>
            </w:pPr>
            <w:r>
              <w:rPr>
                <w:rFonts w:ascii="Arial" w:cs="Arial" w:eastAsia="Arial" w:hAnsi="Arial"/>
                <w:sz w:val="14"/>
                <w:szCs w:val="14"/>
                <w:color w:val="auto"/>
              </w:rPr>
              <w:t>Effect of exchange rate changes on cash</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(1,260,350)</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127,473</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Borders>
              <w:bottom w:val="single" w:sz="8" w:color="CCECFF"/>
            </w:tcBorders>
          </w:tcPr>
          <w:p>
            <w:pPr>
              <w:spacing w:after="0"/>
              <w:rPr>
                <w:sz w:val="20"/>
                <w:szCs w:val="20"/>
                <w:color w:val="auto"/>
              </w:rPr>
            </w:pPr>
            <w:r>
              <w:rPr>
                <w:rFonts w:ascii="Arial" w:cs="Arial" w:eastAsia="Arial" w:hAnsi="Arial"/>
                <w:sz w:val="14"/>
                <w:szCs w:val="14"/>
                <w:b w:val="1"/>
                <w:bCs w:val="1"/>
                <w:color w:val="auto"/>
              </w:rPr>
              <w:t>Cash and cash equivalents, beginning of period</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18,910,756</w:t>
            </w:r>
          </w:p>
        </w:tc>
        <w:tc>
          <w:tcPr>
            <w:tcW w:w="280" w:type="dxa"/>
            <w:vAlign w:val="bottom"/>
            <w:tcBorders>
              <w:bottom w:val="single" w:sz="8" w:color="CCEC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28,910,973</w:t>
            </w:r>
          </w:p>
        </w:tc>
        <w:tc>
          <w:tcPr>
            <w:tcW w:w="12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720" w:type="dxa"/>
            <w:vAlign w:val="bottom"/>
            <w:tcBorders>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Cash and cash equivalents, end of period</w:t>
            </w:r>
          </w:p>
        </w:tc>
        <w:tc>
          <w:tcPr>
            <w:tcW w:w="360" w:type="dxa"/>
            <w:vAlign w:val="bottom"/>
            <w:tcBorders>
              <w:bottom w:val="single" w:sz="8" w:color="auto"/>
            </w:tcBorders>
            <w:shd w:val="clear" w:color="auto" w:fill="CCECFF"/>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31,178,070</w:t>
            </w:r>
          </w:p>
        </w:tc>
        <w:tc>
          <w:tcPr>
            <w:tcW w:w="280" w:type="dxa"/>
            <w:vAlign w:val="bottom"/>
            <w:tcBorders>
              <w:bottom w:val="single" w:sz="8" w:color="CCECFF"/>
            </w:tcBorders>
            <w:shd w:val="clear" w:color="auto" w:fill="CCECFF"/>
          </w:tcPr>
          <w:p>
            <w:pPr>
              <w:spacing w:after="0"/>
              <w:rPr>
                <w:sz w:val="13"/>
                <w:szCs w:val="13"/>
                <w:color w:val="auto"/>
              </w:rPr>
            </w:pPr>
          </w:p>
        </w:tc>
        <w:tc>
          <w:tcPr>
            <w:tcW w:w="360" w:type="dxa"/>
            <w:vAlign w:val="bottom"/>
            <w:tcBorders>
              <w:bottom w:val="single" w:sz="8" w:color="auto"/>
            </w:tcBorders>
            <w:shd w:val="clear" w:color="auto" w:fill="CCECFF"/>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48,951,746</w:t>
            </w:r>
          </w:p>
        </w:tc>
        <w:tc>
          <w:tcPr>
            <w:tcW w:w="12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72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720" w:type="dxa"/>
            <w:vAlign w:val="bottom"/>
            <w:tcBorders>
              <w:bottom w:val="single" w:sz="8" w:color="CCECFF"/>
            </w:tcBorders>
            <w:shd w:val="clear" w:color="auto" w:fill="CCECFF"/>
          </w:tcPr>
          <w:p>
            <w:pPr>
              <w:ind w:left="260"/>
              <w:spacing w:after="0"/>
              <w:rPr>
                <w:sz w:val="20"/>
                <w:szCs w:val="20"/>
                <w:color w:val="auto"/>
              </w:rPr>
            </w:pPr>
            <w:r>
              <w:rPr>
                <w:rFonts w:ascii="Arial" w:cs="Arial" w:eastAsia="Arial" w:hAnsi="Arial"/>
                <w:sz w:val="14"/>
                <w:szCs w:val="14"/>
                <w:color w:val="auto"/>
              </w:rPr>
              <w:t>Interest paid</w:t>
            </w:r>
          </w:p>
        </w:tc>
        <w:tc>
          <w:tcPr>
            <w:tcW w:w="360" w:type="dxa"/>
            <w:vAlign w:val="bottom"/>
            <w:tcBorders>
              <w:bottom w:val="single" w:sz="8" w:color="auto"/>
            </w:tcBorders>
            <w:shd w:val="clear" w:color="auto" w:fill="CCECFF"/>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20,367,605</w:t>
            </w:r>
          </w:p>
        </w:tc>
        <w:tc>
          <w:tcPr>
            <w:tcW w:w="280" w:type="dxa"/>
            <w:vAlign w:val="bottom"/>
            <w:tcBorders>
              <w:bottom w:val="single" w:sz="8" w:color="CCECFF"/>
            </w:tcBorders>
            <w:shd w:val="clear" w:color="auto" w:fill="CCECFF"/>
          </w:tcPr>
          <w:p>
            <w:pPr>
              <w:spacing w:after="0"/>
              <w:rPr>
                <w:sz w:val="14"/>
                <w:szCs w:val="14"/>
                <w:color w:val="auto"/>
              </w:rPr>
            </w:pPr>
          </w:p>
        </w:tc>
        <w:tc>
          <w:tcPr>
            <w:tcW w:w="360" w:type="dxa"/>
            <w:vAlign w:val="bottom"/>
            <w:tcBorders>
              <w:bottom w:val="single" w:sz="8" w:color="auto"/>
            </w:tcBorders>
            <w:shd w:val="clear" w:color="auto" w:fill="CCECFF"/>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5,990,302</w:t>
            </w:r>
          </w:p>
        </w:tc>
        <w:tc>
          <w:tcPr>
            <w:tcW w:w="120" w:type="dxa"/>
            <w:vAlign w:val="bottom"/>
            <w:tcBorders>
              <w:bottom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ind w:left="260"/>
              <w:spacing w:after="0"/>
              <w:rPr>
                <w:sz w:val="20"/>
                <w:szCs w:val="20"/>
                <w:color w:val="auto"/>
              </w:rPr>
            </w:pPr>
            <w:r>
              <w:rPr>
                <w:rFonts w:ascii="Arial" w:cs="Arial" w:eastAsia="Arial" w:hAnsi="Arial"/>
                <w:sz w:val="14"/>
                <w:szCs w:val="14"/>
                <w:color w:val="auto"/>
              </w:rPr>
              <w:t>Taxes paid</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720" w:type="dxa"/>
            <w:vAlign w:val="bottom"/>
            <w:tcBorders>
              <w:bottom w:val="single" w:sz="8" w:color="CCECFF"/>
            </w:tcBorders>
            <w:vMerge w:val="continue"/>
          </w:tcPr>
          <w:p>
            <w:pPr>
              <w:spacing w:after="0"/>
              <w:rPr>
                <w:sz w:val="15"/>
                <w:szCs w:val="15"/>
                <w:color w:val="auto"/>
              </w:rPr>
            </w:pPr>
          </w:p>
        </w:tc>
        <w:tc>
          <w:tcPr>
            <w:tcW w:w="360" w:type="dxa"/>
            <w:vAlign w:val="bottom"/>
            <w:tcBorders>
              <w:bottom w:val="single" w:sz="8" w:color="auto"/>
            </w:tcBorders>
          </w:tcPr>
          <w:p>
            <w:pPr>
              <w:jc w:val="right"/>
              <w:ind w:right="208"/>
              <w:spacing w:after="0" w:line="143"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377,706</w:t>
            </w:r>
          </w:p>
        </w:tc>
        <w:tc>
          <w:tcPr>
            <w:tcW w:w="280" w:type="dxa"/>
            <w:vAlign w:val="bottom"/>
            <w:tcBorders>
              <w:bottom w:val="single" w:sz="8" w:color="CCECFF"/>
            </w:tcBorders>
          </w:tcPr>
          <w:p>
            <w:pPr>
              <w:spacing w:after="0"/>
              <w:rPr>
                <w:sz w:val="15"/>
                <w:szCs w:val="15"/>
                <w:color w:val="auto"/>
              </w:rPr>
            </w:pPr>
          </w:p>
        </w:tc>
        <w:tc>
          <w:tcPr>
            <w:tcW w:w="360" w:type="dxa"/>
            <w:vAlign w:val="bottom"/>
            <w:tcBorders>
              <w:bottom w:val="single" w:sz="8" w:color="auto"/>
            </w:tcBorders>
          </w:tcPr>
          <w:p>
            <w:pPr>
              <w:jc w:val="right"/>
              <w:ind w:right="208"/>
              <w:spacing w:after="0" w:line="143"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256,575</w:t>
            </w:r>
          </w:p>
        </w:tc>
        <w:tc>
          <w:tcPr>
            <w:tcW w:w="120" w:type="dxa"/>
            <w:vAlign w:val="bottom"/>
            <w:tcBorders>
              <w:bottom w:val="single" w:sz="8" w:color="CCECFF"/>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720" w:type="dxa"/>
            <w:vAlign w:val="bottom"/>
            <w:tcBorders>
              <w:bottom w:val="single" w:sz="8" w:color="CCECFF"/>
            </w:tcBorders>
            <w:shd w:val="clear" w:color="auto" w:fill="CCECFF"/>
          </w:tcPr>
          <w:p>
            <w:pPr>
              <w:ind w:left="260"/>
              <w:spacing w:after="0" w:line="143" w:lineRule="exact"/>
              <w:rPr>
                <w:sz w:val="20"/>
                <w:szCs w:val="20"/>
                <w:color w:val="auto"/>
              </w:rPr>
            </w:pPr>
            <w:r>
              <w:rPr>
                <w:rFonts w:ascii="Arial" w:cs="Arial" w:eastAsia="Arial" w:hAnsi="Arial"/>
                <w:sz w:val="14"/>
                <w:szCs w:val="14"/>
                <w:color w:val="auto"/>
              </w:rPr>
              <w:t>Non-cash exchanges and conversions</w:t>
            </w:r>
          </w:p>
        </w:tc>
        <w:tc>
          <w:tcPr>
            <w:tcW w:w="360" w:type="dxa"/>
            <w:vAlign w:val="bottom"/>
            <w:tcBorders>
              <w:bottom w:val="single" w:sz="8" w:color="auto"/>
            </w:tcBorders>
            <w:shd w:val="clear" w:color="auto" w:fill="CCECFF"/>
          </w:tcPr>
          <w:p>
            <w:pPr>
              <w:jc w:val="right"/>
              <w:ind w:right="208"/>
              <w:spacing w:after="0" w:line="143"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53,200,000</w:t>
            </w:r>
          </w:p>
        </w:tc>
        <w:tc>
          <w:tcPr>
            <w:tcW w:w="280" w:type="dxa"/>
            <w:vAlign w:val="bottom"/>
            <w:tcBorders>
              <w:bottom w:val="single" w:sz="8" w:color="CCECFF"/>
            </w:tcBorders>
            <w:shd w:val="clear" w:color="auto" w:fill="CCECFF"/>
          </w:tcPr>
          <w:p>
            <w:pPr>
              <w:spacing w:after="0"/>
              <w:rPr>
                <w:sz w:val="12"/>
                <w:szCs w:val="12"/>
                <w:color w:val="auto"/>
              </w:rPr>
            </w:pPr>
          </w:p>
        </w:tc>
        <w:tc>
          <w:tcPr>
            <w:tcW w:w="360" w:type="dxa"/>
            <w:vAlign w:val="bottom"/>
            <w:tcBorders>
              <w:bottom w:val="single" w:sz="8" w:color="auto"/>
            </w:tcBorders>
            <w:shd w:val="clear" w:color="auto" w:fill="CCECFF"/>
          </w:tcPr>
          <w:p>
            <w:pPr>
              <w:jc w:val="right"/>
              <w:ind w:right="208"/>
              <w:spacing w:after="0" w:line="143"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35,659,395</w:t>
            </w:r>
          </w:p>
        </w:tc>
        <w:tc>
          <w:tcPr>
            <w:tcW w:w="12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w:t>
      </w:r>
    </w:p>
    <w:p>
      <w:pPr>
        <w:jc w:val="center"/>
        <w:spacing w:after="0" w:line="221" w:lineRule="auto"/>
        <w:rPr>
          <w:sz w:val="20"/>
          <w:szCs w:val="20"/>
          <w:color w:val="auto"/>
        </w:rPr>
      </w:pPr>
      <w:r>
        <w:rPr>
          <w:rFonts w:ascii="Arial" w:cs="Arial" w:eastAsia="Arial" w:hAnsi="Arial"/>
          <w:sz w:val="14"/>
          <w:szCs w:val="14"/>
          <w:b w:val="1"/>
          <w:bCs w:val="1"/>
          <w:color w:val="auto"/>
        </w:rPr>
        <w:t>JUNE 30, 2018</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jc w:val="center"/>
              <w:spacing w:after="0"/>
              <w:rPr>
                <w:sz w:val="20"/>
                <w:szCs w:val="20"/>
                <w:color w:val="auto"/>
              </w:rPr>
            </w:pPr>
            <w:r>
              <w:rPr>
                <w:rFonts w:ascii="Arial" w:cs="Arial" w:eastAsia="Arial" w:hAnsi="Arial"/>
                <w:sz w:val="12"/>
                <w:szCs w:val="12"/>
                <w:b w:val="1"/>
                <w:bCs w:val="1"/>
                <w:color w:val="auto"/>
                <w:w w:val="85"/>
              </w:rPr>
              <w:t>Basis Point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3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8"/>
              </w:rPr>
              <w:t>Spread</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right"/>
              <w:ind w:right="380"/>
              <w:spacing w:after="0" w:line="135" w:lineRule="exact"/>
              <w:rPr>
                <w:sz w:val="20"/>
                <w:szCs w:val="20"/>
                <w:color w:val="auto"/>
              </w:rPr>
            </w:pPr>
            <w:r>
              <w:rPr>
                <w:rFonts w:ascii="Arial" w:cs="Arial" w:eastAsia="Arial" w:hAnsi="Arial"/>
                <w:sz w:val="12"/>
                <w:szCs w:val="12"/>
                <w:b w:val="1"/>
                <w:bCs w:val="1"/>
                <w:color w:val="auto"/>
              </w:rPr>
              <w:t>Current</w:t>
            </w:r>
          </w:p>
        </w:tc>
        <w:tc>
          <w:tcPr>
            <w:tcW w:w="7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7"/>
              </w:rPr>
              <w:t>Above</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ind w:right="162"/>
              <w:spacing w:after="0" w:line="135" w:lineRule="exact"/>
              <w:rPr>
                <w:sz w:val="20"/>
                <w:szCs w:val="20"/>
                <w:color w:val="auto"/>
              </w:rPr>
            </w:pPr>
            <w:r>
              <w:rPr>
                <w:rFonts w:ascii="Arial" w:cs="Arial" w:eastAsia="Arial" w:hAnsi="Arial"/>
                <w:sz w:val="12"/>
                <w:szCs w:val="12"/>
                <w:b w:val="1"/>
                <w:bCs w:val="1"/>
                <w:color w:val="auto"/>
              </w:rPr>
              <w:t>Par /</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3"/>
        </w:trPr>
        <w:tc>
          <w:tcPr>
            <w:tcW w:w="3120" w:type="dxa"/>
            <w:vAlign w:val="bottom"/>
          </w:tcPr>
          <w:p>
            <w:pPr>
              <w:spacing w:after="0"/>
              <w:rPr>
                <w:sz w:val="20"/>
                <w:szCs w:val="20"/>
                <w:color w:val="auto"/>
              </w:rPr>
            </w:pPr>
            <w:r>
              <w:rPr>
                <w:rFonts w:ascii="Arial" w:cs="Arial" w:eastAsia="Arial" w:hAnsi="Arial"/>
                <w:sz w:val="12"/>
                <w:szCs w:val="12"/>
                <w:b w:val="1"/>
                <w:bCs w:val="1"/>
                <w:color w:val="auto"/>
              </w:rPr>
              <w:t>Issuer Name</w:t>
            </w:r>
          </w:p>
        </w:tc>
        <w:tc>
          <w:tcPr>
            <w:tcW w:w="1100" w:type="dxa"/>
            <w:vAlign w:val="bottom"/>
          </w:tcPr>
          <w:p>
            <w:pPr>
              <w:jc w:val="center"/>
              <w:ind w:right="182"/>
              <w:spacing w:after="0"/>
              <w:rPr>
                <w:sz w:val="20"/>
                <w:szCs w:val="20"/>
                <w:color w:val="auto"/>
              </w:rPr>
            </w:pPr>
            <w:r>
              <w:rPr>
                <w:rFonts w:ascii="Arial" w:cs="Arial" w:eastAsia="Arial" w:hAnsi="Arial"/>
                <w:sz w:val="12"/>
                <w:szCs w:val="12"/>
                <w:b w:val="1"/>
                <w:bCs w:val="1"/>
                <w:color w:val="auto"/>
                <w:w w:val="98"/>
              </w:rPr>
              <w:t>Maturity</w:t>
            </w:r>
          </w:p>
        </w:tc>
        <w:tc>
          <w:tcPr>
            <w:tcW w:w="2540" w:type="dxa"/>
            <w:vAlign w:val="bottom"/>
            <w:gridSpan w:val="2"/>
          </w:tcPr>
          <w:p>
            <w:pPr>
              <w:jc w:val="center"/>
              <w:ind w:right="380"/>
              <w:spacing w:after="0"/>
              <w:rPr>
                <w:sz w:val="20"/>
                <w:szCs w:val="20"/>
                <w:color w:val="auto"/>
              </w:rPr>
            </w:pPr>
            <w:r>
              <w:rPr>
                <w:rFonts w:ascii="Arial" w:cs="Arial" w:eastAsia="Arial" w:hAnsi="Arial"/>
                <w:sz w:val="12"/>
                <w:szCs w:val="12"/>
                <w:b w:val="1"/>
                <w:bCs w:val="1"/>
                <w:color w:val="auto"/>
                <w:w w:val="92"/>
              </w:rPr>
              <w:t>Industry</w:t>
            </w:r>
          </w:p>
        </w:tc>
        <w:tc>
          <w:tcPr>
            <w:tcW w:w="900" w:type="dxa"/>
            <w:vAlign w:val="bottom"/>
            <w:gridSpan w:val="2"/>
          </w:tcPr>
          <w:p>
            <w:pPr>
              <w:jc w:val="right"/>
              <w:ind w:right="380"/>
              <w:spacing w:after="0"/>
              <w:rPr>
                <w:sz w:val="20"/>
                <w:szCs w:val="20"/>
                <w:color w:val="auto"/>
              </w:rPr>
            </w:pPr>
            <w:r>
              <w:rPr>
                <w:rFonts w:ascii="Arial" w:cs="Arial" w:eastAsia="Arial" w:hAnsi="Arial"/>
                <w:sz w:val="12"/>
                <w:szCs w:val="12"/>
                <w:b w:val="1"/>
                <w:bCs w:val="1"/>
                <w:color w:val="auto"/>
              </w:rPr>
              <w:t>Coupon</w:t>
            </w:r>
          </w:p>
        </w:tc>
        <w:tc>
          <w:tcPr>
            <w:tcW w:w="740" w:type="dxa"/>
            <w:vAlign w:val="bottom"/>
          </w:tcPr>
          <w:p>
            <w:pPr>
              <w:jc w:val="center"/>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122"/>
              <w:spacing w:after="0"/>
              <w:rPr>
                <w:sz w:val="20"/>
                <w:szCs w:val="20"/>
                <w:color w:val="auto"/>
              </w:rPr>
            </w:pPr>
            <w:r>
              <w:rPr>
                <w:rFonts w:ascii="Arial" w:cs="Arial" w:eastAsia="Arial" w:hAnsi="Arial"/>
                <w:sz w:val="12"/>
                <w:szCs w:val="12"/>
                <w:b w:val="1"/>
                <w:bCs w:val="1"/>
                <w:color w:val="auto"/>
                <w:w w:val="94"/>
              </w:rPr>
              <w:t>Shares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Cost</w:t>
            </w:r>
          </w:p>
        </w:tc>
        <w:tc>
          <w:tcPr>
            <w:tcW w:w="820" w:type="dxa"/>
            <w:vAlign w:val="bottom"/>
            <w:gridSpan w:val="3"/>
          </w:tcPr>
          <w:p>
            <w:pPr>
              <w:ind w:left="20"/>
              <w:spacing w:after="0"/>
              <w:rPr>
                <w:sz w:val="20"/>
                <w:szCs w:val="20"/>
                <w:color w:val="auto"/>
              </w:rPr>
            </w:pPr>
            <w:r>
              <w:rPr>
                <w:rFonts w:ascii="Arial" w:cs="Arial" w:eastAsia="Arial" w:hAnsi="Arial"/>
                <w:sz w:val="12"/>
                <w:szCs w:val="12"/>
                <w:b w:val="1"/>
                <w:bCs w:val="1"/>
                <w:color w:val="auto"/>
              </w:rPr>
              <w:t xml:space="preserve">Fair Value </w:t>
            </w:r>
            <w:r>
              <w:rPr>
                <w:rFonts w:ascii="Arial" w:cs="Arial" w:eastAsia="Arial" w:hAnsi="Arial"/>
                <w:sz w:val="9"/>
                <w:szCs w:val="9"/>
                <w:b w:val="1"/>
                <w:bCs w:val="1"/>
                <w:color w:val="auto"/>
              </w:rPr>
              <w:t>(2)</w:t>
            </w:r>
          </w:p>
        </w:tc>
      </w:tr>
      <w:tr>
        <w:trPr>
          <w:trHeight w:val="142"/>
        </w:trPr>
        <w:tc>
          <w:tcPr>
            <w:tcW w:w="4220" w:type="dxa"/>
            <w:vAlign w:val="bottom"/>
            <w:tcBorders>
              <w:top w:val="single" w:sz="8" w:color="auto"/>
            </w:tcBorders>
            <w:gridSpan w:val="2"/>
            <w:shd w:val="clear" w:color="auto" w:fill="CCECFF"/>
          </w:tcPr>
          <w:p>
            <w:pPr>
              <w:spacing w:after="0"/>
              <w:rPr>
                <w:sz w:val="20"/>
                <w:szCs w:val="20"/>
                <w:color w:val="auto"/>
              </w:rPr>
            </w:pPr>
            <w:r>
              <w:rPr>
                <w:rFonts w:ascii="Arial" w:cs="Arial" w:eastAsia="Arial" w:hAnsi="Arial"/>
                <w:sz w:val="12"/>
                <w:szCs w:val="12"/>
                <w:b w:val="1"/>
                <w:bCs w:val="1"/>
                <w:color w:val="auto"/>
                <w:w w:val="90"/>
              </w:rPr>
              <w:t xml:space="preserve">Investments in Non-Controlled, Non-Affiliated Portfolio Companies—147.0% </w:t>
            </w:r>
            <w:r>
              <w:rPr>
                <w:rFonts w:ascii="Arial" w:cs="Arial" w:eastAsia="Arial" w:hAnsi="Arial"/>
                <w:sz w:val="9"/>
                <w:szCs w:val="9"/>
                <w:b w:val="1"/>
                <w:bCs w:val="1"/>
                <w:color w:val="auto"/>
                <w:w w:val="90"/>
              </w:rPr>
              <w:t>(3), (4)</w:t>
            </w:r>
          </w:p>
        </w:tc>
        <w:tc>
          <w:tcPr>
            <w:tcW w:w="2420" w:type="dxa"/>
            <w:vAlign w:val="bottom"/>
            <w:tcBorders>
              <w:top w:val="single" w:sz="8" w:color="auto"/>
            </w:tcBorders>
            <w:shd w:val="clear" w:color="auto" w:fill="CCECFF"/>
          </w:tcPr>
          <w:p>
            <w:pPr>
              <w:spacing w:after="0"/>
              <w:rPr>
                <w:sz w:val="12"/>
                <w:szCs w:val="12"/>
                <w:color w:val="auto"/>
              </w:rPr>
            </w:pPr>
          </w:p>
        </w:tc>
        <w:tc>
          <w:tcPr>
            <w:tcW w:w="120" w:type="dxa"/>
            <w:vAlign w:val="bottom"/>
            <w:tcBorders>
              <w:top w:val="single" w:sz="8" w:color="CCECFF"/>
            </w:tcBorders>
            <w:shd w:val="clear" w:color="auto" w:fill="CCECFF"/>
          </w:tcPr>
          <w:p>
            <w:pPr>
              <w:spacing w:after="0"/>
              <w:rPr>
                <w:sz w:val="12"/>
                <w:szCs w:val="12"/>
                <w:color w:val="auto"/>
              </w:rPr>
            </w:pPr>
          </w:p>
        </w:tc>
        <w:tc>
          <w:tcPr>
            <w:tcW w:w="66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74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tcBorders>
            <w:shd w:val="clear" w:color="auto" w:fill="CCECFF"/>
          </w:tcPr>
          <w:p>
            <w:pPr>
              <w:spacing w:after="0"/>
              <w:rPr>
                <w:sz w:val="12"/>
                <w:szCs w:val="12"/>
                <w:color w:val="auto"/>
              </w:rPr>
            </w:pPr>
          </w:p>
        </w:tc>
        <w:tc>
          <w:tcPr>
            <w:tcW w:w="580" w:type="dxa"/>
            <w:vAlign w:val="bottom"/>
            <w:tcBorders>
              <w:top w:val="single" w:sz="8" w:color="auto"/>
            </w:tcBorders>
            <w:shd w:val="clear" w:color="auto" w:fill="CCECFF"/>
          </w:tcPr>
          <w:p>
            <w:pPr>
              <w:spacing w:after="0"/>
              <w:rPr>
                <w:sz w:val="12"/>
                <w:szCs w:val="12"/>
                <w:color w:val="auto"/>
              </w:rPr>
            </w:pPr>
          </w:p>
        </w:tc>
        <w:tc>
          <w:tcPr>
            <w:tcW w:w="220" w:type="dxa"/>
            <w:vAlign w:val="bottom"/>
            <w:tcBorders>
              <w:top w:val="single" w:sz="8" w:color="CCECFF"/>
            </w:tcBorders>
            <w:shd w:val="clear" w:color="auto" w:fill="CCECFF"/>
          </w:tcPr>
          <w:p>
            <w:pPr>
              <w:spacing w:after="0"/>
              <w:rPr>
                <w:sz w:val="12"/>
                <w:szCs w:val="12"/>
                <w:color w:val="auto"/>
              </w:rPr>
            </w:pPr>
          </w:p>
        </w:tc>
        <w:tc>
          <w:tcPr>
            <w:tcW w:w="100" w:type="dxa"/>
            <w:vAlign w:val="bottom"/>
            <w:tcBorders>
              <w:top w:val="single" w:sz="8" w:color="auto"/>
            </w:tcBorders>
            <w:shd w:val="clear" w:color="auto" w:fill="CCECFF"/>
          </w:tcPr>
          <w:p>
            <w:pPr>
              <w:spacing w:after="0"/>
              <w:rPr>
                <w:sz w:val="12"/>
                <w:szCs w:val="12"/>
                <w:color w:val="auto"/>
              </w:rPr>
            </w:pPr>
          </w:p>
        </w:tc>
        <w:tc>
          <w:tcPr>
            <w:tcW w:w="580" w:type="dxa"/>
            <w:vAlign w:val="bottom"/>
            <w:tcBorders>
              <w:top w:val="single" w:sz="8" w:color="auto"/>
            </w:tcBorders>
            <w:shd w:val="clear" w:color="auto" w:fill="CCECFF"/>
          </w:tcPr>
          <w:p>
            <w:pPr>
              <w:spacing w:after="0"/>
              <w:rPr>
                <w:sz w:val="12"/>
                <w:szCs w:val="12"/>
                <w:color w:val="auto"/>
              </w:rPr>
            </w:pPr>
          </w:p>
        </w:tc>
        <w:tc>
          <w:tcPr>
            <w:tcW w:w="220" w:type="dxa"/>
            <w:vAlign w:val="bottom"/>
            <w:tcBorders>
              <w:top w:val="single" w:sz="8" w:color="CCECFF"/>
            </w:tcBorders>
            <w:shd w:val="clear" w:color="auto" w:fill="CCECFF"/>
          </w:tcPr>
          <w:p>
            <w:pPr>
              <w:spacing w:after="0"/>
              <w:rPr>
                <w:sz w:val="12"/>
                <w:szCs w:val="12"/>
                <w:color w:val="auto"/>
              </w:rPr>
            </w:pPr>
          </w:p>
        </w:tc>
        <w:tc>
          <w:tcPr>
            <w:tcW w:w="120" w:type="dxa"/>
            <w:vAlign w:val="bottom"/>
            <w:tcBorders>
              <w:top w:val="single" w:sz="8" w:color="auto"/>
            </w:tcBorders>
            <w:shd w:val="clear" w:color="auto" w:fill="CCECFF"/>
          </w:tcPr>
          <w:p>
            <w:pPr>
              <w:spacing w:after="0"/>
              <w:rPr>
                <w:sz w:val="12"/>
                <w:szCs w:val="12"/>
                <w:color w:val="auto"/>
              </w:rPr>
            </w:pPr>
          </w:p>
        </w:tc>
        <w:tc>
          <w:tcPr>
            <w:tcW w:w="600" w:type="dxa"/>
            <w:vAlign w:val="bottom"/>
            <w:tcBorders>
              <w:top w:val="single" w:sz="8" w:color="auto"/>
            </w:tcBorders>
            <w:shd w:val="clear" w:color="auto" w:fill="CCECFF"/>
          </w:tcPr>
          <w:p>
            <w:pPr>
              <w:spacing w:after="0"/>
              <w:rPr>
                <w:sz w:val="12"/>
                <w:szCs w:val="12"/>
                <w:color w:val="auto"/>
              </w:rPr>
            </w:pPr>
          </w:p>
        </w:tc>
        <w:tc>
          <w:tcPr>
            <w:tcW w:w="100" w:type="dxa"/>
            <w:vAlign w:val="bottom"/>
            <w:tcBorders>
              <w:top w:val="single" w:sz="8" w:color="CCECFF"/>
            </w:tcBorders>
            <w:shd w:val="clear" w:color="auto" w:fill="CCECFF"/>
          </w:tcPr>
          <w:p>
            <w:pPr>
              <w:spacing w:after="0"/>
              <w:rPr>
                <w:sz w:val="12"/>
                <w:szCs w:val="12"/>
                <w:color w:val="auto"/>
              </w:rPr>
            </w:pPr>
          </w:p>
        </w:tc>
      </w:tr>
      <w:tr>
        <w:trPr>
          <w:trHeight w:val="149"/>
        </w:trPr>
        <w:tc>
          <w:tcPr>
            <w:tcW w:w="3120" w:type="dxa"/>
            <w:vAlign w:val="bottom"/>
          </w:tcPr>
          <w:p>
            <w:pPr>
              <w:spacing w:after="0"/>
              <w:rPr>
                <w:sz w:val="20"/>
                <w:szCs w:val="20"/>
                <w:color w:val="auto"/>
              </w:rPr>
            </w:pPr>
            <w:r>
              <w:rPr>
                <w:rFonts w:ascii="Arial" w:cs="Arial" w:eastAsia="Arial" w:hAnsi="Arial"/>
                <w:sz w:val="12"/>
                <w:szCs w:val="12"/>
                <w:b w:val="1"/>
                <w:bCs w:val="1"/>
                <w:color w:val="auto"/>
              </w:rPr>
              <w:t>First Lien Secured Debt—137.6%</w:t>
            </w:r>
          </w:p>
        </w:tc>
        <w:tc>
          <w:tcPr>
            <w:tcW w:w="11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120" w:type="dxa"/>
            <w:vAlign w:val="bottom"/>
            <w:shd w:val="clear" w:color="auto" w:fill="CCECFF"/>
          </w:tcPr>
          <w:p>
            <w:pPr>
              <w:spacing w:after="0"/>
              <w:rPr>
                <w:sz w:val="20"/>
                <w:szCs w:val="20"/>
                <w:color w:val="auto"/>
              </w:rPr>
            </w:pPr>
            <w:r>
              <w:rPr>
                <w:rFonts w:ascii="Arial" w:cs="Arial" w:eastAsia="Arial" w:hAnsi="Arial"/>
                <w:sz w:val="12"/>
                <w:szCs w:val="12"/>
                <w:color w:val="auto"/>
              </w:rPr>
              <w:t>Alera Group Intermediate Holdings, Inc.</w:t>
            </w:r>
          </w:p>
        </w:tc>
        <w:tc>
          <w:tcPr>
            <w:tcW w:w="1100" w:type="dxa"/>
            <w:vAlign w:val="bottom"/>
            <w:shd w:val="clear" w:color="auto" w:fill="CCECFF"/>
          </w:tcPr>
          <w:p>
            <w:pPr>
              <w:jc w:val="center"/>
              <w:ind w:right="182"/>
              <w:spacing w:after="0"/>
              <w:rPr>
                <w:sz w:val="20"/>
                <w:szCs w:val="20"/>
                <w:color w:val="auto"/>
              </w:rPr>
            </w:pPr>
            <w:r>
              <w:rPr>
                <w:rFonts w:ascii="Arial" w:cs="Arial" w:eastAsia="Arial" w:hAnsi="Arial"/>
                <w:sz w:val="12"/>
                <w:szCs w:val="12"/>
                <w:color w:val="auto"/>
                <w:w w:val="89"/>
              </w:rPr>
              <w:t>12/30/2022</w:t>
            </w:r>
          </w:p>
        </w:tc>
        <w:tc>
          <w:tcPr>
            <w:tcW w:w="2540" w:type="dxa"/>
            <w:vAlign w:val="bottom"/>
            <w:gridSpan w:val="2"/>
            <w:shd w:val="clear" w:color="auto" w:fill="CCECFF"/>
          </w:tcPr>
          <w:p>
            <w:pPr>
              <w:jc w:val="center"/>
              <w:ind w:right="360"/>
              <w:spacing w:after="0"/>
              <w:rPr>
                <w:sz w:val="20"/>
                <w:szCs w:val="20"/>
                <w:color w:val="auto"/>
              </w:rPr>
            </w:pPr>
            <w:r>
              <w:rPr>
                <w:rFonts w:ascii="Arial" w:cs="Arial" w:eastAsia="Arial" w:hAnsi="Arial"/>
                <w:sz w:val="12"/>
                <w:szCs w:val="12"/>
                <w:color w:val="auto"/>
                <w:w w:val="87"/>
              </w:rPr>
              <w:t>Banking, Finance, Insurance and Real Estate</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7.48%</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L+550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15,318,805</w:t>
            </w:r>
          </w:p>
        </w:tc>
        <w:tc>
          <w:tcPr>
            <w:tcW w:w="320" w:type="dxa"/>
            <w:vAlign w:val="bottom"/>
            <w:gridSpan w:val="2"/>
            <w:shd w:val="clear" w:color="auto" w:fill="CCECFF"/>
          </w:tcPr>
          <w:p>
            <w:pPr>
              <w:jc w:val="right"/>
              <w:ind w:right="4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15,246,773</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ind w:left="20"/>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15,318,805</w:t>
            </w:r>
          </w:p>
        </w:tc>
        <w:tc>
          <w:tcPr>
            <w:tcW w:w="100" w:type="dxa"/>
            <w:vAlign w:val="bottom"/>
            <w:shd w:val="clear" w:color="auto" w:fill="CCECFF"/>
          </w:tcPr>
          <w:p>
            <w:pPr>
              <w:spacing w:after="0"/>
              <w:rPr>
                <w:sz w:val="12"/>
                <w:szCs w:val="12"/>
                <w:color w:val="auto"/>
              </w:rPr>
            </w:pPr>
          </w:p>
        </w:tc>
      </w:tr>
      <w:tr>
        <w:trPr>
          <w:trHeight w:val="148"/>
        </w:trPr>
        <w:tc>
          <w:tcPr>
            <w:tcW w:w="3120" w:type="dxa"/>
            <w:vAlign w:val="bottom"/>
          </w:tcPr>
          <w:p>
            <w:pPr>
              <w:spacing w:after="0"/>
              <w:rPr>
                <w:sz w:val="20"/>
                <w:szCs w:val="20"/>
                <w:color w:val="auto"/>
              </w:rPr>
            </w:pPr>
            <w:r>
              <w:rPr>
                <w:rFonts w:ascii="Arial" w:cs="Arial" w:eastAsia="Arial" w:hAnsi="Arial"/>
                <w:sz w:val="12"/>
                <w:szCs w:val="12"/>
                <w:color w:val="auto"/>
              </w:rPr>
              <w:t xml:space="preserve">Alera Group Intermediate Holdings, Inc. (Revolver) </w:t>
            </w:r>
            <w:r>
              <w:rPr>
                <w:rFonts w:ascii="Arial" w:cs="Arial" w:eastAsia="Arial" w:hAnsi="Arial"/>
                <w:sz w:val="9"/>
                <w:szCs w:val="9"/>
                <w:color w:val="auto"/>
              </w:rPr>
              <w:t>(7), (8)</w:t>
            </w:r>
          </w:p>
        </w:tc>
        <w:tc>
          <w:tcPr>
            <w:tcW w:w="1100" w:type="dxa"/>
            <w:vAlign w:val="bottom"/>
          </w:tcPr>
          <w:p>
            <w:pPr>
              <w:jc w:val="center"/>
              <w:ind w:right="182"/>
              <w:spacing w:after="0"/>
              <w:rPr>
                <w:sz w:val="20"/>
                <w:szCs w:val="20"/>
                <w:color w:val="auto"/>
              </w:rPr>
            </w:pPr>
            <w:r>
              <w:rPr>
                <w:rFonts w:ascii="Arial" w:cs="Arial" w:eastAsia="Arial" w:hAnsi="Arial"/>
                <w:sz w:val="12"/>
                <w:szCs w:val="12"/>
                <w:color w:val="auto"/>
                <w:w w:val="89"/>
              </w:rPr>
              <w:t>12/30/2021</w:t>
            </w:r>
          </w:p>
        </w:tc>
        <w:tc>
          <w:tcPr>
            <w:tcW w:w="2540" w:type="dxa"/>
            <w:vAlign w:val="bottom"/>
            <w:gridSpan w:val="2"/>
          </w:tcPr>
          <w:p>
            <w:pPr>
              <w:jc w:val="center"/>
              <w:ind w:right="360"/>
              <w:spacing w:after="0"/>
              <w:rPr>
                <w:sz w:val="20"/>
                <w:szCs w:val="20"/>
                <w:color w:val="auto"/>
              </w:rPr>
            </w:pPr>
            <w:r>
              <w:rPr>
                <w:rFonts w:ascii="Arial" w:cs="Arial" w:eastAsia="Arial" w:hAnsi="Arial"/>
                <w:sz w:val="12"/>
                <w:szCs w:val="12"/>
                <w:color w:val="auto"/>
                <w:w w:val="87"/>
              </w:rPr>
              <w:t>Banking, Finance, Insurance and Real Estate</w:t>
            </w:r>
          </w:p>
        </w:tc>
        <w:tc>
          <w:tcPr>
            <w:tcW w:w="90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1,771,962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1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Alera Group Intermediate Holdings, Inc. </w:t>
            </w:r>
            <w:r>
              <w:rPr>
                <w:rFonts w:ascii="Arial" w:cs="Arial" w:eastAsia="Arial" w:hAnsi="Arial"/>
                <w:sz w:val="9"/>
                <w:szCs w:val="9"/>
                <w:color w:val="auto"/>
              </w:rPr>
              <w:t>(7), (8)</w:t>
            </w:r>
          </w:p>
        </w:tc>
        <w:tc>
          <w:tcPr>
            <w:tcW w:w="1100" w:type="dxa"/>
            <w:vAlign w:val="bottom"/>
            <w:shd w:val="clear" w:color="auto" w:fill="CCECFF"/>
          </w:tcPr>
          <w:p>
            <w:pPr>
              <w:jc w:val="center"/>
              <w:ind w:right="182"/>
              <w:spacing w:after="0"/>
              <w:rPr>
                <w:sz w:val="20"/>
                <w:szCs w:val="20"/>
                <w:color w:val="auto"/>
              </w:rPr>
            </w:pPr>
            <w:r>
              <w:rPr>
                <w:rFonts w:ascii="Arial" w:cs="Arial" w:eastAsia="Arial" w:hAnsi="Arial"/>
                <w:sz w:val="12"/>
                <w:szCs w:val="12"/>
                <w:color w:val="auto"/>
                <w:w w:val="89"/>
              </w:rPr>
              <w:t>12/30/2022</w:t>
            </w:r>
          </w:p>
        </w:tc>
        <w:tc>
          <w:tcPr>
            <w:tcW w:w="2540" w:type="dxa"/>
            <w:vAlign w:val="bottom"/>
            <w:gridSpan w:val="2"/>
            <w:shd w:val="clear" w:color="auto" w:fill="CCECFF"/>
          </w:tcPr>
          <w:p>
            <w:pPr>
              <w:jc w:val="center"/>
              <w:ind w:right="360"/>
              <w:spacing w:after="0"/>
              <w:rPr>
                <w:sz w:val="20"/>
                <w:szCs w:val="20"/>
                <w:color w:val="auto"/>
              </w:rPr>
            </w:pPr>
            <w:r>
              <w:rPr>
                <w:rFonts w:ascii="Arial" w:cs="Arial" w:eastAsia="Arial" w:hAnsi="Arial"/>
                <w:sz w:val="12"/>
                <w:szCs w:val="12"/>
                <w:color w:val="auto"/>
                <w:w w:val="87"/>
              </w:rPr>
              <w:t>Banking, Finance, Insurance and Real Estate</w:t>
            </w:r>
          </w:p>
        </w:tc>
        <w:tc>
          <w:tcPr>
            <w:tcW w:w="90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1,078,893</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CFF"/>
          </w:tcPr>
          <w:p>
            <w:pPr>
              <w:spacing w:after="0"/>
              <w:rPr>
                <w:sz w:val="12"/>
                <w:szCs w:val="12"/>
                <w:color w:val="auto"/>
              </w:rPr>
            </w:pPr>
          </w:p>
        </w:tc>
        <w:tc>
          <w:tcPr>
            <w:tcW w:w="70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120" w:type="dxa"/>
            <w:vAlign w:val="bottom"/>
          </w:tcPr>
          <w:p>
            <w:pPr>
              <w:spacing w:after="0"/>
              <w:rPr>
                <w:sz w:val="20"/>
                <w:szCs w:val="20"/>
                <w:color w:val="auto"/>
              </w:rPr>
            </w:pPr>
            <w:r>
              <w:rPr>
                <w:rFonts w:ascii="Arial" w:cs="Arial" w:eastAsia="Arial" w:hAnsi="Arial"/>
                <w:sz w:val="12"/>
                <w:szCs w:val="12"/>
                <w:color w:val="auto"/>
              </w:rPr>
              <w:t>Allied America, Inc.</w:t>
            </w:r>
          </w:p>
        </w:tc>
        <w:tc>
          <w:tcPr>
            <w:tcW w:w="1100" w:type="dxa"/>
            <w:vAlign w:val="bottom"/>
          </w:tcPr>
          <w:p>
            <w:pPr>
              <w:jc w:val="center"/>
              <w:ind w:right="182"/>
              <w:spacing w:after="0"/>
              <w:rPr>
                <w:sz w:val="20"/>
                <w:szCs w:val="20"/>
                <w:color w:val="auto"/>
              </w:rPr>
            </w:pPr>
            <w:r>
              <w:rPr>
                <w:rFonts w:ascii="Arial" w:cs="Arial" w:eastAsia="Arial" w:hAnsi="Arial"/>
                <w:sz w:val="12"/>
                <w:szCs w:val="12"/>
                <w:color w:val="auto"/>
                <w:w w:val="89"/>
              </w:rPr>
              <w:t>08/08/2022</w:t>
            </w:r>
          </w:p>
        </w:tc>
        <w:tc>
          <w:tcPr>
            <w:tcW w:w="2540" w:type="dxa"/>
            <w:vAlign w:val="bottom"/>
            <w:gridSpan w:val="2"/>
          </w:tcPr>
          <w:p>
            <w:pPr>
              <w:jc w:val="center"/>
              <w:ind w:right="380"/>
              <w:spacing w:after="0"/>
              <w:rPr>
                <w:sz w:val="20"/>
                <w:szCs w:val="20"/>
                <w:color w:val="auto"/>
              </w:rPr>
            </w:pPr>
            <w:r>
              <w:rPr>
                <w:rFonts w:ascii="Arial" w:cs="Arial" w:eastAsia="Arial" w:hAnsi="Arial"/>
                <w:sz w:val="12"/>
                <w:szCs w:val="12"/>
                <w:color w:val="auto"/>
                <w:w w:val="85"/>
              </w:rPr>
              <w:t>Business Services</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9.34%</w:t>
            </w:r>
          </w:p>
        </w:tc>
        <w:tc>
          <w:tcPr>
            <w:tcW w:w="740" w:type="dxa"/>
            <w:vAlign w:val="bottom"/>
          </w:tcPr>
          <w:p>
            <w:pPr>
              <w:jc w:val="right"/>
              <w:spacing w:after="0"/>
              <w:rPr>
                <w:sz w:val="20"/>
                <w:szCs w:val="20"/>
                <w:color w:val="auto"/>
              </w:rPr>
            </w:pPr>
            <w:r>
              <w:rPr>
                <w:rFonts w:ascii="Arial" w:cs="Arial" w:eastAsia="Arial" w:hAnsi="Arial"/>
                <w:sz w:val="12"/>
                <w:szCs w:val="12"/>
                <w:color w:val="auto"/>
              </w:rPr>
              <w:t>3M L+700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1,689,717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1,689,717</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1,698,165</w:t>
            </w:r>
          </w:p>
        </w:tc>
        <w:tc>
          <w:tcPr>
            <w:tcW w:w="100" w:type="dxa"/>
            <w:vAlign w:val="bottom"/>
          </w:tcPr>
          <w:p>
            <w:pPr>
              <w:spacing w:after="0"/>
              <w:rPr>
                <w:sz w:val="12"/>
                <w:szCs w:val="12"/>
                <w:color w:val="auto"/>
              </w:rPr>
            </w:pPr>
          </w:p>
        </w:tc>
      </w:tr>
      <w:tr>
        <w:trPr>
          <w:trHeight w:val="148"/>
        </w:trPr>
        <w:tc>
          <w:tcPr>
            <w:tcW w:w="3120" w:type="dxa"/>
            <w:vAlign w:val="bottom"/>
            <w:shd w:val="clear" w:color="auto" w:fill="CCECFF"/>
          </w:tcPr>
          <w:p>
            <w:pPr>
              <w:spacing w:after="0"/>
              <w:rPr>
                <w:sz w:val="20"/>
                <w:szCs w:val="20"/>
                <w:color w:val="auto"/>
              </w:rPr>
            </w:pPr>
            <w:r>
              <w:rPr>
                <w:rFonts w:ascii="Arial" w:cs="Arial" w:eastAsia="Arial" w:hAnsi="Arial"/>
                <w:sz w:val="12"/>
                <w:szCs w:val="12"/>
                <w:color w:val="auto"/>
              </w:rPr>
              <w:t>American Auto Auction Group, LLC</w:t>
            </w:r>
          </w:p>
        </w:tc>
        <w:tc>
          <w:tcPr>
            <w:tcW w:w="110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6"/>
              </w:rPr>
              <w:t>11/30/2021</w:t>
            </w:r>
          </w:p>
        </w:tc>
        <w:tc>
          <w:tcPr>
            <w:tcW w:w="2540" w:type="dxa"/>
            <w:vAlign w:val="bottom"/>
            <w:gridSpan w:val="2"/>
            <w:shd w:val="clear" w:color="auto" w:fill="CCECFF"/>
          </w:tcPr>
          <w:p>
            <w:pPr>
              <w:jc w:val="center"/>
              <w:ind w:right="360"/>
              <w:spacing w:after="0"/>
              <w:rPr>
                <w:sz w:val="20"/>
                <w:szCs w:val="20"/>
                <w:color w:val="auto"/>
              </w:rPr>
            </w:pPr>
            <w:r>
              <w:rPr>
                <w:rFonts w:ascii="Arial" w:cs="Arial" w:eastAsia="Arial" w:hAnsi="Arial"/>
                <w:sz w:val="12"/>
                <w:szCs w:val="12"/>
                <w:color w:val="auto"/>
                <w:w w:val="87"/>
              </w:rPr>
              <w:t>Transportation: Consumer</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7.25%</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L+525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5,887,689</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5,825,207</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5,799,374</w:t>
            </w:r>
          </w:p>
        </w:tc>
        <w:tc>
          <w:tcPr>
            <w:tcW w:w="100" w:type="dxa"/>
            <w:vAlign w:val="bottom"/>
            <w:shd w:val="clear" w:color="auto" w:fill="CCECFF"/>
          </w:tcPr>
          <w:p>
            <w:pPr>
              <w:spacing w:after="0"/>
              <w:rPr>
                <w:sz w:val="12"/>
                <w:szCs w:val="12"/>
                <w:color w:val="auto"/>
              </w:rPr>
            </w:pPr>
          </w:p>
        </w:tc>
      </w:tr>
      <w:tr>
        <w:trPr>
          <w:trHeight w:val="149"/>
        </w:trPr>
        <w:tc>
          <w:tcPr>
            <w:tcW w:w="3120" w:type="dxa"/>
            <w:vAlign w:val="bottom"/>
          </w:tcPr>
          <w:p>
            <w:pPr>
              <w:spacing w:after="0"/>
              <w:rPr>
                <w:sz w:val="20"/>
                <w:szCs w:val="20"/>
                <w:color w:val="auto"/>
              </w:rPr>
            </w:pPr>
            <w:r>
              <w:rPr>
                <w:rFonts w:ascii="Arial" w:cs="Arial" w:eastAsia="Arial" w:hAnsi="Arial"/>
                <w:sz w:val="12"/>
                <w:szCs w:val="12"/>
                <w:color w:val="auto"/>
              </w:rPr>
              <w:t>American Scaffold</w:t>
            </w:r>
          </w:p>
        </w:tc>
        <w:tc>
          <w:tcPr>
            <w:tcW w:w="1100" w:type="dxa"/>
            <w:vAlign w:val="bottom"/>
          </w:tcPr>
          <w:p>
            <w:pPr>
              <w:jc w:val="center"/>
              <w:ind w:right="182"/>
              <w:spacing w:after="0"/>
              <w:rPr>
                <w:sz w:val="20"/>
                <w:szCs w:val="20"/>
                <w:color w:val="auto"/>
              </w:rPr>
            </w:pPr>
            <w:r>
              <w:rPr>
                <w:rFonts w:ascii="Arial" w:cs="Arial" w:eastAsia="Arial" w:hAnsi="Arial"/>
                <w:sz w:val="12"/>
                <w:szCs w:val="12"/>
                <w:color w:val="auto"/>
                <w:w w:val="89"/>
              </w:rPr>
              <w:t>03/31/2022</w:t>
            </w:r>
          </w:p>
        </w:tc>
        <w:tc>
          <w:tcPr>
            <w:tcW w:w="2540" w:type="dxa"/>
            <w:vAlign w:val="bottom"/>
            <w:gridSpan w:val="2"/>
          </w:tcPr>
          <w:p>
            <w:pPr>
              <w:jc w:val="center"/>
              <w:ind w:right="360"/>
              <w:spacing w:after="0"/>
              <w:rPr>
                <w:sz w:val="20"/>
                <w:szCs w:val="20"/>
                <w:color w:val="auto"/>
              </w:rPr>
            </w:pPr>
            <w:r>
              <w:rPr>
                <w:rFonts w:ascii="Arial" w:cs="Arial" w:eastAsia="Arial" w:hAnsi="Arial"/>
                <w:sz w:val="12"/>
                <w:szCs w:val="12"/>
                <w:color w:val="auto"/>
                <w:w w:val="85"/>
              </w:rPr>
              <w:t>Aerospace and Defense</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8.83%</w:t>
            </w:r>
          </w:p>
        </w:tc>
        <w:tc>
          <w:tcPr>
            <w:tcW w:w="740" w:type="dxa"/>
            <w:vAlign w:val="bottom"/>
          </w:tcPr>
          <w:p>
            <w:pPr>
              <w:jc w:val="right"/>
              <w:spacing w:after="0"/>
              <w:rPr>
                <w:sz w:val="20"/>
                <w:szCs w:val="20"/>
                <w:color w:val="auto"/>
              </w:rPr>
            </w:pPr>
            <w:r>
              <w:rPr>
                <w:rFonts w:ascii="Arial" w:cs="Arial" w:eastAsia="Arial" w:hAnsi="Arial"/>
                <w:sz w:val="12"/>
                <w:szCs w:val="12"/>
                <w:color w:val="auto"/>
              </w:rPr>
              <w:t>3M L+650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4,562,500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4,514,483</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4,516,875</w:t>
            </w:r>
          </w:p>
        </w:tc>
        <w:tc>
          <w:tcPr>
            <w:tcW w:w="100" w:type="dxa"/>
            <w:vAlign w:val="bottom"/>
          </w:tcPr>
          <w:p>
            <w:pPr>
              <w:spacing w:after="0"/>
              <w:rPr>
                <w:sz w:val="12"/>
                <w:szCs w:val="12"/>
                <w:color w:val="auto"/>
              </w:rPr>
            </w:pPr>
          </w:p>
        </w:tc>
      </w:tr>
      <w:tr>
        <w:trPr>
          <w:trHeight w:val="148"/>
        </w:trPr>
        <w:tc>
          <w:tcPr>
            <w:tcW w:w="3120" w:type="dxa"/>
            <w:vAlign w:val="bottom"/>
            <w:shd w:val="clear" w:color="auto" w:fill="CCECFF"/>
          </w:tcPr>
          <w:p>
            <w:pPr>
              <w:spacing w:after="0"/>
              <w:rPr>
                <w:sz w:val="20"/>
                <w:szCs w:val="20"/>
                <w:color w:val="auto"/>
              </w:rPr>
            </w:pPr>
            <w:r>
              <w:rPr>
                <w:rFonts w:ascii="Arial" w:cs="Arial" w:eastAsia="Arial" w:hAnsi="Arial"/>
                <w:sz w:val="12"/>
                <w:szCs w:val="12"/>
                <w:color w:val="auto"/>
              </w:rPr>
              <w:t>American Teleconferencing Services, Ltd.</w:t>
            </w:r>
          </w:p>
        </w:tc>
        <w:tc>
          <w:tcPr>
            <w:tcW w:w="1100" w:type="dxa"/>
            <w:vAlign w:val="bottom"/>
            <w:shd w:val="clear" w:color="auto" w:fill="CCECFF"/>
          </w:tcPr>
          <w:p>
            <w:pPr>
              <w:jc w:val="center"/>
              <w:ind w:right="182"/>
              <w:spacing w:after="0"/>
              <w:rPr>
                <w:sz w:val="20"/>
                <w:szCs w:val="20"/>
                <w:color w:val="auto"/>
              </w:rPr>
            </w:pPr>
            <w:r>
              <w:rPr>
                <w:rFonts w:ascii="Arial" w:cs="Arial" w:eastAsia="Arial" w:hAnsi="Arial"/>
                <w:sz w:val="12"/>
                <w:szCs w:val="12"/>
                <w:color w:val="auto"/>
                <w:w w:val="89"/>
              </w:rPr>
              <w:t>12/08/2021</w:t>
            </w:r>
          </w:p>
        </w:tc>
        <w:tc>
          <w:tcPr>
            <w:tcW w:w="2540" w:type="dxa"/>
            <w:vAlign w:val="bottom"/>
            <w:gridSpan w:val="2"/>
            <w:shd w:val="clear" w:color="auto" w:fill="CCECFF"/>
          </w:tcPr>
          <w:p>
            <w:pPr>
              <w:jc w:val="center"/>
              <w:ind w:right="360"/>
              <w:spacing w:after="0"/>
              <w:rPr>
                <w:sz w:val="20"/>
                <w:szCs w:val="20"/>
                <w:color w:val="auto"/>
              </w:rPr>
            </w:pPr>
            <w:r>
              <w:rPr>
                <w:rFonts w:ascii="Arial" w:cs="Arial" w:eastAsia="Arial" w:hAnsi="Arial"/>
                <w:sz w:val="12"/>
                <w:szCs w:val="12"/>
                <w:color w:val="auto"/>
                <w:w w:val="89"/>
              </w:rPr>
              <w:t>Telecommunications</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8.58%</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2M L+650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10,252,173</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10,119,663</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9,880,532</w:t>
            </w:r>
          </w:p>
        </w:tc>
        <w:tc>
          <w:tcPr>
            <w:tcW w:w="100" w:type="dxa"/>
            <w:vAlign w:val="bottom"/>
            <w:shd w:val="clear" w:color="auto" w:fill="CCECFF"/>
          </w:tcPr>
          <w:p>
            <w:pPr>
              <w:spacing w:after="0"/>
              <w:rPr>
                <w:sz w:val="12"/>
                <w:szCs w:val="12"/>
                <w:color w:val="auto"/>
              </w:rPr>
            </w:pPr>
          </w:p>
        </w:tc>
      </w:tr>
      <w:tr>
        <w:trPr>
          <w:trHeight w:val="148"/>
        </w:trPr>
        <w:tc>
          <w:tcPr>
            <w:tcW w:w="3120" w:type="dxa"/>
            <w:vAlign w:val="bottom"/>
          </w:tcPr>
          <w:p>
            <w:pPr>
              <w:spacing w:after="0"/>
              <w:rPr>
                <w:sz w:val="20"/>
                <w:szCs w:val="20"/>
                <w:color w:val="auto"/>
              </w:rPr>
            </w:pPr>
            <w:r>
              <w:rPr>
                <w:rFonts w:ascii="Arial" w:cs="Arial" w:eastAsia="Arial" w:hAnsi="Arial"/>
                <w:sz w:val="12"/>
                <w:szCs w:val="12"/>
                <w:color w:val="auto"/>
              </w:rPr>
              <w:t>API Technologies Corp.</w:t>
            </w:r>
          </w:p>
        </w:tc>
        <w:tc>
          <w:tcPr>
            <w:tcW w:w="1100" w:type="dxa"/>
            <w:vAlign w:val="bottom"/>
          </w:tcPr>
          <w:p>
            <w:pPr>
              <w:jc w:val="center"/>
              <w:ind w:right="182"/>
              <w:spacing w:after="0"/>
              <w:rPr>
                <w:sz w:val="20"/>
                <w:szCs w:val="20"/>
                <w:color w:val="auto"/>
              </w:rPr>
            </w:pPr>
            <w:r>
              <w:rPr>
                <w:rFonts w:ascii="Arial" w:cs="Arial" w:eastAsia="Arial" w:hAnsi="Arial"/>
                <w:sz w:val="12"/>
                <w:szCs w:val="12"/>
                <w:color w:val="auto"/>
                <w:w w:val="89"/>
              </w:rPr>
              <w:t>04/22/2024</w:t>
            </w:r>
          </w:p>
        </w:tc>
        <w:tc>
          <w:tcPr>
            <w:tcW w:w="2540" w:type="dxa"/>
            <w:vAlign w:val="bottom"/>
            <w:gridSpan w:val="2"/>
          </w:tcPr>
          <w:p>
            <w:pPr>
              <w:jc w:val="center"/>
              <w:ind w:right="360"/>
              <w:spacing w:after="0"/>
              <w:rPr>
                <w:sz w:val="20"/>
                <w:szCs w:val="20"/>
                <w:color w:val="auto"/>
              </w:rPr>
            </w:pPr>
            <w:r>
              <w:rPr>
                <w:rFonts w:ascii="Arial" w:cs="Arial" w:eastAsia="Arial" w:hAnsi="Arial"/>
                <w:sz w:val="12"/>
                <w:szCs w:val="12"/>
                <w:color w:val="auto"/>
                <w:w w:val="85"/>
              </w:rPr>
              <w:t>Aerospace and Defense</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8.10%</w:t>
            </w:r>
          </w:p>
        </w:tc>
        <w:tc>
          <w:tcPr>
            <w:tcW w:w="740" w:type="dxa"/>
            <w:vAlign w:val="bottom"/>
          </w:tcPr>
          <w:p>
            <w:pPr>
              <w:jc w:val="right"/>
              <w:spacing w:after="0"/>
              <w:rPr>
                <w:sz w:val="20"/>
                <w:szCs w:val="20"/>
                <w:color w:val="auto"/>
              </w:rPr>
            </w:pPr>
            <w:r>
              <w:rPr>
                <w:rFonts w:ascii="Arial" w:cs="Arial" w:eastAsia="Arial" w:hAnsi="Arial"/>
                <w:sz w:val="12"/>
                <w:szCs w:val="12"/>
                <w:color w:val="auto"/>
              </w:rPr>
              <w:t>1M L+600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5,000,000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4,938,457</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4,950,000</w:t>
            </w:r>
          </w:p>
        </w:tc>
        <w:tc>
          <w:tcPr>
            <w:tcW w:w="100" w:type="dxa"/>
            <w:vAlign w:val="bottom"/>
          </w:tcPr>
          <w:p>
            <w:pPr>
              <w:spacing w:after="0"/>
              <w:rPr>
                <w:sz w:val="12"/>
                <w:szCs w:val="12"/>
                <w:color w:val="auto"/>
              </w:rPr>
            </w:pPr>
          </w:p>
        </w:tc>
      </w:tr>
      <w:tr>
        <w:trPr>
          <w:trHeight w:val="148"/>
        </w:trPr>
        <w:tc>
          <w:tcPr>
            <w:tcW w:w="31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API Technologies Corp. (Revolver) </w:t>
            </w:r>
            <w:r>
              <w:rPr>
                <w:rFonts w:ascii="Arial" w:cs="Arial" w:eastAsia="Arial" w:hAnsi="Arial"/>
                <w:sz w:val="9"/>
                <w:szCs w:val="9"/>
                <w:color w:val="auto"/>
              </w:rPr>
              <w:t>(7), (8)</w:t>
            </w:r>
          </w:p>
        </w:tc>
        <w:tc>
          <w:tcPr>
            <w:tcW w:w="1100" w:type="dxa"/>
            <w:vAlign w:val="bottom"/>
            <w:shd w:val="clear" w:color="auto" w:fill="CCECFF"/>
          </w:tcPr>
          <w:p>
            <w:pPr>
              <w:jc w:val="center"/>
              <w:ind w:right="182"/>
              <w:spacing w:after="0"/>
              <w:rPr>
                <w:sz w:val="20"/>
                <w:szCs w:val="20"/>
                <w:color w:val="auto"/>
              </w:rPr>
            </w:pPr>
            <w:r>
              <w:rPr>
                <w:rFonts w:ascii="Arial" w:cs="Arial" w:eastAsia="Arial" w:hAnsi="Arial"/>
                <w:sz w:val="12"/>
                <w:szCs w:val="12"/>
                <w:color w:val="auto"/>
                <w:w w:val="89"/>
              </w:rPr>
              <w:t>04/22/2024</w:t>
            </w:r>
          </w:p>
        </w:tc>
        <w:tc>
          <w:tcPr>
            <w:tcW w:w="2540" w:type="dxa"/>
            <w:vAlign w:val="bottom"/>
            <w:gridSpan w:val="2"/>
            <w:shd w:val="clear" w:color="auto" w:fill="CCECFF"/>
          </w:tcPr>
          <w:p>
            <w:pPr>
              <w:jc w:val="center"/>
              <w:ind w:right="360"/>
              <w:spacing w:after="0"/>
              <w:rPr>
                <w:sz w:val="20"/>
                <w:szCs w:val="20"/>
                <w:color w:val="auto"/>
              </w:rPr>
            </w:pPr>
            <w:r>
              <w:rPr>
                <w:rFonts w:ascii="Arial" w:cs="Arial" w:eastAsia="Arial" w:hAnsi="Arial"/>
                <w:sz w:val="12"/>
                <w:szCs w:val="12"/>
                <w:color w:val="auto"/>
                <w:w w:val="85"/>
              </w:rPr>
              <w:t>Aerospace and Defense</w:t>
            </w:r>
          </w:p>
        </w:tc>
        <w:tc>
          <w:tcPr>
            <w:tcW w:w="90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1,968,504</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CFF"/>
          </w:tcPr>
          <w:p>
            <w:pPr>
              <w:spacing w:after="0"/>
              <w:rPr>
                <w:sz w:val="12"/>
                <w:szCs w:val="12"/>
                <w:color w:val="auto"/>
              </w:rPr>
            </w:pPr>
          </w:p>
        </w:tc>
        <w:tc>
          <w:tcPr>
            <w:tcW w:w="700" w:type="dxa"/>
            <w:vAlign w:val="bottom"/>
            <w:gridSpan w:val="2"/>
            <w:shd w:val="clear" w:color="auto" w:fill="CCECFF"/>
          </w:tcPr>
          <w:p>
            <w:pPr>
              <w:jc w:val="right"/>
              <w:ind w:right="60"/>
              <w:spacing w:after="0"/>
              <w:rPr>
                <w:sz w:val="20"/>
                <w:szCs w:val="20"/>
                <w:color w:val="auto"/>
              </w:rPr>
            </w:pPr>
            <w:r>
              <w:rPr>
                <w:rFonts w:ascii="Arial" w:cs="Arial" w:eastAsia="Arial" w:hAnsi="Arial"/>
                <w:sz w:val="12"/>
                <w:szCs w:val="12"/>
                <w:color w:val="auto"/>
              </w:rPr>
              <w:t>(9,843)</w:t>
            </w:r>
          </w:p>
        </w:tc>
      </w:tr>
      <w:tr>
        <w:trPr>
          <w:trHeight w:val="148"/>
        </w:trPr>
        <w:tc>
          <w:tcPr>
            <w:tcW w:w="3120" w:type="dxa"/>
            <w:vAlign w:val="bottom"/>
          </w:tcPr>
          <w:p>
            <w:pPr>
              <w:spacing w:after="0"/>
              <w:rPr>
                <w:sz w:val="20"/>
                <w:szCs w:val="20"/>
                <w:color w:val="auto"/>
              </w:rPr>
            </w:pPr>
            <w:r>
              <w:rPr>
                <w:rFonts w:ascii="Arial" w:cs="Arial" w:eastAsia="Arial" w:hAnsi="Arial"/>
                <w:sz w:val="12"/>
                <w:szCs w:val="12"/>
                <w:color w:val="auto"/>
              </w:rPr>
              <w:t>Beauty Industry Group Opco, LLC</w:t>
            </w:r>
          </w:p>
        </w:tc>
        <w:tc>
          <w:tcPr>
            <w:tcW w:w="1100" w:type="dxa"/>
            <w:vAlign w:val="bottom"/>
          </w:tcPr>
          <w:p>
            <w:pPr>
              <w:jc w:val="center"/>
              <w:ind w:right="182"/>
              <w:spacing w:after="0"/>
              <w:rPr>
                <w:sz w:val="20"/>
                <w:szCs w:val="20"/>
                <w:color w:val="auto"/>
              </w:rPr>
            </w:pPr>
            <w:r>
              <w:rPr>
                <w:rFonts w:ascii="Arial" w:cs="Arial" w:eastAsia="Arial" w:hAnsi="Arial"/>
                <w:sz w:val="12"/>
                <w:szCs w:val="12"/>
                <w:color w:val="auto"/>
                <w:w w:val="89"/>
              </w:rPr>
              <w:t>04/06/2023</w:t>
            </w:r>
          </w:p>
        </w:tc>
        <w:tc>
          <w:tcPr>
            <w:tcW w:w="2540" w:type="dxa"/>
            <w:vAlign w:val="bottom"/>
            <w:gridSpan w:val="2"/>
          </w:tcPr>
          <w:p>
            <w:pPr>
              <w:jc w:val="center"/>
              <w:ind w:right="360"/>
              <w:spacing w:after="0"/>
              <w:rPr>
                <w:sz w:val="20"/>
                <w:szCs w:val="20"/>
                <w:color w:val="auto"/>
              </w:rPr>
            </w:pPr>
            <w:r>
              <w:rPr>
                <w:rFonts w:ascii="Arial" w:cs="Arial" w:eastAsia="Arial" w:hAnsi="Arial"/>
                <w:sz w:val="12"/>
                <w:szCs w:val="12"/>
                <w:color w:val="auto"/>
                <w:w w:val="88"/>
              </w:rPr>
              <w:t>Consumer Goods: Non-Durable</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6.85%</w:t>
            </w:r>
          </w:p>
        </w:tc>
        <w:tc>
          <w:tcPr>
            <w:tcW w:w="740" w:type="dxa"/>
            <w:vAlign w:val="bottom"/>
          </w:tcPr>
          <w:p>
            <w:pPr>
              <w:jc w:val="right"/>
              <w:spacing w:after="0"/>
              <w:rPr>
                <w:sz w:val="20"/>
                <w:szCs w:val="20"/>
                <w:color w:val="auto"/>
              </w:rPr>
            </w:pPr>
            <w:r>
              <w:rPr>
                <w:rFonts w:ascii="Arial" w:cs="Arial" w:eastAsia="Arial" w:hAnsi="Arial"/>
                <w:sz w:val="12"/>
                <w:szCs w:val="12"/>
                <w:color w:val="auto"/>
              </w:rPr>
              <w:t>1M L+475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33,255,844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32,923,285</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w w:val="93"/>
              </w:rPr>
              <w:t>32,923,285</w:t>
            </w:r>
          </w:p>
        </w:tc>
        <w:tc>
          <w:tcPr>
            <w:tcW w:w="100" w:type="dxa"/>
            <w:vAlign w:val="bottom"/>
          </w:tcPr>
          <w:p>
            <w:pPr>
              <w:spacing w:after="0"/>
              <w:rPr>
                <w:sz w:val="12"/>
                <w:szCs w:val="12"/>
                <w:color w:val="auto"/>
              </w:rPr>
            </w:pPr>
          </w:p>
        </w:tc>
      </w:tr>
      <w:tr>
        <w:trPr>
          <w:trHeight w:val="149"/>
        </w:trPr>
        <w:tc>
          <w:tcPr>
            <w:tcW w:w="3120" w:type="dxa"/>
            <w:vAlign w:val="bottom"/>
            <w:shd w:val="clear" w:color="auto" w:fill="CCECFF"/>
          </w:tcPr>
          <w:p>
            <w:pPr>
              <w:spacing w:after="0"/>
              <w:rPr>
                <w:sz w:val="20"/>
                <w:szCs w:val="20"/>
                <w:color w:val="auto"/>
              </w:rPr>
            </w:pPr>
            <w:r>
              <w:rPr>
                <w:rFonts w:ascii="Arial" w:cs="Arial" w:eastAsia="Arial" w:hAnsi="Arial"/>
                <w:sz w:val="12"/>
                <w:szCs w:val="12"/>
                <w:color w:val="auto"/>
              </w:rPr>
              <w:t>BEI Precision Systems &amp; Space Company, Inc.</w:t>
            </w:r>
          </w:p>
        </w:tc>
        <w:tc>
          <w:tcPr>
            <w:tcW w:w="1100" w:type="dxa"/>
            <w:vAlign w:val="bottom"/>
            <w:shd w:val="clear" w:color="auto" w:fill="CCECFF"/>
          </w:tcPr>
          <w:p>
            <w:pPr>
              <w:jc w:val="center"/>
              <w:ind w:right="182"/>
              <w:spacing w:after="0"/>
              <w:rPr>
                <w:sz w:val="20"/>
                <w:szCs w:val="20"/>
                <w:color w:val="auto"/>
              </w:rPr>
            </w:pPr>
            <w:r>
              <w:rPr>
                <w:rFonts w:ascii="Arial" w:cs="Arial" w:eastAsia="Arial" w:hAnsi="Arial"/>
                <w:sz w:val="12"/>
                <w:szCs w:val="12"/>
                <w:color w:val="auto"/>
                <w:w w:val="89"/>
              </w:rPr>
              <w:t>04/28/2023</w:t>
            </w:r>
          </w:p>
        </w:tc>
        <w:tc>
          <w:tcPr>
            <w:tcW w:w="2540" w:type="dxa"/>
            <w:vAlign w:val="bottom"/>
            <w:gridSpan w:val="2"/>
            <w:shd w:val="clear" w:color="auto" w:fill="CCECFF"/>
          </w:tcPr>
          <w:p>
            <w:pPr>
              <w:jc w:val="center"/>
              <w:ind w:right="360"/>
              <w:spacing w:after="0"/>
              <w:rPr>
                <w:sz w:val="20"/>
                <w:szCs w:val="20"/>
                <w:color w:val="auto"/>
              </w:rPr>
            </w:pPr>
            <w:r>
              <w:rPr>
                <w:rFonts w:ascii="Arial" w:cs="Arial" w:eastAsia="Arial" w:hAnsi="Arial"/>
                <w:sz w:val="12"/>
                <w:szCs w:val="12"/>
                <w:color w:val="auto"/>
                <w:w w:val="85"/>
              </w:rPr>
              <w:t>Aerospace and Defense</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7.84%</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L+550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11,880,000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11,777,888</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11,761,200</w:t>
            </w:r>
          </w:p>
        </w:tc>
        <w:tc>
          <w:tcPr>
            <w:tcW w:w="100" w:type="dxa"/>
            <w:vAlign w:val="bottom"/>
            <w:shd w:val="clear" w:color="auto" w:fill="CCECFF"/>
          </w:tcPr>
          <w:p>
            <w:pPr>
              <w:spacing w:after="0"/>
              <w:rPr>
                <w:sz w:val="12"/>
                <w:szCs w:val="12"/>
                <w:color w:val="auto"/>
              </w:rPr>
            </w:pPr>
          </w:p>
        </w:tc>
      </w:tr>
      <w:tr>
        <w:trPr>
          <w:trHeight w:val="148"/>
        </w:trPr>
        <w:tc>
          <w:tcPr>
            <w:tcW w:w="3120" w:type="dxa"/>
            <w:vAlign w:val="bottom"/>
          </w:tcPr>
          <w:p>
            <w:pPr>
              <w:spacing w:after="0"/>
              <w:rPr>
                <w:sz w:val="20"/>
                <w:szCs w:val="20"/>
                <w:color w:val="auto"/>
              </w:rPr>
            </w:pPr>
            <w:r>
              <w:rPr>
                <w:rFonts w:ascii="Arial" w:cs="Arial" w:eastAsia="Arial" w:hAnsi="Arial"/>
                <w:sz w:val="12"/>
                <w:szCs w:val="12"/>
                <w:color w:val="auto"/>
              </w:rPr>
              <w:t>By Light Professional IT Services, LLC</w:t>
            </w:r>
          </w:p>
        </w:tc>
        <w:tc>
          <w:tcPr>
            <w:tcW w:w="1100" w:type="dxa"/>
            <w:vAlign w:val="bottom"/>
          </w:tcPr>
          <w:p>
            <w:pPr>
              <w:jc w:val="center"/>
              <w:ind w:right="182"/>
              <w:spacing w:after="0"/>
              <w:rPr>
                <w:sz w:val="20"/>
                <w:szCs w:val="20"/>
                <w:color w:val="auto"/>
              </w:rPr>
            </w:pPr>
            <w:r>
              <w:rPr>
                <w:rFonts w:ascii="Arial" w:cs="Arial" w:eastAsia="Arial" w:hAnsi="Arial"/>
                <w:sz w:val="12"/>
                <w:szCs w:val="12"/>
                <w:color w:val="auto"/>
                <w:w w:val="89"/>
              </w:rPr>
              <w:t>05/16/2022</w:t>
            </w:r>
          </w:p>
        </w:tc>
        <w:tc>
          <w:tcPr>
            <w:tcW w:w="2540" w:type="dxa"/>
            <w:vAlign w:val="bottom"/>
            <w:gridSpan w:val="2"/>
          </w:tcPr>
          <w:p>
            <w:pPr>
              <w:jc w:val="center"/>
              <w:ind w:right="360"/>
              <w:spacing w:after="0"/>
              <w:rPr>
                <w:sz w:val="20"/>
                <w:szCs w:val="20"/>
                <w:color w:val="auto"/>
              </w:rPr>
            </w:pPr>
            <w:r>
              <w:rPr>
                <w:rFonts w:ascii="Arial" w:cs="Arial" w:eastAsia="Arial" w:hAnsi="Arial"/>
                <w:sz w:val="12"/>
                <w:szCs w:val="12"/>
                <w:color w:val="auto"/>
                <w:w w:val="89"/>
              </w:rPr>
              <w:t>High Tech Industries</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9.58%</w:t>
            </w:r>
          </w:p>
        </w:tc>
        <w:tc>
          <w:tcPr>
            <w:tcW w:w="740" w:type="dxa"/>
            <w:vAlign w:val="bottom"/>
          </w:tcPr>
          <w:p>
            <w:pPr>
              <w:jc w:val="right"/>
              <w:spacing w:after="0"/>
              <w:rPr>
                <w:sz w:val="20"/>
                <w:szCs w:val="20"/>
                <w:color w:val="auto"/>
              </w:rPr>
            </w:pPr>
            <w:r>
              <w:rPr>
                <w:rFonts w:ascii="Arial" w:cs="Arial" w:eastAsia="Arial" w:hAnsi="Arial"/>
                <w:sz w:val="12"/>
                <w:szCs w:val="12"/>
                <w:color w:val="auto"/>
              </w:rPr>
              <w:t>3M L+725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15,454,395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15,139,879</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w w:val="93"/>
              </w:rPr>
              <w:t>15,454,395</w:t>
            </w:r>
          </w:p>
        </w:tc>
        <w:tc>
          <w:tcPr>
            <w:tcW w:w="100" w:type="dxa"/>
            <w:vAlign w:val="bottom"/>
          </w:tcPr>
          <w:p>
            <w:pPr>
              <w:spacing w:after="0"/>
              <w:rPr>
                <w:sz w:val="12"/>
                <w:szCs w:val="12"/>
                <w:color w:val="auto"/>
              </w:rPr>
            </w:pPr>
          </w:p>
        </w:tc>
      </w:tr>
      <w:tr>
        <w:trPr>
          <w:trHeight w:val="148"/>
        </w:trPr>
        <w:tc>
          <w:tcPr>
            <w:tcW w:w="31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By Light Professional IT Services, LLC (Revolver) </w:t>
            </w:r>
            <w:r>
              <w:rPr>
                <w:rFonts w:ascii="Arial" w:cs="Arial" w:eastAsia="Arial" w:hAnsi="Arial"/>
                <w:sz w:val="9"/>
                <w:szCs w:val="9"/>
                <w:color w:val="auto"/>
              </w:rPr>
              <w:t>(7), (8)</w:t>
            </w:r>
          </w:p>
        </w:tc>
        <w:tc>
          <w:tcPr>
            <w:tcW w:w="1100" w:type="dxa"/>
            <w:vAlign w:val="bottom"/>
            <w:shd w:val="clear" w:color="auto" w:fill="CCECFF"/>
          </w:tcPr>
          <w:p>
            <w:pPr>
              <w:jc w:val="center"/>
              <w:ind w:right="182"/>
              <w:spacing w:after="0"/>
              <w:rPr>
                <w:sz w:val="20"/>
                <w:szCs w:val="20"/>
                <w:color w:val="auto"/>
              </w:rPr>
            </w:pPr>
            <w:r>
              <w:rPr>
                <w:rFonts w:ascii="Arial" w:cs="Arial" w:eastAsia="Arial" w:hAnsi="Arial"/>
                <w:sz w:val="12"/>
                <w:szCs w:val="12"/>
                <w:color w:val="auto"/>
                <w:w w:val="89"/>
              </w:rPr>
              <w:t>05/16/2022</w:t>
            </w:r>
          </w:p>
        </w:tc>
        <w:tc>
          <w:tcPr>
            <w:tcW w:w="2540" w:type="dxa"/>
            <w:vAlign w:val="bottom"/>
            <w:gridSpan w:val="2"/>
            <w:shd w:val="clear" w:color="auto" w:fill="CCECFF"/>
          </w:tcPr>
          <w:p>
            <w:pPr>
              <w:jc w:val="center"/>
              <w:ind w:right="360"/>
              <w:spacing w:after="0"/>
              <w:rPr>
                <w:sz w:val="20"/>
                <w:szCs w:val="20"/>
                <w:color w:val="auto"/>
              </w:rPr>
            </w:pPr>
            <w:r>
              <w:rPr>
                <w:rFonts w:ascii="Arial" w:cs="Arial" w:eastAsia="Arial" w:hAnsi="Arial"/>
                <w:sz w:val="12"/>
                <w:szCs w:val="12"/>
                <w:color w:val="auto"/>
                <w:w w:val="89"/>
              </w:rPr>
              <w:t>High Tech Industries</w:t>
            </w:r>
          </w:p>
        </w:tc>
        <w:tc>
          <w:tcPr>
            <w:tcW w:w="90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2,311,784</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CFF"/>
          </w:tcPr>
          <w:p>
            <w:pPr>
              <w:spacing w:after="0"/>
              <w:rPr>
                <w:sz w:val="12"/>
                <w:szCs w:val="12"/>
                <w:color w:val="auto"/>
              </w:rPr>
            </w:pPr>
          </w:p>
        </w:tc>
        <w:tc>
          <w:tcPr>
            <w:tcW w:w="70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120" w:type="dxa"/>
            <w:vAlign w:val="bottom"/>
          </w:tcPr>
          <w:p>
            <w:pPr>
              <w:spacing w:after="0"/>
              <w:rPr>
                <w:sz w:val="20"/>
                <w:szCs w:val="20"/>
                <w:color w:val="auto"/>
              </w:rPr>
            </w:pPr>
            <w:r>
              <w:rPr>
                <w:rFonts w:ascii="Arial" w:cs="Arial" w:eastAsia="Arial" w:hAnsi="Arial"/>
                <w:sz w:val="12"/>
                <w:szCs w:val="12"/>
                <w:color w:val="auto"/>
              </w:rPr>
              <w:t>Cadence Aerospace, LLC</w:t>
            </w:r>
          </w:p>
        </w:tc>
        <w:tc>
          <w:tcPr>
            <w:tcW w:w="1100" w:type="dxa"/>
            <w:vAlign w:val="bottom"/>
          </w:tcPr>
          <w:p>
            <w:pPr>
              <w:jc w:val="center"/>
              <w:ind w:right="202"/>
              <w:spacing w:after="0"/>
              <w:rPr>
                <w:sz w:val="20"/>
                <w:szCs w:val="20"/>
                <w:color w:val="auto"/>
              </w:rPr>
            </w:pPr>
            <w:r>
              <w:rPr>
                <w:rFonts w:ascii="Arial" w:cs="Arial" w:eastAsia="Arial" w:hAnsi="Arial"/>
                <w:sz w:val="12"/>
                <w:szCs w:val="12"/>
                <w:color w:val="auto"/>
                <w:w w:val="86"/>
              </w:rPr>
              <w:t>11/14/2023</w:t>
            </w:r>
          </w:p>
        </w:tc>
        <w:tc>
          <w:tcPr>
            <w:tcW w:w="2540" w:type="dxa"/>
            <w:vAlign w:val="bottom"/>
            <w:gridSpan w:val="2"/>
          </w:tcPr>
          <w:p>
            <w:pPr>
              <w:jc w:val="center"/>
              <w:ind w:right="360"/>
              <w:spacing w:after="0"/>
              <w:rPr>
                <w:sz w:val="20"/>
                <w:szCs w:val="20"/>
                <w:color w:val="auto"/>
              </w:rPr>
            </w:pPr>
            <w:r>
              <w:rPr>
                <w:rFonts w:ascii="Arial" w:cs="Arial" w:eastAsia="Arial" w:hAnsi="Arial"/>
                <w:sz w:val="12"/>
                <w:szCs w:val="12"/>
                <w:color w:val="auto"/>
                <w:w w:val="85"/>
              </w:rPr>
              <w:t>Aerospace and Defense</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8.86%</w:t>
            </w:r>
          </w:p>
        </w:tc>
        <w:tc>
          <w:tcPr>
            <w:tcW w:w="740" w:type="dxa"/>
            <w:vAlign w:val="bottom"/>
          </w:tcPr>
          <w:p>
            <w:pPr>
              <w:jc w:val="right"/>
              <w:spacing w:after="0"/>
              <w:rPr>
                <w:sz w:val="20"/>
                <w:szCs w:val="20"/>
                <w:color w:val="auto"/>
              </w:rPr>
            </w:pPr>
            <w:r>
              <w:rPr>
                <w:rFonts w:ascii="Arial" w:cs="Arial" w:eastAsia="Arial" w:hAnsi="Arial"/>
                <w:sz w:val="12"/>
                <w:szCs w:val="12"/>
                <w:color w:val="auto"/>
              </w:rPr>
              <w:t>3M L+650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10,945,000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10,846,816</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w w:val="93"/>
              </w:rPr>
              <w:t>10,932,603</w:t>
            </w:r>
          </w:p>
        </w:tc>
        <w:tc>
          <w:tcPr>
            <w:tcW w:w="100" w:type="dxa"/>
            <w:vAlign w:val="bottom"/>
          </w:tcPr>
          <w:p>
            <w:pPr>
              <w:spacing w:after="0"/>
              <w:rPr>
                <w:sz w:val="12"/>
                <w:szCs w:val="12"/>
                <w:color w:val="auto"/>
              </w:rPr>
            </w:pPr>
          </w:p>
        </w:tc>
      </w:tr>
      <w:tr>
        <w:trPr>
          <w:trHeight w:val="148"/>
        </w:trPr>
        <w:tc>
          <w:tcPr>
            <w:tcW w:w="3120" w:type="dxa"/>
            <w:vAlign w:val="bottom"/>
            <w:shd w:val="clear" w:color="auto" w:fill="CCECFF"/>
          </w:tcPr>
          <w:p>
            <w:pPr>
              <w:spacing w:after="0"/>
              <w:rPr>
                <w:sz w:val="20"/>
                <w:szCs w:val="20"/>
                <w:color w:val="auto"/>
              </w:rPr>
            </w:pPr>
            <w:r>
              <w:rPr>
                <w:rFonts w:ascii="Arial" w:cs="Arial" w:eastAsia="Arial" w:hAnsi="Arial"/>
                <w:sz w:val="12"/>
                <w:szCs w:val="12"/>
                <w:color w:val="auto"/>
              </w:rPr>
              <w:t>Camin Cargo Control, Inc.</w:t>
            </w:r>
          </w:p>
        </w:tc>
        <w:tc>
          <w:tcPr>
            <w:tcW w:w="1100" w:type="dxa"/>
            <w:vAlign w:val="bottom"/>
            <w:shd w:val="clear" w:color="auto" w:fill="CCECFF"/>
          </w:tcPr>
          <w:p>
            <w:pPr>
              <w:jc w:val="center"/>
              <w:ind w:right="182"/>
              <w:spacing w:after="0"/>
              <w:rPr>
                <w:sz w:val="20"/>
                <w:szCs w:val="20"/>
                <w:color w:val="auto"/>
              </w:rPr>
            </w:pPr>
            <w:r>
              <w:rPr>
                <w:rFonts w:ascii="Arial" w:cs="Arial" w:eastAsia="Arial" w:hAnsi="Arial"/>
                <w:sz w:val="12"/>
                <w:szCs w:val="12"/>
                <w:color w:val="auto"/>
                <w:w w:val="89"/>
              </w:rPr>
              <w:t>06/30/2021</w:t>
            </w:r>
          </w:p>
        </w:tc>
        <w:tc>
          <w:tcPr>
            <w:tcW w:w="2540" w:type="dxa"/>
            <w:vAlign w:val="bottom"/>
            <w:gridSpan w:val="2"/>
            <w:shd w:val="clear" w:color="auto" w:fill="CCECFF"/>
          </w:tcPr>
          <w:p>
            <w:pPr>
              <w:jc w:val="center"/>
              <w:ind w:right="360"/>
              <w:spacing w:after="0"/>
              <w:rPr>
                <w:sz w:val="20"/>
                <w:szCs w:val="20"/>
                <w:color w:val="auto"/>
              </w:rPr>
            </w:pPr>
            <w:r>
              <w:rPr>
                <w:rFonts w:ascii="Arial" w:cs="Arial" w:eastAsia="Arial" w:hAnsi="Arial"/>
                <w:sz w:val="12"/>
                <w:szCs w:val="12"/>
                <w:color w:val="auto"/>
                <w:w w:val="87"/>
              </w:rPr>
              <w:t>Transportation: Cargo</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6.84%</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L+475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2,425,000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2,411,577</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2,328,000</w:t>
            </w:r>
          </w:p>
        </w:tc>
        <w:tc>
          <w:tcPr>
            <w:tcW w:w="100" w:type="dxa"/>
            <w:vAlign w:val="bottom"/>
            <w:shd w:val="clear" w:color="auto" w:fill="CCECFF"/>
          </w:tcPr>
          <w:p>
            <w:pPr>
              <w:spacing w:after="0"/>
              <w:rPr>
                <w:sz w:val="12"/>
                <w:szCs w:val="12"/>
                <w:color w:val="auto"/>
              </w:rPr>
            </w:pPr>
          </w:p>
        </w:tc>
      </w:tr>
      <w:tr>
        <w:trPr>
          <w:trHeight w:val="149"/>
        </w:trPr>
        <w:tc>
          <w:tcPr>
            <w:tcW w:w="3120" w:type="dxa"/>
            <w:vAlign w:val="bottom"/>
          </w:tcPr>
          <w:p>
            <w:pPr>
              <w:spacing w:after="0"/>
              <w:rPr>
                <w:sz w:val="20"/>
                <w:szCs w:val="20"/>
                <w:color w:val="auto"/>
              </w:rPr>
            </w:pPr>
            <w:r>
              <w:rPr>
                <w:rFonts w:ascii="Arial" w:cs="Arial" w:eastAsia="Arial" w:hAnsi="Arial"/>
                <w:sz w:val="12"/>
                <w:szCs w:val="12"/>
                <w:color w:val="auto"/>
              </w:rPr>
              <w:t>Cardenas Markets LLC</w:t>
            </w:r>
          </w:p>
        </w:tc>
        <w:tc>
          <w:tcPr>
            <w:tcW w:w="1100" w:type="dxa"/>
            <w:vAlign w:val="bottom"/>
          </w:tcPr>
          <w:p>
            <w:pPr>
              <w:jc w:val="center"/>
              <w:ind w:right="202"/>
              <w:spacing w:after="0"/>
              <w:rPr>
                <w:sz w:val="20"/>
                <w:szCs w:val="20"/>
                <w:color w:val="auto"/>
              </w:rPr>
            </w:pPr>
            <w:r>
              <w:rPr>
                <w:rFonts w:ascii="Arial" w:cs="Arial" w:eastAsia="Arial" w:hAnsi="Arial"/>
                <w:sz w:val="12"/>
                <w:szCs w:val="12"/>
                <w:color w:val="auto"/>
                <w:w w:val="86"/>
              </w:rPr>
              <w:t>11/29/2023</w:t>
            </w:r>
          </w:p>
        </w:tc>
        <w:tc>
          <w:tcPr>
            <w:tcW w:w="2540" w:type="dxa"/>
            <w:vAlign w:val="bottom"/>
            <w:gridSpan w:val="2"/>
          </w:tcPr>
          <w:p>
            <w:pPr>
              <w:jc w:val="center"/>
              <w:ind w:right="380"/>
              <w:spacing w:after="0"/>
              <w:rPr>
                <w:sz w:val="20"/>
                <w:szCs w:val="20"/>
                <w:color w:val="auto"/>
              </w:rPr>
            </w:pPr>
            <w:r>
              <w:rPr>
                <w:rFonts w:ascii="Arial" w:cs="Arial" w:eastAsia="Arial" w:hAnsi="Arial"/>
                <w:sz w:val="12"/>
                <w:szCs w:val="12"/>
                <w:color w:val="auto"/>
                <w:w w:val="85"/>
              </w:rPr>
              <w:t>Beverage, Food and Tobacco</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7.84%</w:t>
            </w:r>
          </w:p>
        </w:tc>
        <w:tc>
          <w:tcPr>
            <w:tcW w:w="740" w:type="dxa"/>
            <w:vAlign w:val="bottom"/>
          </w:tcPr>
          <w:p>
            <w:pPr>
              <w:jc w:val="right"/>
              <w:spacing w:after="0"/>
              <w:rPr>
                <w:sz w:val="20"/>
                <w:szCs w:val="20"/>
                <w:color w:val="auto"/>
              </w:rPr>
            </w:pPr>
            <w:r>
              <w:rPr>
                <w:rFonts w:ascii="Arial" w:cs="Arial" w:eastAsia="Arial" w:hAnsi="Arial"/>
                <w:sz w:val="12"/>
                <w:szCs w:val="12"/>
                <w:color w:val="auto"/>
              </w:rPr>
              <w:t>1M L+575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3,884,175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3,892,081</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3,903,596</w:t>
            </w:r>
          </w:p>
        </w:tc>
        <w:tc>
          <w:tcPr>
            <w:tcW w:w="100" w:type="dxa"/>
            <w:vAlign w:val="bottom"/>
          </w:tcPr>
          <w:p>
            <w:pPr>
              <w:spacing w:after="0"/>
              <w:rPr>
                <w:sz w:val="12"/>
                <w:szCs w:val="12"/>
                <w:color w:val="auto"/>
              </w:rPr>
            </w:pPr>
          </w:p>
        </w:tc>
      </w:tr>
      <w:tr>
        <w:trPr>
          <w:trHeight w:val="148"/>
        </w:trPr>
        <w:tc>
          <w:tcPr>
            <w:tcW w:w="3120" w:type="dxa"/>
            <w:vAlign w:val="bottom"/>
            <w:shd w:val="clear" w:color="auto" w:fill="CCECFF"/>
          </w:tcPr>
          <w:p>
            <w:pPr>
              <w:spacing w:after="0"/>
              <w:rPr>
                <w:sz w:val="20"/>
                <w:szCs w:val="20"/>
                <w:color w:val="auto"/>
              </w:rPr>
            </w:pPr>
            <w:r>
              <w:rPr>
                <w:rFonts w:ascii="Arial" w:cs="Arial" w:eastAsia="Arial" w:hAnsi="Arial"/>
                <w:sz w:val="12"/>
                <w:szCs w:val="12"/>
                <w:color w:val="auto"/>
              </w:rPr>
              <w:t>CD&amp;R TZ Purchaser, Inc.</w:t>
            </w:r>
          </w:p>
        </w:tc>
        <w:tc>
          <w:tcPr>
            <w:tcW w:w="1100" w:type="dxa"/>
            <w:vAlign w:val="bottom"/>
            <w:shd w:val="clear" w:color="auto" w:fill="CCECFF"/>
          </w:tcPr>
          <w:p>
            <w:pPr>
              <w:jc w:val="center"/>
              <w:ind w:right="182"/>
              <w:spacing w:after="0"/>
              <w:rPr>
                <w:sz w:val="20"/>
                <w:szCs w:val="20"/>
                <w:color w:val="auto"/>
              </w:rPr>
            </w:pPr>
            <w:r>
              <w:rPr>
                <w:rFonts w:ascii="Arial" w:cs="Arial" w:eastAsia="Arial" w:hAnsi="Arial"/>
                <w:sz w:val="12"/>
                <w:szCs w:val="12"/>
                <w:color w:val="auto"/>
                <w:w w:val="89"/>
              </w:rPr>
              <w:t>07/21/2023</w:t>
            </w:r>
          </w:p>
        </w:tc>
        <w:tc>
          <w:tcPr>
            <w:tcW w:w="2540" w:type="dxa"/>
            <w:vAlign w:val="bottom"/>
            <w:gridSpan w:val="2"/>
            <w:shd w:val="clear" w:color="auto" w:fill="CCECFF"/>
          </w:tcPr>
          <w:p>
            <w:pPr>
              <w:jc w:val="center"/>
              <w:ind w:right="360"/>
              <w:spacing w:after="0"/>
              <w:rPr>
                <w:sz w:val="20"/>
                <w:szCs w:val="20"/>
                <w:color w:val="auto"/>
              </w:rPr>
            </w:pPr>
            <w:r>
              <w:rPr>
                <w:rFonts w:ascii="Arial" w:cs="Arial" w:eastAsia="Arial" w:hAnsi="Arial"/>
                <w:sz w:val="12"/>
                <w:szCs w:val="12"/>
                <w:color w:val="auto"/>
                <w:w w:val="88"/>
              </w:rPr>
              <w:t>Consumer Goods: Durable</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8.33%</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L+600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16,202,420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15,889,366</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15,878,372</w:t>
            </w:r>
          </w:p>
        </w:tc>
        <w:tc>
          <w:tcPr>
            <w:tcW w:w="100" w:type="dxa"/>
            <w:vAlign w:val="bottom"/>
            <w:shd w:val="clear" w:color="auto" w:fill="CCECFF"/>
          </w:tcPr>
          <w:p>
            <w:pPr>
              <w:spacing w:after="0"/>
              <w:rPr>
                <w:sz w:val="12"/>
                <w:szCs w:val="12"/>
                <w:color w:val="auto"/>
              </w:rPr>
            </w:pPr>
          </w:p>
        </w:tc>
      </w:tr>
      <w:tr>
        <w:trPr>
          <w:trHeight w:val="148"/>
        </w:trPr>
        <w:tc>
          <w:tcPr>
            <w:tcW w:w="3120" w:type="dxa"/>
            <w:vAlign w:val="bottom"/>
          </w:tcPr>
          <w:p>
            <w:pPr>
              <w:spacing w:after="0"/>
              <w:rPr>
                <w:sz w:val="20"/>
                <w:szCs w:val="20"/>
                <w:color w:val="auto"/>
              </w:rPr>
            </w:pPr>
            <w:r>
              <w:rPr>
                <w:rFonts w:ascii="Arial" w:cs="Arial" w:eastAsia="Arial" w:hAnsi="Arial"/>
                <w:sz w:val="12"/>
                <w:szCs w:val="12"/>
                <w:color w:val="auto"/>
              </w:rPr>
              <w:t xml:space="preserve">CHA Holdings, Inc. </w:t>
            </w:r>
            <w:r>
              <w:rPr>
                <w:rFonts w:ascii="Arial" w:cs="Arial" w:eastAsia="Arial" w:hAnsi="Arial"/>
                <w:sz w:val="9"/>
                <w:szCs w:val="9"/>
                <w:color w:val="auto"/>
              </w:rPr>
              <w:t>(7)</w:t>
            </w:r>
          </w:p>
        </w:tc>
        <w:tc>
          <w:tcPr>
            <w:tcW w:w="1100" w:type="dxa"/>
            <w:vAlign w:val="bottom"/>
          </w:tcPr>
          <w:p>
            <w:pPr>
              <w:jc w:val="center"/>
              <w:ind w:right="182"/>
              <w:spacing w:after="0"/>
              <w:rPr>
                <w:sz w:val="20"/>
                <w:szCs w:val="20"/>
                <w:color w:val="auto"/>
              </w:rPr>
            </w:pPr>
            <w:r>
              <w:rPr>
                <w:rFonts w:ascii="Arial" w:cs="Arial" w:eastAsia="Arial" w:hAnsi="Arial"/>
                <w:sz w:val="12"/>
                <w:szCs w:val="12"/>
                <w:color w:val="auto"/>
                <w:w w:val="89"/>
              </w:rPr>
              <w:t>04/10/2025</w:t>
            </w:r>
          </w:p>
        </w:tc>
        <w:tc>
          <w:tcPr>
            <w:tcW w:w="2540" w:type="dxa"/>
            <w:vAlign w:val="bottom"/>
            <w:gridSpan w:val="2"/>
          </w:tcPr>
          <w:p>
            <w:pPr>
              <w:jc w:val="center"/>
              <w:ind w:right="360"/>
              <w:spacing w:after="0"/>
              <w:rPr>
                <w:sz w:val="20"/>
                <w:szCs w:val="20"/>
                <w:color w:val="auto"/>
              </w:rPr>
            </w:pPr>
            <w:r>
              <w:rPr>
                <w:rFonts w:ascii="Arial" w:cs="Arial" w:eastAsia="Arial" w:hAnsi="Arial"/>
                <w:sz w:val="12"/>
                <w:szCs w:val="12"/>
                <w:color w:val="auto"/>
                <w:w w:val="89"/>
              </w:rPr>
              <w:t>Environmental Industries</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6.58%</w:t>
            </w:r>
          </w:p>
        </w:tc>
        <w:tc>
          <w:tcPr>
            <w:tcW w:w="740" w:type="dxa"/>
            <w:vAlign w:val="bottom"/>
          </w:tcPr>
          <w:p>
            <w:pPr>
              <w:jc w:val="right"/>
              <w:spacing w:after="0"/>
              <w:rPr>
                <w:sz w:val="20"/>
                <w:szCs w:val="20"/>
                <w:color w:val="auto"/>
              </w:rPr>
            </w:pPr>
            <w:r>
              <w:rPr>
                <w:rFonts w:ascii="Arial" w:cs="Arial" w:eastAsia="Arial" w:hAnsi="Arial"/>
                <w:sz w:val="12"/>
                <w:szCs w:val="12"/>
                <w:color w:val="auto"/>
              </w:rPr>
              <w:t>2M L+450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6,160,714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6,130,344</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6,160,714</w:t>
            </w:r>
          </w:p>
        </w:tc>
        <w:tc>
          <w:tcPr>
            <w:tcW w:w="100" w:type="dxa"/>
            <w:vAlign w:val="bottom"/>
          </w:tcPr>
          <w:p>
            <w:pPr>
              <w:spacing w:after="0"/>
              <w:rPr>
                <w:sz w:val="12"/>
                <w:szCs w:val="12"/>
                <w:color w:val="auto"/>
              </w:rPr>
            </w:pPr>
          </w:p>
        </w:tc>
      </w:tr>
      <w:tr>
        <w:trPr>
          <w:trHeight w:val="148"/>
        </w:trPr>
        <w:tc>
          <w:tcPr>
            <w:tcW w:w="31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CHA Holdings, Inc. </w:t>
            </w:r>
            <w:r>
              <w:rPr>
                <w:rFonts w:ascii="Arial" w:cs="Arial" w:eastAsia="Arial" w:hAnsi="Arial"/>
                <w:sz w:val="9"/>
                <w:szCs w:val="9"/>
                <w:color w:val="auto"/>
              </w:rPr>
              <w:t>(7), (8)</w:t>
            </w:r>
          </w:p>
        </w:tc>
        <w:tc>
          <w:tcPr>
            <w:tcW w:w="1100" w:type="dxa"/>
            <w:vAlign w:val="bottom"/>
            <w:shd w:val="clear" w:color="auto" w:fill="CCECFF"/>
          </w:tcPr>
          <w:p>
            <w:pPr>
              <w:jc w:val="center"/>
              <w:ind w:right="182"/>
              <w:spacing w:after="0"/>
              <w:rPr>
                <w:sz w:val="20"/>
                <w:szCs w:val="20"/>
                <w:color w:val="auto"/>
              </w:rPr>
            </w:pPr>
            <w:r>
              <w:rPr>
                <w:rFonts w:ascii="Arial" w:cs="Arial" w:eastAsia="Arial" w:hAnsi="Arial"/>
                <w:sz w:val="12"/>
                <w:szCs w:val="12"/>
                <w:color w:val="auto"/>
                <w:w w:val="89"/>
              </w:rPr>
              <w:t>04/10/2025</w:t>
            </w:r>
          </w:p>
        </w:tc>
        <w:tc>
          <w:tcPr>
            <w:tcW w:w="2540" w:type="dxa"/>
            <w:vAlign w:val="bottom"/>
            <w:gridSpan w:val="2"/>
            <w:shd w:val="clear" w:color="auto" w:fill="CCECFF"/>
          </w:tcPr>
          <w:p>
            <w:pPr>
              <w:jc w:val="center"/>
              <w:ind w:right="360"/>
              <w:spacing w:after="0"/>
              <w:rPr>
                <w:sz w:val="20"/>
                <w:szCs w:val="20"/>
                <w:color w:val="auto"/>
              </w:rPr>
            </w:pPr>
            <w:r>
              <w:rPr>
                <w:rFonts w:ascii="Arial" w:cs="Arial" w:eastAsia="Arial" w:hAnsi="Arial"/>
                <w:sz w:val="12"/>
                <w:szCs w:val="12"/>
                <w:color w:val="auto"/>
                <w:w w:val="89"/>
              </w:rPr>
              <w:t>Environmental Industries</w:t>
            </w:r>
          </w:p>
        </w:tc>
        <w:tc>
          <w:tcPr>
            <w:tcW w:w="90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1,339,286</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CFF"/>
          </w:tcPr>
          <w:p>
            <w:pPr>
              <w:spacing w:after="0"/>
              <w:rPr>
                <w:sz w:val="12"/>
                <w:szCs w:val="12"/>
                <w:color w:val="auto"/>
              </w:rPr>
            </w:pPr>
          </w:p>
        </w:tc>
        <w:tc>
          <w:tcPr>
            <w:tcW w:w="70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120" w:type="dxa"/>
            <w:vAlign w:val="bottom"/>
          </w:tcPr>
          <w:p>
            <w:pPr>
              <w:spacing w:after="0"/>
              <w:rPr>
                <w:sz w:val="20"/>
                <w:szCs w:val="20"/>
                <w:color w:val="auto"/>
              </w:rPr>
            </w:pPr>
            <w:r>
              <w:rPr>
                <w:rFonts w:ascii="Arial" w:cs="Arial" w:eastAsia="Arial" w:hAnsi="Arial"/>
                <w:sz w:val="12"/>
                <w:szCs w:val="12"/>
                <w:color w:val="auto"/>
              </w:rPr>
              <w:t>Chicken Soup for the Soul Publishing, LLC</w:t>
            </w:r>
          </w:p>
        </w:tc>
        <w:tc>
          <w:tcPr>
            <w:tcW w:w="1100" w:type="dxa"/>
            <w:vAlign w:val="bottom"/>
          </w:tcPr>
          <w:p>
            <w:pPr>
              <w:jc w:val="center"/>
              <w:ind w:right="182"/>
              <w:spacing w:after="0"/>
              <w:rPr>
                <w:sz w:val="20"/>
                <w:szCs w:val="20"/>
                <w:color w:val="auto"/>
              </w:rPr>
            </w:pPr>
            <w:r>
              <w:rPr>
                <w:rFonts w:ascii="Arial" w:cs="Arial" w:eastAsia="Arial" w:hAnsi="Arial"/>
                <w:sz w:val="12"/>
                <w:szCs w:val="12"/>
                <w:color w:val="auto"/>
                <w:w w:val="89"/>
              </w:rPr>
              <w:t>01/08/2019</w:t>
            </w:r>
          </w:p>
        </w:tc>
        <w:tc>
          <w:tcPr>
            <w:tcW w:w="2540" w:type="dxa"/>
            <w:vAlign w:val="bottom"/>
            <w:gridSpan w:val="2"/>
          </w:tcPr>
          <w:p>
            <w:pPr>
              <w:jc w:val="center"/>
              <w:ind w:right="380"/>
              <w:spacing w:after="0"/>
              <w:rPr>
                <w:sz w:val="20"/>
                <w:szCs w:val="20"/>
                <w:color w:val="auto"/>
              </w:rPr>
            </w:pPr>
            <w:r>
              <w:rPr>
                <w:rFonts w:ascii="Arial" w:cs="Arial" w:eastAsia="Arial" w:hAnsi="Arial"/>
                <w:sz w:val="12"/>
                <w:szCs w:val="12"/>
                <w:color w:val="auto"/>
                <w:w w:val="91"/>
              </w:rPr>
              <w:t>Media: Advertising, Printing and Publishing</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8.23%</w:t>
            </w:r>
          </w:p>
        </w:tc>
        <w:tc>
          <w:tcPr>
            <w:tcW w:w="740" w:type="dxa"/>
            <w:vAlign w:val="bottom"/>
          </w:tcPr>
          <w:p>
            <w:pPr>
              <w:jc w:val="right"/>
              <w:spacing w:after="0"/>
              <w:rPr>
                <w:sz w:val="20"/>
                <w:szCs w:val="20"/>
                <w:color w:val="auto"/>
              </w:rPr>
            </w:pPr>
            <w:r>
              <w:rPr>
                <w:rFonts w:ascii="Arial" w:cs="Arial" w:eastAsia="Arial" w:hAnsi="Arial"/>
                <w:sz w:val="12"/>
                <w:szCs w:val="12"/>
                <w:color w:val="auto"/>
              </w:rPr>
              <w:t>1M L+625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4,564,286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4,557,894</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3,925,286</w:t>
            </w:r>
          </w:p>
        </w:tc>
        <w:tc>
          <w:tcPr>
            <w:tcW w:w="100" w:type="dxa"/>
            <w:vAlign w:val="bottom"/>
          </w:tcPr>
          <w:p>
            <w:pPr>
              <w:spacing w:after="0"/>
              <w:rPr>
                <w:sz w:val="12"/>
                <w:szCs w:val="12"/>
                <w:color w:val="auto"/>
              </w:rPr>
            </w:pPr>
          </w:p>
        </w:tc>
      </w:tr>
      <w:tr>
        <w:trPr>
          <w:trHeight w:val="148"/>
        </w:trPr>
        <w:tc>
          <w:tcPr>
            <w:tcW w:w="3120" w:type="dxa"/>
            <w:vAlign w:val="bottom"/>
            <w:shd w:val="clear" w:color="auto" w:fill="CCECFF"/>
          </w:tcPr>
          <w:p>
            <w:pPr>
              <w:spacing w:after="0"/>
              <w:rPr>
                <w:sz w:val="20"/>
                <w:szCs w:val="20"/>
                <w:color w:val="auto"/>
              </w:rPr>
            </w:pPr>
            <w:r>
              <w:rPr>
                <w:rFonts w:ascii="Arial" w:cs="Arial" w:eastAsia="Arial" w:hAnsi="Arial"/>
                <w:sz w:val="12"/>
                <w:szCs w:val="12"/>
                <w:color w:val="auto"/>
              </w:rPr>
              <w:t>Country Fresh Holdings, LLC</w:t>
            </w:r>
          </w:p>
        </w:tc>
        <w:tc>
          <w:tcPr>
            <w:tcW w:w="1100" w:type="dxa"/>
            <w:vAlign w:val="bottom"/>
            <w:shd w:val="clear" w:color="auto" w:fill="CCECFF"/>
          </w:tcPr>
          <w:p>
            <w:pPr>
              <w:jc w:val="center"/>
              <w:ind w:right="182"/>
              <w:spacing w:after="0"/>
              <w:rPr>
                <w:sz w:val="20"/>
                <w:szCs w:val="20"/>
                <w:color w:val="auto"/>
              </w:rPr>
            </w:pPr>
            <w:r>
              <w:rPr>
                <w:rFonts w:ascii="Arial" w:cs="Arial" w:eastAsia="Arial" w:hAnsi="Arial"/>
                <w:sz w:val="12"/>
                <w:szCs w:val="12"/>
                <w:color w:val="auto"/>
                <w:w w:val="89"/>
              </w:rPr>
              <w:t>03/31/2023</w:t>
            </w:r>
          </w:p>
        </w:tc>
        <w:tc>
          <w:tcPr>
            <w:tcW w:w="2540" w:type="dxa"/>
            <w:vAlign w:val="bottom"/>
            <w:gridSpan w:val="2"/>
            <w:shd w:val="clear" w:color="auto" w:fill="CCECFF"/>
          </w:tcPr>
          <w:p>
            <w:pPr>
              <w:jc w:val="center"/>
              <w:ind w:right="380"/>
              <w:spacing w:after="0"/>
              <w:rPr>
                <w:sz w:val="20"/>
                <w:szCs w:val="20"/>
                <w:color w:val="auto"/>
              </w:rPr>
            </w:pPr>
            <w:r>
              <w:rPr>
                <w:rFonts w:ascii="Arial" w:cs="Arial" w:eastAsia="Arial" w:hAnsi="Arial"/>
                <w:sz w:val="12"/>
                <w:szCs w:val="12"/>
                <w:color w:val="auto"/>
                <w:w w:val="85"/>
              </w:rPr>
              <w:t>Beverage, Food and Tobacco</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7.33%</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L+500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19,111,481</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19,071,142</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18,920,366</w:t>
            </w:r>
          </w:p>
        </w:tc>
        <w:tc>
          <w:tcPr>
            <w:tcW w:w="100" w:type="dxa"/>
            <w:vAlign w:val="bottom"/>
            <w:shd w:val="clear" w:color="auto" w:fill="CCECFF"/>
          </w:tcPr>
          <w:p>
            <w:pPr>
              <w:spacing w:after="0"/>
              <w:rPr>
                <w:sz w:val="12"/>
                <w:szCs w:val="12"/>
                <w:color w:val="auto"/>
              </w:rPr>
            </w:pPr>
          </w:p>
        </w:tc>
      </w:tr>
      <w:tr>
        <w:trPr>
          <w:trHeight w:val="149"/>
        </w:trPr>
        <w:tc>
          <w:tcPr>
            <w:tcW w:w="3120" w:type="dxa"/>
            <w:vAlign w:val="bottom"/>
          </w:tcPr>
          <w:p>
            <w:pPr>
              <w:spacing w:after="0"/>
              <w:rPr>
                <w:sz w:val="20"/>
                <w:szCs w:val="20"/>
                <w:color w:val="auto"/>
              </w:rPr>
            </w:pPr>
            <w:r>
              <w:rPr>
                <w:rFonts w:ascii="Arial" w:cs="Arial" w:eastAsia="Arial" w:hAnsi="Arial"/>
                <w:sz w:val="12"/>
                <w:szCs w:val="12"/>
                <w:color w:val="auto"/>
              </w:rPr>
              <w:t>Credit Infonet, Inc.</w:t>
            </w:r>
          </w:p>
        </w:tc>
        <w:tc>
          <w:tcPr>
            <w:tcW w:w="1100" w:type="dxa"/>
            <w:vAlign w:val="bottom"/>
          </w:tcPr>
          <w:p>
            <w:pPr>
              <w:jc w:val="center"/>
              <w:ind w:right="182"/>
              <w:spacing w:after="0"/>
              <w:rPr>
                <w:sz w:val="20"/>
                <w:szCs w:val="20"/>
                <w:color w:val="auto"/>
              </w:rPr>
            </w:pPr>
            <w:r>
              <w:rPr>
                <w:rFonts w:ascii="Arial" w:cs="Arial" w:eastAsia="Arial" w:hAnsi="Arial"/>
                <w:sz w:val="12"/>
                <w:szCs w:val="12"/>
                <w:color w:val="auto"/>
                <w:w w:val="89"/>
              </w:rPr>
              <w:t>03/13/2023</w:t>
            </w:r>
          </w:p>
        </w:tc>
        <w:tc>
          <w:tcPr>
            <w:tcW w:w="2540" w:type="dxa"/>
            <w:vAlign w:val="bottom"/>
            <w:gridSpan w:val="2"/>
          </w:tcPr>
          <w:p>
            <w:pPr>
              <w:jc w:val="center"/>
              <w:ind w:right="360"/>
              <w:spacing w:after="0"/>
              <w:rPr>
                <w:sz w:val="20"/>
                <w:szCs w:val="20"/>
                <w:color w:val="auto"/>
              </w:rPr>
            </w:pPr>
            <w:r>
              <w:rPr>
                <w:rFonts w:ascii="Arial" w:cs="Arial" w:eastAsia="Arial" w:hAnsi="Arial"/>
                <w:sz w:val="12"/>
                <w:szCs w:val="12"/>
                <w:color w:val="auto"/>
                <w:w w:val="89"/>
              </w:rPr>
              <w:t>High Tech Industries</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8.41%</w:t>
            </w:r>
          </w:p>
        </w:tc>
        <w:tc>
          <w:tcPr>
            <w:tcW w:w="740" w:type="dxa"/>
            <w:vAlign w:val="bottom"/>
          </w:tcPr>
          <w:p>
            <w:pPr>
              <w:jc w:val="right"/>
              <w:spacing w:after="0"/>
              <w:rPr>
                <w:sz w:val="20"/>
                <w:szCs w:val="20"/>
                <w:color w:val="auto"/>
              </w:rPr>
            </w:pPr>
            <w:r>
              <w:rPr>
                <w:rFonts w:ascii="Arial" w:cs="Arial" w:eastAsia="Arial" w:hAnsi="Arial"/>
                <w:sz w:val="12"/>
                <w:szCs w:val="12"/>
                <w:color w:val="auto"/>
              </w:rPr>
              <w:t>3M L+600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27,799,338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27,598,591</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w w:val="93"/>
              </w:rPr>
              <w:t>27,799,338</w:t>
            </w:r>
          </w:p>
        </w:tc>
        <w:tc>
          <w:tcPr>
            <w:tcW w:w="100" w:type="dxa"/>
            <w:vAlign w:val="bottom"/>
          </w:tcPr>
          <w:p>
            <w:pPr>
              <w:spacing w:after="0"/>
              <w:rPr>
                <w:sz w:val="12"/>
                <w:szCs w:val="12"/>
                <w:color w:val="auto"/>
              </w:rPr>
            </w:pPr>
          </w:p>
        </w:tc>
      </w:tr>
      <w:tr>
        <w:trPr>
          <w:trHeight w:val="148"/>
        </w:trPr>
        <w:tc>
          <w:tcPr>
            <w:tcW w:w="31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Credit Infonet, Inc. (Revolver) </w:t>
            </w:r>
            <w:r>
              <w:rPr>
                <w:rFonts w:ascii="Arial" w:cs="Arial" w:eastAsia="Arial" w:hAnsi="Arial"/>
                <w:sz w:val="9"/>
                <w:szCs w:val="9"/>
                <w:color w:val="auto"/>
              </w:rPr>
              <w:t>(7), (8)</w:t>
            </w:r>
          </w:p>
        </w:tc>
        <w:tc>
          <w:tcPr>
            <w:tcW w:w="1100" w:type="dxa"/>
            <w:vAlign w:val="bottom"/>
            <w:shd w:val="clear" w:color="auto" w:fill="CCECFF"/>
          </w:tcPr>
          <w:p>
            <w:pPr>
              <w:jc w:val="center"/>
              <w:ind w:right="182"/>
              <w:spacing w:after="0"/>
              <w:rPr>
                <w:sz w:val="20"/>
                <w:szCs w:val="20"/>
                <w:color w:val="auto"/>
              </w:rPr>
            </w:pPr>
            <w:r>
              <w:rPr>
                <w:rFonts w:ascii="Arial" w:cs="Arial" w:eastAsia="Arial" w:hAnsi="Arial"/>
                <w:sz w:val="12"/>
                <w:szCs w:val="12"/>
                <w:color w:val="auto"/>
                <w:w w:val="89"/>
              </w:rPr>
              <w:t>03/13/2023</w:t>
            </w:r>
          </w:p>
        </w:tc>
        <w:tc>
          <w:tcPr>
            <w:tcW w:w="2540" w:type="dxa"/>
            <w:vAlign w:val="bottom"/>
            <w:gridSpan w:val="2"/>
            <w:shd w:val="clear" w:color="auto" w:fill="CCECFF"/>
          </w:tcPr>
          <w:p>
            <w:pPr>
              <w:jc w:val="center"/>
              <w:ind w:right="360"/>
              <w:spacing w:after="0"/>
              <w:rPr>
                <w:sz w:val="20"/>
                <w:szCs w:val="20"/>
                <w:color w:val="auto"/>
              </w:rPr>
            </w:pPr>
            <w:r>
              <w:rPr>
                <w:rFonts w:ascii="Arial" w:cs="Arial" w:eastAsia="Arial" w:hAnsi="Arial"/>
                <w:sz w:val="12"/>
                <w:szCs w:val="12"/>
                <w:color w:val="auto"/>
                <w:w w:val="89"/>
              </w:rPr>
              <w:t>High Tech Industries</w:t>
            </w:r>
          </w:p>
        </w:tc>
        <w:tc>
          <w:tcPr>
            <w:tcW w:w="90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1,000,000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CFF"/>
          </w:tcPr>
          <w:p>
            <w:pPr>
              <w:spacing w:after="0"/>
              <w:rPr>
                <w:sz w:val="12"/>
                <w:szCs w:val="12"/>
                <w:color w:val="auto"/>
              </w:rPr>
            </w:pPr>
          </w:p>
        </w:tc>
        <w:tc>
          <w:tcPr>
            <w:tcW w:w="70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120" w:type="dxa"/>
            <w:vAlign w:val="bottom"/>
          </w:tcPr>
          <w:p>
            <w:pPr>
              <w:spacing w:after="0"/>
              <w:rPr>
                <w:sz w:val="20"/>
                <w:szCs w:val="20"/>
                <w:color w:val="auto"/>
              </w:rPr>
            </w:pPr>
            <w:r>
              <w:rPr>
                <w:rFonts w:ascii="Arial" w:cs="Arial" w:eastAsia="Arial" w:hAnsi="Arial"/>
                <w:sz w:val="12"/>
                <w:szCs w:val="12"/>
                <w:color w:val="auto"/>
              </w:rPr>
              <w:t>DBI Holding, LLC</w:t>
            </w:r>
          </w:p>
        </w:tc>
        <w:tc>
          <w:tcPr>
            <w:tcW w:w="1100" w:type="dxa"/>
            <w:vAlign w:val="bottom"/>
          </w:tcPr>
          <w:p>
            <w:pPr>
              <w:jc w:val="center"/>
              <w:ind w:right="182"/>
              <w:spacing w:after="0"/>
              <w:rPr>
                <w:sz w:val="20"/>
                <w:szCs w:val="20"/>
                <w:color w:val="auto"/>
              </w:rPr>
            </w:pPr>
            <w:r>
              <w:rPr>
                <w:rFonts w:ascii="Arial" w:cs="Arial" w:eastAsia="Arial" w:hAnsi="Arial"/>
                <w:sz w:val="12"/>
                <w:szCs w:val="12"/>
                <w:color w:val="auto"/>
                <w:w w:val="89"/>
              </w:rPr>
              <w:t>08/02/2021</w:t>
            </w:r>
          </w:p>
        </w:tc>
        <w:tc>
          <w:tcPr>
            <w:tcW w:w="2540" w:type="dxa"/>
            <w:vAlign w:val="bottom"/>
            <w:gridSpan w:val="2"/>
          </w:tcPr>
          <w:p>
            <w:pPr>
              <w:jc w:val="center"/>
              <w:ind w:right="380"/>
              <w:spacing w:after="0"/>
              <w:rPr>
                <w:sz w:val="20"/>
                <w:szCs w:val="20"/>
                <w:color w:val="auto"/>
              </w:rPr>
            </w:pPr>
            <w:r>
              <w:rPr>
                <w:rFonts w:ascii="Arial" w:cs="Arial" w:eastAsia="Arial" w:hAnsi="Arial"/>
                <w:sz w:val="12"/>
                <w:szCs w:val="12"/>
                <w:color w:val="auto"/>
                <w:w w:val="85"/>
              </w:rPr>
              <w:t>Business Services</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7.35%</w:t>
            </w:r>
          </w:p>
        </w:tc>
        <w:tc>
          <w:tcPr>
            <w:tcW w:w="740" w:type="dxa"/>
            <w:vAlign w:val="bottom"/>
          </w:tcPr>
          <w:p>
            <w:pPr>
              <w:jc w:val="right"/>
              <w:spacing w:after="0"/>
              <w:rPr>
                <w:sz w:val="20"/>
                <w:szCs w:val="20"/>
                <w:color w:val="auto"/>
              </w:rPr>
            </w:pPr>
            <w:r>
              <w:rPr>
                <w:rFonts w:ascii="Arial" w:cs="Arial" w:eastAsia="Arial" w:hAnsi="Arial"/>
                <w:sz w:val="12"/>
                <w:szCs w:val="12"/>
                <w:color w:val="auto"/>
              </w:rPr>
              <w:t>1M L+525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17,439,105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17,330,765</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w w:val="93"/>
              </w:rPr>
              <w:t>17,439,105</w:t>
            </w:r>
          </w:p>
        </w:tc>
        <w:tc>
          <w:tcPr>
            <w:tcW w:w="100" w:type="dxa"/>
            <w:vAlign w:val="bottom"/>
          </w:tcPr>
          <w:p>
            <w:pPr>
              <w:spacing w:after="0"/>
              <w:rPr>
                <w:sz w:val="12"/>
                <w:szCs w:val="12"/>
                <w:color w:val="auto"/>
              </w:rPr>
            </w:pPr>
          </w:p>
        </w:tc>
      </w:tr>
      <w:tr>
        <w:trPr>
          <w:trHeight w:val="148"/>
        </w:trPr>
        <w:tc>
          <w:tcPr>
            <w:tcW w:w="3120" w:type="dxa"/>
            <w:vAlign w:val="bottom"/>
            <w:shd w:val="clear" w:color="auto" w:fill="CCECFF"/>
          </w:tcPr>
          <w:p>
            <w:pPr>
              <w:spacing w:after="0"/>
              <w:rPr>
                <w:sz w:val="20"/>
                <w:szCs w:val="20"/>
                <w:color w:val="auto"/>
              </w:rPr>
            </w:pPr>
            <w:r>
              <w:rPr>
                <w:rFonts w:ascii="Arial" w:cs="Arial" w:eastAsia="Arial" w:hAnsi="Arial"/>
                <w:sz w:val="12"/>
                <w:szCs w:val="12"/>
                <w:color w:val="auto"/>
              </w:rPr>
              <w:t>Deva Holdings, Inc.</w:t>
            </w:r>
          </w:p>
        </w:tc>
        <w:tc>
          <w:tcPr>
            <w:tcW w:w="1100" w:type="dxa"/>
            <w:vAlign w:val="bottom"/>
            <w:shd w:val="clear" w:color="auto" w:fill="CCECFF"/>
          </w:tcPr>
          <w:p>
            <w:pPr>
              <w:jc w:val="center"/>
              <w:ind w:right="182"/>
              <w:spacing w:after="0"/>
              <w:rPr>
                <w:sz w:val="20"/>
                <w:szCs w:val="20"/>
                <w:color w:val="auto"/>
              </w:rPr>
            </w:pPr>
            <w:r>
              <w:rPr>
                <w:rFonts w:ascii="Arial" w:cs="Arial" w:eastAsia="Arial" w:hAnsi="Arial"/>
                <w:sz w:val="12"/>
                <w:szCs w:val="12"/>
                <w:color w:val="auto"/>
                <w:w w:val="89"/>
              </w:rPr>
              <w:t>10/31/2023</w:t>
            </w:r>
          </w:p>
        </w:tc>
        <w:tc>
          <w:tcPr>
            <w:tcW w:w="2540" w:type="dxa"/>
            <w:vAlign w:val="bottom"/>
            <w:gridSpan w:val="2"/>
            <w:shd w:val="clear" w:color="auto" w:fill="CCECFF"/>
          </w:tcPr>
          <w:p>
            <w:pPr>
              <w:jc w:val="center"/>
              <w:ind w:right="360"/>
              <w:spacing w:after="0"/>
              <w:rPr>
                <w:sz w:val="20"/>
                <w:szCs w:val="20"/>
                <w:color w:val="auto"/>
              </w:rPr>
            </w:pPr>
            <w:r>
              <w:rPr>
                <w:rFonts w:ascii="Arial" w:cs="Arial" w:eastAsia="Arial" w:hAnsi="Arial"/>
                <w:sz w:val="12"/>
                <w:szCs w:val="12"/>
                <w:color w:val="auto"/>
                <w:w w:val="88"/>
              </w:rPr>
              <w:t>Consumer Goods: Non-Durable</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8.34%</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L+625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27,362,500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26,862,478</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27,362,500</w:t>
            </w:r>
          </w:p>
        </w:tc>
        <w:tc>
          <w:tcPr>
            <w:tcW w:w="100" w:type="dxa"/>
            <w:vAlign w:val="bottom"/>
            <w:shd w:val="clear" w:color="auto" w:fill="CCECFF"/>
          </w:tcPr>
          <w:p>
            <w:pPr>
              <w:spacing w:after="0"/>
              <w:rPr>
                <w:sz w:val="12"/>
                <w:szCs w:val="12"/>
                <w:color w:val="auto"/>
              </w:rPr>
            </w:pPr>
          </w:p>
        </w:tc>
      </w:tr>
      <w:tr>
        <w:trPr>
          <w:trHeight w:val="148"/>
        </w:trPr>
        <w:tc>
          <w:tcPr>
            <w:tcW w:w="3120" w:type="dxa"/>
            <w:vAlign w:val="bottom"/>
          </w:tcPr>
          <w:p>
            <w:pPr>
              <w:spacing w:after="0"/>
              <w:rPr>
                <w:sz w:val="20"/>
                <w:szCs w:val="20"/>
                <w:color w:val="auto"/>
              </w:rPr>
            </w:pPr>
            <w:r>
              <w:rPr>
                <w:rFonts w:ascii="Arial" w:cs="Arial" w:eastAsia="Arial" w:hAnsi="Arial"/>
                <w:sz w:val="12"/>
                <w:szCs w:val="12"/>
                <w:color w:val="auto"/>
              </w:rPr>
              <w:t xml:space="preserve">Deva Holdings, Inc. (Revolver) </w:t>
            </w:r>
            <w:r>
              <w:rPr>
                <w:rFonts w:ascii="Arial" w:cs="Arial" w:eastAsia="Arial" w:hAnsi="Arial"/>
                <w:sz w:val="9"/>
                <w:szCs w:val="9"/>
                <w:color w:val="auto"/>
              </w:rPr>
              <w:t>(7), (8)</w:t>
            </w:r>
          </w:p>
        </w:tc>
        <w:tc>
          <w:tcPr>
            <w:tcW w:w="1100" w:type="dxa"/>
            <w:vAlign w:val="bottom"/>
          </w:tcPr>
          <w:p>
            <w:pPr>
              <w:jc w:val="center"/>
              <w:ind w:right="182"/>
              <w:spacing w:after="0"/>
              <w:rPr>
                <w:sz w:val="20"/>
                <w:szCs w:val="20"/>
                <w:color w:val="auto"/>
              </w:rPr>
            </w:pPr>
            <w:r>
              <w:rPr>
                <w:rFonts w:ascii="Arial" w:cs="Arial" w:eastAsia="Arial" w:hAnsi="Arial"/>
                <w:sz w:val="12"/>
                <w:szCs w:val="12"/>
                <w:color w:val="auto"/>
                <w:w w:val="89"/>
              </w:rPr>
              <w:t>10/31/2022</w:t>
            </w:r>
          </w:p>
        </w:tc>
        <w:tc>
          <w:tcPr>
            <w:tcW w:w="2540" w:type="dxa"/>
            <w:vAlign w:val="bottom"/>
            <w:gridSpan w:val="2"/>
          </w:tcPr>
          <w:p>
            <w:pPr>
              <w:jc w:val="center"/>
              <w:ind w:right="360"/>
              <w:spacing w:after="0"/>
              <w:rPr>
                <w:sz w:val="20"/>
                <w:szCs w:val="20"/>
                <w:color w:val="auto"/>
              </w:rPr>
            </w:pPr>
            <w:r>
              <w:rPr>
                <w:rFonts w:ascii="Arial" w:cs="Arial" w:eastAsia="Arial" w:hAnsi="Arial"/>
                <w:sz w:val="12"/>
                <w:szCs w:val="12"/>
                <w:color w:val="auto"/>
                <w:w w:val="88"/>
              </w:rPr>
              <w:t>Consumer Goods: Non-Durable</w:t>
            </w:r>
          </w:p>
        </w:tc>
        <w:tc>
          <w:tcPr>
            <w:tcW w:w="90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2,115,000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9"/>
        </w:trPr>
        <w:tc>
          <w:tcPr>
            <w:tcW w:w="31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Digital Room Holdings, Inc. </w:t>
            </w:r>
            <w:r>
              <w:rPr>
                <w:rFonts w:ascii="Arial" w:cs="Arial" w:eastAsia="Arial" w:hAnsi="Arial"/>
                <w:sz w:val="9"/>
                <w:szCs w:val="9"/>
                <w:color w:val="auto"/>
              </w:rPr>
              <w:t>(7)</w:t>
            </w:r>
          </w:p>
        </w:tc>
        <w:tc>
          <w:tcPr>
            <w:tcW w:w="1100" w:type="dxa"/>
            <w:vAlign w:val="bottom"/>
            <w:shd w:val="clear" w:color="auto" w:fill="CCECFF"/>
          </w:tcPr>
          <w:p>
            <w:pPr>
              <w:jc w:val="center"/>
              <w:ind w:right="182"/>
              <w:spacing w:after="0"/>
              <w:rPr>
                <w:sz w:val="20"/>
                <w:szCs w:val="20"/>
                <w:color w:val="auto"/>
              </w:rPr>
            </w:pPr>
            <w:r>
              <w:rPr>
                <w:rFonts w:ascii="Arial" w:cs="Arial" w:eastAsia="Arial" w:hAnsi="Arial"/>
                <w:sz w:val="12"/>
                <w:szCs w:val="12"/>
                <w:color w:val="auto"/>
                <w:w w:val="89"/>
              </w:rPr>
              <w:t>12/29/2023</w:t>
            </w:r>
          </w:p>
        </w:tc>
        <w:tc>
          <w:tcPr>
            <w:tcW w:w="2540" w:type="dxa"/>
            <w:vAlign w:val="bottom"/>
            <w:gridSpan w:val="2"/>
            <w:shd w:val="clear" w:color="auto" w:fill="CCECFF"/>
          </w:tcPr>
          <w:p>
            <w:pPr>
              <w:jc w:val="center"/>
              <w:ind w:right="380"/>
              <w:spacing w:after="0"/>
              <w:rPr>
                <w:sz w:val="20"/>
                <w:szCs w:val="20"/>
                <w:color w:val="auto"/>
              </w:rPr>
            </w:pPr>
            <w:r>
              <w:rPr>
                <w:rFonts w:ascii="Arial" w:cs="Arial" w:eastAsia="Arial" w:hAnsi="Arial"/>
                <w:sz w:val="12"/>
                <w:szCs w:val="12"/>
                <w:color w:val="auto"/>
                <w:w w:val="91"/>
              </w:rPr>
              <w:t>Media: Advertising, Printing and Publishing</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7.10%</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L+500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16,417,500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16,261,987</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16,376,456</w:t>
            </w:r>
          </w:p>
        </w:tc>
        <w:tc>
          <w:tcPr>
            <w:tcW w:w="100" w:type="dxa"/>
            <w:vAlign w:val="bottom"/>
            <w:shd w:val="clear" w:color="auto" w:fill="CCECFF"/>
          </w:tcPr>
          <w:p>
            <w:pPr>
              <w:spacing w:after="0"/>
              <w:rPr>
                <w:sz w:val="12"/>
                <w:szCs w:val="12"/>
                <w:color w:val="auto"/>
              </w:rPr>
            </w:pPr>
          </w:p>
        </w:tc>
      </w:tr>
      <w:tr>
        <w:trPr>
          <w:trHeight w:val="148"/>
        </w:trPr>
        <w:tc>
          <w:tcPr>
            <w:tcW w:w="3120" w:type="dxa"/>
            <w:vAlign w:val="bottom"/>
          </w:tcPr>
          <w:p>
            <w:pPr>
              <w:spacing w:after="0"/>
              <w:rPr>
                <w:sz w:val="20"/>
                <w:szCs w:val="20"/>
                <w:color w:val="auto"/>
              </w:rPr>
            </w:pPr>
            <w:r>
              <w:rPr>
                <w:rFonts w:ascii="Arial" w:cs="Arial" w:eastAsia="Arial" w:hAnsi="Arial"/>
                <w:sz w:val="12"/>
                <w:szCs w:val="12"/>
                <w:color w:val="auto"/>
              </w:rPr>
              <w:t>Douglas Products and Packaging Company LLC</w:t>
            </w:r>
          </w:p>
        </w:tc>
        <w:tc>
          <w:tcPr>
            <w:tcW w:w="1100" w:type="dxa"/>
            <w:vAlign w:val="bottom"/>
          </w:tcPr>
          <w:p>
            <w:pPr>
              <w:jc w:val="center"/>
              <w:ind w:right="182"/>
              <w:spacing w:after="0"/>
              <w:rPr>
                <w:sz w:val="20"/>
                <w:szCs w:val="20"/>
                <w:color w:val="auto"/>
              </w:rPr>
            </w:pPr>
            <w:r>
              <w:rPr>
                <w:rFonts w:ascii="Arial" w:cs="Arial" w:eastAsia="Arial" w:hAnsi="Arial"/>
                <w:sz w:val="12"/>
                <w:szCs w:val="12"/>
                <w:color w:val="auto"/>
                <w:w w:val="89"/>
              </w:rPr>
              <w:t>03/29/2022</w:t>
            </w:r>
          </w:p>
        </w:tc>
        <w:tc>
          <w:tcPr>
            <w:tcW w:w="2540" w:type="dxa"/>
            <w:vAlign w:val="bottom"/>
            <w:gridSpan w:val="2"/>
          </w:tcPr>
          <w:p>
            <w:pPr>
              <w:jc w:val="center"/>
              <w:ind w:right="380"/>
              <w:spacing w:after="0"/>
              <w:rPr>
                <w:sz w:val="20"/>
                <w:szCs w:val="20"/>
                <w:color w:val="auto"/>
              </w:rPr>
            </w:pPr>
            <w:r>
              <w:rPr>
                <w:rFonts w:ascii="Arial" w:cs="Arial" w:eastAsia="Arial" w:hAnsi="Arial"/>
                <w:sz w:val="12"/>
                <w:szCs w:val="12"/>
                <w:color w:val="auto"/>
                <w:w w:val="87"/>
              </w:rPr>
              <w:t>Chemicals, Plastics and Rubber</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8.08%</w:t>
            </w:r>
          </w:p>
        </w:tc>
        <w:tc>
          <w:tcPr>
            <w:tcW w:w="740" w:type="dxa"/>
            <w:vAlign w:val="bottom"/>
          </w:tcPr>
          <w:p>
            <w:pPr>
              <w:jc w:val="right"/>
              <w:spacing w:after="0"/>
              <w:rPr>
                <w:sz w:val="20"/>
                <w:szCs w:val="20"/>
                <w:color w:val="auto"/>
              </w:rPr>
            </w:pPr>
            <w:r>
              <w:rPr>
                <w:rFonts w:ascii="Arial" w:cs="Arial" w:eastAsia="Arial" w:hAnsi="Arial"/>
                <w:sz w:val="12"/>
                <w:szCs w:val="12"/>
                <w:color w:val="auto"/>
              </w:rPr>
              <w:t>3M L+575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14,522,426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14,275,040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w w:val="93"/>
              </w:rPr>
              <w:t>14,268,294</w:t>
            </w:r>
          </w:p>
        </w:tc>
        <w:tc>
          <w:tcPr>
            <w:tcW w:w="100" w:type="dxa"/>
            <w:vAlign w:val="bottom"/>
          </w:tcPr>
          <w:p>
            <w:pPr>
              <w:spacing w:after="0"/>
              <w:rPr>
                <w:sz w:val="12"/>
                <w:szCs w:val="12"/>
                <w:color w:val="auto"/>
              </w:rPr>
            </w:pPr>
          </w:p>
        </w:tc>
      </w:tr>
      <w:tr>
        <w:trPr>
          <w:trHeight w:val="148"/>
        </w:trPr>
        <w:tc>
          <w:tcPr>
            <w:tcW w:w="3120" w:type="dxa"/>
            <w:vAlign w:val="bottom"/>
            <w:shd w:val="clear" w:color="auto" w:fill="CCECFF"/>
          </w:tcPr>
          <w:p>
            <w:pPr>
              <w:spacing w:after="0"/>
              <w:rPr>
                <w:sz w:val="20"/>
                <w:szCs w:val="20"/>
                <w:color w:val="auto"/>
              </w:rPr>
            </w:pPr>
            <w:r>
              <w:rPr>
                <w:rFonts w:ascii="Arial" w:cs="Arial" w:eastAsia="Arial" w:hAnsi="Arial"/>
                <w:sz w:val="12"/>
                <w:szCs w:val="12"/>
                <w:color w:val="auto"/>
              </w:rPr>
              <w:t>Douglas Products and Packaging Company LLC</w:t>
            </w:r>
          </w:p>
        </w:tc>
        <w:tc>
          <w:tcPr>
            <w:tcW w:w="1100" w:type="dxa"/>
            <w:vAlign w:val="bottom"/>
            <w:shd w:val="clear" w:color="auto" w:fill="CCECFF"/>
          </w:tcPr>
          <w:p>
            <w:pPr>
              <w:jc w:val="center"/>
              <w:ind w:right="182"/>
              <w:spacing w:after="0"/>
              <w:rPr>
                <w:sz w:val="20"/>
                <w:szCs w:val="20"/>
                <w:color w:val="auto"/>
              </w:rPr>
            </w:pPr>
            <w:r>
              <w:rPr>
                <w:rFonts w:ascii="Arial" w:cs="Arial" w:eastAsia="Arial" w:hAnsi="Arial"/>
                <w:sz w:val="12"/>
                <w:szCs w:val="12"/>
                <w:color w:val="auto"/>
                <w:w w:val="89"/>
              </w:rPr>
              <w:t>03/29/2022</w:t>
            </w:r>
          </w:p>
        </w:tc>
        <w:tc>
          <w:tcPr>
            <w:tcW w:w="2540" w:type="dxa"/>
            <w:vAlign w:val="bottom"/>
            <w:gridSpan w:val="2"/>
            <w:shd w:val="clear" w:color="auto" w:fill="CCECFF"/>
          </w:tcPr>
          <w:p>
            <w:pPr>
              <w:jc w:val="center"/>
              <w:ind w:right="380"/>
              <w:spacing w:after="0"/>
              <w:rPr>
                <w:sz w:val="20"/>
                <w:szCs w:val="20"/>
                <w:color w:val="auto"/>
              </w:rPr>
            </w:pPr>
            <w:r>
              <w:rPr>
                <w:rFonts w:ascii="Arial" w:cs="Arial" w:eastAsia="Arial" w:hAnsi="Arial"/>
                <w:sz w:val="12"/>
                <w:szCs w:val="12"/>
                <w:color w:val="auto"/>
                <w:w w:val="87"/>
              </w:rPr>
              <w:t>Chemicals, Plastics and Rubber</w:t>
            </w:r>
          </w:p>
        </w:tc>
        <w:tc>
          <w:tcPr>
            <w:tcW w:w="90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2,941,176</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CFF"/>
          </w:tcPr>
          <w:p>
            <w:pPr>
              <w:spacing w:after="0"/>
              <w:rPr>
                <w:sz w:val="12"/>
                <w:szCs w:val="12"/>
                <w:color w:val="auto"/>
              </w:rPr>
            </w:pPr>
          </w:p>
        </w:tc>
        <w:tc>
          <w:tcPr>
            <w:tcW w:w="700" w:type="dxa"/>
            <w:vAlign w:val="bottom"/>
            <w:gridSpan w:val="2"/>
            <w:shd w:val="clear" w:color="auto" w:fill="CCECFF"/>
          </w:tcPr>
          <w:p>
            <w:pPr>
              <w:jc w:val="right"/>
              <w:ind w:right="60"/>
              <w:spacing w:after="0"/>
              <w:rPr>
                <w:sz w:val="20"/>
                <w:szCs w:val="20"/>
                <w:color w:val="auto"/>
              </w:rPr>
            </w:pPr>
            <w:r>
              <w:rPr>
                <w:rFonts w:ascii="Arial" w:cs="Arial" w:eastAsia="Arial" w:hAnsi="Arial"/>
                <w:sz w:val="12"/>
                <w:szCs w:val="12"/>
                <w:color w:val="auto"/>
              </w:rPr>
              <w:t>(51,468)</w:t>
            </w:r>
          </w:p>
        </w:tc>
      </w:tr>
      <w:tr>
        <w:trPr>
          <w:trHeight w:val="148"/>
        </w:trPr>
        <w:tc>
          <w:tcPr>
            <w:tcW w:w="3120" w:type="dxa"/>
            <w:vAlign w:val="bottom"/>
            <w:shd w:val="clear" w:color="auto" w:fill="CCECFF"/>
          </w:tcPr>
          <w:p>
            <w:pPr>
              <w:ind w:left="140"/>
              <w:spacing w:after="0"/>
              <w:rPr>
                <w:sz w:val="20"/>
                <w:szCs w:val="20"/>
                <w:color w:val="auto"/>
              </w:rPr>
            </w:pPr>
            <w:r>
              <w:rPr>
                <w:rFonts w:ascii="Arial" w:cs="Arial" w:eastAsia="Arial" w:hAnsi="Arial"/>
                <w:sz w:val="12"/>
                <w:szCs w:val="12"/>
                <w:color w:val="auto"/>
              </w:rPr>
              <w:t xml:space="preserve">(Revolver) </w:t>
            </w:r>
            <w:r>
              <w:rPr>
                <w:rFonts w:ascii="Arial" w:cs="Arial" w:eastAsia="Arial" w:hAnsi="Arial"/>
                <w:sz w:val="9"/>
                <w:szCs w:val="9"/>
                <w:color w:val="auto"/>
              </w:rPr>
              <w:t>(7), (8)</w:t>
            </w:r>
          </w:p>
        </w:tc>
        <w:tc>
          <w:tcPr>
            <w:tcW w:w="1100" w:type="dxa"/>
            <w:vAlign w:val="bottom"/>
            <w:shd w:val="clear" w:color="auto" w:fill="CCECFF"/>
          </w:tcPr>
          <w:p>
            <w:pPr>
              <w:spacing w:after="0"/>
              <w:rPr>
                <w:sz w:val="12"/>
                <w:szCs w:val="12"/>
                <w:color w:val="auto"/>
              </w:rPr>
            </w:pPr>
          </w:p>
        </w:tc>
        <w:tc>
          <w:tcPr>
            <w:tcW w:w="24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9"/>
        </w:trPr>
        <w:tc>
          <w:tcPr>
            <w:tcW w:w="3120" w:type="dxa"/>
            <w:vAlign w:val="bottom"/>
          </w:tcPr>
          <w:p>
            <w:pPr>
              <w:spacing w:after="0"/>
              <w:rPr>
                <w:sz w:val="20"/>
                <w:szCs w:val="20"/>
                <w:color w:val="auto"/>
              </w:rPr>
            </w:pPr>
            <w:r>
              <w:rPr>
                <w:rFonts w:ascii="Arial" w:cs="Arial" w:eastAsia="Arial" w:hAnsi="Arial"/>
                <w:sz w:val="12"/>
                <w:szCs w:val="12"/>
                <w:color w:val="auto"/>
              </w:rPr>
              <w:t>Driven Performance Brands, Inc.</w:t>
            </w:r>
          </w:p>
        </w:tc>
        <w:tc>
          <w:tcPr>
            <w:tcW w:w="1100" w:type="dxa"/>
            <w:vAlign w:val="bottom"/>
          </w:tcPr>
          <w:p>
            <w:pPr>
              <w:jc w:val="center"/>
              <w:ind w:right="182"/>
              <w:spacing w:after="0"/>
              <w:rPr>
                <w:sz w:val="20"/>
                <w:szCs w:val="20"/>
                <w:color w:val="auto"/>
              </w:rPr>
            </w:pPr>
            <w:r>
              <w:rPr>
                <w:rFonts w:ascii="Arial" w:cs="Arial" w:eastAsia="Arial" w:hAnsi="Arial"/>
                <w:sz w:val="12"/>
                <w:szCs w:val="12"/>
                <w:color w:val="auto"/>
                <w:w w:val="89"/>
              </w:rPr>
              <w:t>09/30/2022</w:t>
            </w:r>
          </w:p>
        </w:tc>
        <w:tc>
          <w:tcPr>
            <w:tcW w:w="2540" w:type="dxa"/>
            <w:vAlign w:val="bottom"/>
            <w:gridSpan w:val="2"/>
          </w:tcPr>
          <w:p>
            <w:pPr>
              <w:jc w:val="center"/>
              <w:ind w:right="360"/>
              <w:spacing w:after="0"/>
              <w:rPr>
                <w:sz w:val="20"/>
                <w:szCs w:val="20"/>
                <w:color w:val="auto"/>
              </w:rPr>
            </w:pPr>
            <w:r>
              <w:rPr>
                <w:rFonts w:ascii="Arial" w:cs="Arial" w:eastAsia="Arial" w:hAnsi="Arial"/>
                <w:sz w:val="12"/>
                <w:szCs w:val="12"/>
                <w:color w:val="auto"/>
                <w:w w:val="88"/>
              </w:rPr>
              <w:t>Consumer Goods: Durable</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6.78%</w:t>
            </w:r>
          </w:p>
        </w:tc>
        <w:tc>
          <w:tcPr>
            <w:tcW w:w="740" w:type="dxa"/>
            <w:vAlign w:val="bottom"/>
          </w:tcPr>
          <w:p>
            <w:pPr>
              <w:jc w:val="right"/>
              <w:spacing w:after="0"/>
              <w:rPr>
                <w:sz w:val="20"/>
                <w:szCs w:val="20"/>
                <w:color w:val="auto"/>
              </w:rPr>
            </w:pPr>
            <w:r>
              <w:rPr>
                <w:rFonts w:ascii="Arial" w:cs="Arial" w:eastAsia="Arial" w:hAnsi="Arial"/>
                <w:sz w:val="12"/>
                <w:szCs w:val="12"/>
                <w:color w:val="auto"/>
              </w:rPr>
              <w:t>1M L+475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10,219,140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10,195,344</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w w:val="93"/>
              </w:rPr>
              <w:t>10,219,140</w:t>
            </w:r>
          </w:p>
        </w:tc>
        <w:tc>
          <w:tcPr>
            <w:tcW w:w="100" w:type="dxa"/>
            <w:vAlign w:val="bottom"/>
          </w:tcPr>
          <w:p>
            <w:pPr>
              <w:spacing w:after="0"/>
              <w:rPr>
                <w:sz w:val="12"/>
                <w:szCs w:val="12"/>
                <w:color w:val="auto"/>
              </w:rPr>
            </w:pPr>
          </w:p>
        </w:tc>
      </w:tr>
      <w:tr>
        <w:trPr>
          <w:trHeight w:val="148"/>
        </w:trPr>
        <w:tc>
          <w:tcPr>
            <w:tcW w:w="31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Driven Performance Brands, Inc. (Revolver) </w:t>
            </w:r>
            <w:r>
              <w:rPr>
                <w:rFonts w:ascii="Arial" w:cs="Arial" w:eastAsia="Arial" w:hAnsi="Arial"/>
                <w:sz w:val="9"/>
                <w:szCs w:val="9"/>
                <w:color w:val="auto"/>
              </w:rPr>
              <w:t>(7), (8)</w:t>
            </w:r>
          </w:p>
        </w:tc>
        <w:tc>
          <w:tcPr>
            <w:tcW w:w="1100" w:type="dxa"/>
            <w:vAlign w:val="bottom"/>
            <w:shd w:val="clear" w:color="auto" w:fill="CCECFF"/>
          </w:tcPr>
          <w:p>
            <w:pPr>
              <w:jc w:val="center"/>
              <w:ind w:right="182"/>
              <w:spacing w:after="0"/>
              <w:rPr>
                <w:sz w:val="20"/>
                <w:szCs w:val="20"/>
                <w:color w:val="auto"/>
              </w:rPr>
            </w:pPr>
            <w:r>
              <w:rPr>
                <w:rFonts w:ascii="Arial" w:cs="Arial" w:eastAsia="Arial" w:hAnsi="Arial"/>
                <w:sz w:val="12"/>
                <w:szCs w:val="12"/>
                <w:color w:val="auto"/>
                <w:w w:val="89"/>
              </w:rPr>
              <w:t>09/30/2022</w:t>
            </w:r>
          </w:p>
        </w:tc>
        <w:tc>
          <w:tcPr>
            <w:tcW w:w="2540" w:type="dxa"/>
            <w:vAlign w:val="bottom"/>
            <w:gridSpan w:val="2"/>
            <w:shd w:val="clear" w:color="auto" w:fill="CCECFF"/>
          </w:tcPr>
          <w:p>
            <w:pPr>
              <w:jc w:val="center"/>
              <w:ind w:right="360"/>
              <w:spacing w:after="0"/>
              <w:rPr>
                <w:sz w:val="20"/>
                <w:szCs w:val="20"/>
                <w:color w:val="auto"/>
              </w:rPr>
            </w:pPr>
            <w:r>
              <w:rPr>
                <w:rFonts w:ascii="Arial" w:cs="Arial" w:eastAsia="Arial" w:hAnsi="Arial"/>
                <w:sz w:val="12"/>
                <w:szCs w:val="12"/>
                <w:color w:val="auto"/>
                <w:w w:val="88"/>
              </w:rPr>
              <w:t>Consumer Goods: Durable</w:t>
            </w:r>
          </w:p>
        </w:tc>
        <w:tc>
          <w:tcPr>
            <w:tcW w:w="90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1,000,000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CFF"/>
          </w:tcPr>
          <w:p>
            <w:pPr>
              <w:spacing w:after="0"/>
              <w:rPr>
                <w:sz w:val="12"/>
                <w:szCs w:val="12"/>
                <w:color w:val="auto"/>
              </w:rPr>
            </w:pPr>
          </w:p>
        </w:tc>
        <w:tc>
          <w:tcPr>
            <w:tcW w:w="70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120" w:type="dxa"/>
            <w:vAlign w:val="bottom"/>
          </w:tcPr>
          <w:p>
            <w:pPr>
              <w:spacing w:after="0"/>
              <w:rPr>
                <w:sz w:val="20"/>
                <w:szCs w:val="20"/>
                <w:color w:val="auto"/>
              </w:rPr>
            </w:pPr>
            <w:r>
              <w:rPr>
                <w:rFonts w:ascii="Arial" w:cs="Arial" w:eastAsia="Arial" w:hAnsi="Arial"/>
                <w:sz w:val="12"/>
                <w:szCs w:val="12"/>
                <w:color w:val="auto"/>
              </w:rPr>
              <w:t>East Valley Tourist Development Authority</w:t>
            </w:r>
          </w:p>
        </w:tc>
        <w:tc>
          <w:tcPr>
            <w:tcW w:w="1100" w:type="dxa"/>
            <w:vAlign w:val="bottom"/>
          </w:tcPr>
          <w:p>
            <w:pPr>
              <w:jc w:val="center"/>
              <w:ind w:right="182"/>
              <w:spacing w:after="0"/>
              <w:rPr>
                <w:sz w:val="20"/>
                <w:szCs w:val="20"/>
                <w:color w:val="auto"/>
              </w:rPr>
            </w:pPr>
            <w:r>
              <w:rPr>
                <w:rFonts w:ascii="Arial" w:cs="Arial" w:eastAsia="Arial" w:hAnsi="Arial"/>
                <w:sz w:val="12"/>
                <w:szCs w:val="12"/>
                <w:color w:val="auto"/>
                <w:w w:val="89"/>
              </w:rPr>
              <w:t>03/07/2022</w:t>
            </w:r>
          </w:p>
        </w:tc>
        <w:tc>
          <w:tcPr>
            <w:tcW w:w="2540" w:type="dxa"/>
            <w:vAlign w:val="bottom"/>
            <w:gridSpan w:val="2"/>
          </w:tcPr>
          <w:p>
            <w:pPr>
              <w:jc w:val="center"/>
              <w:ind w:right="360"/>
              <w:spacing w:after="0"/>
              <w:rPr>
                <w:sz w:val="20"/>
                <w:szCs w:val="20"/>
                <w:color w:val="auto"/>
              </w:rPr>
            </w:pPr>
            <w:r>
              <w:rPr>
                <w:rFonts w:ascii="Arial" w:cs="Arial" w:eastAsia="Arial" w:hAnsi="Arial"/>
                <w:sz w:val="12"/>
                <w:szCs w:val="12"/>
                <w:color w:val="auto"/>
                <w:w w:val="88"/>
              </w:rPr>
              <w:t>Hotel, Gaming and Leisure</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10.33%</w:t>
            </w:r>
          </w:p>
        </w:tc>
        <w:tc>
          <w:tcPr>
            <w:tcW w:w="740" w:type="dxa"/>
            <w:vAlign w:val="bottom"/>
          </w:tcPr>
          <w:p>
            <w:pPr>
              <w:jc w:val="right"/>
              <w:spacing w:after="0"/>
              <w:rPr>
                <w:sz w:val="20"/>
                <w:szCs w:val="20"/>
                <w:color w:val="auto"/>
              </w:rPr>
            </w:pPr>
            <w:r>
              <w:rPr>
                <w:rFonts w:ascii="Arial" w:cs="Arial" w:eastAsia="Arial" w:hAnsi="Arial"/>
                <w:sz w:val="12"/>
                <w:szCs w:val="12"/>
                <w:color w:val="auto"/>
              </w:rPr>
              <w:t>3M L+800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19,684,749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19,512,675</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w w:val="93"/>
              </w:rPr>
              <w:t>19,980,021</w:t>
            </w:r>
          </w:p>
        </w:tc>
        <w:tc>
          <w:tcPr>
            <w:tcW w:w="100" w:type="dxa"/>
            <w:vAlign w:val="bottom"/>
          </w:tcPr>
          <w:p>
            <w:pPr>
              <w:spacing w:after="0"/>
              <w:rPr>
                <w:sz w:val="12"/>
                <w:szCs w:val="12"/>
                <w:color w:val="auto"/>
              </w:rPr>
            </w:pPr>
          </w:p>
        </w:tc>
      </w:tr>
      <w:tr>
        <w:trPr>
          <w:trHeight w:val="149"/>
        </w:trPr>
        <w:tc>
          <w:tcPr>
            <w:tcW w:w="3120" w:type="dxa"/>
            <w:vAlign w:val="bottom"/>
            <w:shd w:val="clear" w:color="auto" w:fill="CCECFF"/>
          </w:tcPr>
          <w:p>
            <w:pPr>
              <w:spacing w:after="0"/>
              <w:rPr>
                <w:sz w:val="20"/>
                <w:szCs w:val="20"/>
                <w:color w:val="auto"/>
              </w:rPr>
            </w:pPr>
            <w:r>
              <w:rPr>
                <w:rFonts w:ascii="Arial" w:cs="Arial" w:eastAsia="Arial" w:hAnsi="Arial"/>
                <w:sz w:val="12"/>
                <w:szCs w:val="12"/>
                <w:color w:val="auto"/>
              </w:rPr>
              <w:t>Education Networks of America, Inc.</w:t>
            </w:r>
          </w:p>
        </w:tc>
        <w:tc>
          <w:tcPr>
            <w:tcW w:w="1100" w:type="dxa"/>
            <w:vAlign w:val="bottom"/>
            <w:shd w:val="clear" w:color="auto" w:fill="CCECFF"/>
          </w:tcPr>
          <w:p>
            <w:pPr>
              <w:jc w:val="center"/>
              <w:ind w:right="182"/>
              <w:spacing w:after="0"/>
              <w:rPr>
                <w:sz w:val="20"/>
                <w:szCs w:val="20"/>
                <w:color w:val="auto"/>
              </w:rPr>
            </w:pPr>
            <w:r>
              <w:rPr>
                <w:rFonts w:ascii="Arial" w:cs="Arial" w:eastAsia="Arial" w:hAnsi="Arial"/>
                <w:sz w:val="12"/>
                <w:szCs w:val="12"/>
                <w:color w:val="auto"/>
                <w:w w:val="89"/>
              </w:rPr>
              <w:t>05/06/2021</w:t>
            </w:r>
          </w:p>
        </w:tc>
        <w:tc>
          <w:tcPr>
            <w:tcW w:w="2540" w:type="dxa"/>
            <w:vAlign w:val="bottom"/>
            <w:gridSpan w:val="2"/>
            <w:shd w:val="clear" w:color="auto" w:fill="CCECFF"/>
          </w:tcPr>
          <w:p>
            <w:pPr>
              <w:jc w:val="center"/>
              <w:ind w:right="360"/>
              <w:spacing w:after="0"/>
              <w:rPr>
                <w:sz w:val="20"/>
                <w:szCs w:val="20"/>
                <w:color w:val="auto"/>
              </w:rPr>
            </w:pPr>
            <w:r>
              <w:rPr>
                <w:rFonts w:ascii="Arial" w:cs="Arial" w:eastAsia="Arial" w:hAnsi="Arial"/>
                <w:sz w:val="12"/>
                <w:szCs w:val="12"/>
                <w:color w:val="auto"/>
                <w:w w:val="89"/>
              </w:rPr>
              <w:t>Telecommunications</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9.09%</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L+700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21,011,872</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20,907,817</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21,011,872</w:t>
            </w:r>
          </w:p>
        </w:tc>
        <w:tc>
          <w:tcPr>
            <w:tcW w:w="100" w:type="dxa"/>
            <w:vAlign w:val="bottom"/>
            <w:shd w:val="clear" w:color="auto" w:fill="CCECFF"/>
          </w:tcPr>
          <w:p>
            <w:pPr>
              <w:spacing w:after="0"/>
              <w:rPr>
                <w:sz w:val="12"/>
                <w:szCs w:val="12"/>
                <w:color w:val="auto"/>
              </w:rPr>
            </w:pPr>
          </w:p>
        </w:tc>
      </w:tr>
      <w:tr>
        <w:trPr>
          <w:trHeight w:val="148"/>
        </w:trPr>
        <w:tc>
          <w:tcPr>
            <w:tcW w:w="3120" w:type="dxa"/>
            <w:vAlign w:val="bottom"/>
          </w:tcPr>
          <w:p>
            <w:pPr>
              <w:spacing w:after="0"/>
              <w:rPr>
                <w:sz w:val="20"/>
                <w:szCs w:val="20"/>
                <w:color w:val="auto"/>
              </w:rPr>
            </w:pPr>
            <w:r>
              <w:rPr>
                <w:rFonts w:ascii="Arial" w:cs="Arial" w:eastAsia="Arial" w:hAnsi="Arial"/>
                <w:sz w:val="12"/>
                <w:szCs w:val="12"/>
                <w:color w:val="auto"/>
              </w:rPr>
              <w:t xml:space="preserve">Education Networks of America, Inc. (Revolver) </w:t>
            </w:r>
            <w:r>
              <w:rPr>
                <w:rFonts w:ascii="Arial" w:cs="Arial" w:eastAsia="Arial" w:hAnsi="Arial"/>
                <w:sz w:val="9"/>
                <w:szCs w:val="9"/>
                <w:color w:val="auto"/>
              </w:rPr>
              <w:t>(7)</w:t>
            </w:r>
          </w:p>
        </w:tc>
        <w:tc>
          <w:tcPr>
            <w:tcW w:w="1100" w:type="dxa"/>
            <w:vAlign w:val="bottom"/>
          </w:tcPr>
          <w:p>
            <w:pPr>
              <w:jc w:val="center"/>
              <w:ind w:right="182"/>
              <w:spacing w:after="0"/>
              <w:rPr>
                <w:sz w:val="20"/>
                <w:szCs w:val="20"/>
                <w:color w:val="auto"/>
              </w:rPr>
            </w:pPr>
            <w:r>
              <w:rPr>
                <w:rFonts w:ascii="Arial" w:cs="Arial" w:eastAsia="Arial" w:hAnsi="Arial"/>
                <w:sz w:val="12"/>
                <w:szCs w:val="12"/>
                <w:color w:val="auto"/>
                <w:w w:val="89"/>
              </w:rPr>
              <w:t>05/06/2021</w:t>
            </w:r>
          </w:p>
        </w:tc>
        <w:tc>
          <w:tcPr>
            <w:tcW w:w="2540" w:type="dxa"/>
            <w:vAlign w:val="bottom"/>
            <w:gridSpan w:val="2"/>
          </w:tcPr>
          <w:p>
            <w:pPr>
              <w:jc w:val="center"/>
              <w:ind w:right="360"/>
              <w:spacing w:after="0"/>
              <w:rPr>
                <w:sz w:val="20"/>
                <w:szCs w:val="20"/>
                <w:color w:val="auto"/>
              </w:rPr>
            </w:pPr>
            <w:r>
              <w:rPr>
                <w:rFonts w:ascii="Arial" w:cs="Arial" w:eastAsia="Arial" w:hAnsi="Arial"/>
                <w:sz w:val="12"/>
                <w:szCs w:val="12"/>
                <w:color w:val="auto"/>
                <w:w w:val="89"/>
              </w:rPr>
              <w:t>Telecommunications</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9.36%</w:t>
            </w:r>
          </w:p>
        </w:tc>
        <w:tc>
          <w:tcPr>
            <w:tcW w:w="740" w:type="dxa"/>
            <w:vAlign w:val="bottom"/>
          </w:tcPr>
          <w:p>
            <w:pPr>
              <w:jc w:val="right"/>
              <w:spacing w:after="0"/>
              <w:rPr>
                <w:sz w:val="20"/>
                <w:szCs w:val="20"/>
                <w:color w:val="auto"/>
              </w:rPr>
            </w:pPr>
            <w:r>
              <w:rPr>
                <w:rFonts w:ascii="Arial" w:cs="Arial" w:eastAsia="Arial" w:hAnsi="Arial"/>
                <w:sz w:val="12"/>
                <w:szCs w:val="12"/>
                <w:color w:val="auto"/>
              </w:rPr>
              <w:t>3M L+700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608,696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608,696</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608,696</w:t>
            </w:r>
          </w:p>
        </w:tc>
        <w:tc>
          <w:tcPr>
            <w:tcW w:w="100" w:type="dxa"/>
            <w:vAlign w:val="bottom"/>
          </w:tcPr>
          <w:p>
            <w:pPr>
              <w:spacing w:after="0"/>
              <w:rPr>
                <w:sz w:val="12"/>
                <w:szCs w:val="12"/>
                <w:color w:val="auto"/>
              </w:rPr>
            </w:pPr>
          </w:p>
        </w:tc>
      </w:tr>
      <w:tr>
        <w:trPr>
          <w:trHeight w:val="149"/>
        </w:trPr>
        <w:tc>
          <w:tcPr>
            <w:tcW w:w="31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Education Networks of America, Inc. (Revolver) </w:t>
            </w:r>
            <w:r>
              <w:rPr>
                <w:rFonts w:ascii="Arial" w:cs="Arial" w:eastAsia="Arial" w:hAnsi="Arial"/>
                <w:sz w:val="9"/>
                <w:szCs w:val="9"/>
                <w:color w:val="auto"/>
              </w:rPr>
              <w:t>(7), (8)</w:t>
            </w:r>
          </w:p>
        </w:tc>
        <w:tc>
          <w:tcPr>
            <w:tcW w:w="1100" w:type="dxa"/>
            <w:vAlign w:val="bottom"/>
            <w:shd w:val="clear" w:color="auto" w:fill="CCECFF"/>
          </w:tcPr>
          <w:p>
            <w:pPr>
              <w:jc w:val="center"/>
              <w:ind w:right="182"/>
              <w:spacing w:after="0"/>
              <w:rPr>
                <w:sz w:val="20"/>
                <w:szCs w:val="20"/>
                <w:color w:val="auto"/>
              </w:rPr>
            </w:pPr>
            <w:r>
              <w:rPr>
                <w:rFonts w:ascii="Arial" w:cs="Arial" w:eastAsia="Arial" w:hAnsi="Arial"/>
                <w:sz w:val="12"/>
                <w:szCs w:val="12"/>
                <w:color w:val="auto"/>
                <w:w w:val="89"/>
              </w:rPr>
              <w:t>05/06/2021</w:t>
            </w:r>
          </w:p>
        </w:tc>
        <w:tc>
          <w:tcPr>
            <w:tcW w:w="2540" w:type="dxa"/>
            <w:vAlign w:val="bottom"/>
            <w:gridSpan w:val="2"/>
            <w:shd w:val="clear" w:color="auto" w:fill="CCECFF"/>
          </w:tcPr>
          <w:p>
            <w:pPr>
              <w:jc w:val="center"/>
              <w:ind w:right="360"/>
              <w:spacing w:after="0"/>
              <w:rPr>
                <w:sz w:val="20"/>
                <w:szCs w:val="20"/>
                <w:color w:val="auto"/>
              </w:rPr>
            </w:pPr>
            <w:r>
              <w:rPr>
                <w:rFonts w:ascii="Arial" w:cs="Arial" w:eastAsia="Arial" w:hAnsi="Arial"/>
                <w:sz w:val="12"/>
                <w:szCs w:val="12"/>
                <w:color w:val="auto"/>
                <w:w w:val="89"/>
              </w:rPr>
              <w:t>Telecommunications</w:t>
            </w:r>
          </w:p>
        </w:tc>
        <w:tc>
          <w:tcPr>
            <w:tcW w:w="90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1,565,217</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CFF"/>
          </w:tcPr>
          <w:p>
            <w:pPr>
              <w:spacing w:after="0"/>
              <w:rPr>
                <w:sz w:val="12"/>
                <w:szCs w:val="12"/>
                <w:color w:val="auto"/>
              </w:rPr>
            </w:pPr>
          </w:p>
        </w:tc>
        <w:tc>
          <w:tcPr>
            <w:tcW w:w="70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120" w:type="dxa"/>
            <w:vAlign w:val="bottom"/>
          </w:tcPr>
          <w:p>
            <w:pPr>
              <w:spacing w:after="0"/>
              <w:rPr>
                <w:sz w:val="20"/>
                <w:szCs w:val="20"/>
                <w:color w:val="auto"/>
              </w:rPr>
            </w:pPr>
            <w:r>
              <w:rPr>
                <w:rFonts w:ascii="Arial" w:cs="Arial" w:eastAsia="Arial" w:hAnsi="Arial"/>
                <w:sz w:val="12"/>
                <w:szCs w:val="12"/>
                <w:color w:val="auto"/>
              </w:rPr>
              <w:t>Efficient Collaborative Retail Marketing Company, LLC</w:t>
            </w:r>
          </w:p>
        </w:tc>
        <w:tc>
          <w:tcPr>
            <w:tcW w:w="1100" w:type="dxa"/>
            <w:vAlign w:val="bottom"/>
          </w:tcPr>
          <w:p>
            <w:pPr>
              <w:jc w:val="center"/>
              <w:ind w:right="182"/>
              <w:spacing w:after="0"/>
              <w:rPr>
                <w:sz w:val="20"/>
                <w:szCs w:val="20"/>
                <w:color w:val="auto"/>
              </w:rPr>
            </w:pPr>
            <w:r>
              <w:rPr>
                <w:rFonts w:ascii="Arial" w:cs="Arial" w:eastAsia="Arial" w:hAnsi="Arial"/>
                <w:sz w:val="12"/>
                <w:szCs w:val="12"/>
                <w:color w:val="auto"/>
                <w:w w:val="89"/>
              </w:rPr>
              <w:t>06/15/2022</w:t>
            </w:r>
          </w:p>
        </w:tc>
        <w:tc>
          <w:tcPr>
            <w:tcW w:w="2540" w:type="dxa"/>
            <w:vAlign w:val="bottom"/>
            <w:gridSpan w:val="2"/>
          </w:tcPr>
          <w:p>
            <w:pPr>
              <w:jc w:val="center"/>
              <w:ind w:right="360"/>
              <w:spacing w:after="0"/>
              <w:rPr>
                <w:sz w:val="20"/>
                <w:szCs w:val="20"/>
                <w:color w:val="auto"/>
              </w:rPr>
            </w:pPr>
            <w:r>
              <w:rPr>
                <w:rFonts w:ascii="Arial" w:cs="Arial" w:eastAsia="Arial" w:hAnsi="Arial"/>
                <w:sz w:val="12"/>
                <w:szCs w:val="12"/>
                <w:color w:val="auto"/>
                <w:w w:val="90"/>
              </w:rPr>
              <w:t>Media: Diversified and Production</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9.08%</w:t>
            </w:r>
          </w:p>
        </w:tc>
        <w:tc>
          <w:tcPr>
            <w:tcW w:w="740" w:type="dxa"/>
            <w:vAlign w:val="bottom"/>
          </w:tcPr>
          <w:p>
            <w:pPr>
              <w:jc w:val="right"/>
              <w:spacing w:after="0"/>
              <w:rPr>
                <w:sz w:val="20"/>
                <w:szCs w:val="20"/>
                <w:color w:val="auto"/>
              </w:rPr>
            </w:pPr>
            <w:r>
              <w:rPr>
                <w:rFonts w:ascii="Arial" w:cs="Arial" w:eastAsia="Arial" w:hAnsi="Arial"/>
                <w:sz w:val="12"/>
                <w:szCs w:val="12"/>
                <w:color w:val="auto"/>
              </w:rPr>
              <w:t>3M L+675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9,331,620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9,265,111</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9,331,620</w:t>
            </w:r>
          </w:p>
        </w:tc>
        <w:tc>
          <w:tcPr>
            <w:tcW w:w="100" w:type="dxa"/>
            <w:vAlign w:val="bottom"/>
          </w:tcPr>
          <w:p>
            <w:pPr>
              <w:spacing w:after="0"/>
              <w:rPr>
                <w:sz w:val="12"/>
                <w:szCs w:val="12"/>
                <w:color w:val="auto"/>
              </w:rPr>
            </w:pPr>
          </w:p>
        </w:tc>
      </w:tr>
      <w:tr>
        <w:trPr>
          <w:trHeight w:val="148"/>
        </w:trPr>
        <w:tc>
          <w:tcPr>
            <w:tcW w:w="31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ENC Holding Corporation </w:t>
            </w:r>
            <w:r>
              <w:rPr>
                <w:rFonts w:ascii="Arial" w:cs="Arial" w:eastAsia="Arial" w:hAnsi="Arial"/>
                <w:sz w:val="9"/>
                <w:szCs w:val="9"/>
                <w:color w:val="auto"/>
              </w:rPr>
              <w:t>(7), (8)</w:t>
            </w:r>
          </w:p>
        </w:tc>
        <w:tc>
          <w:tcPr>
            <w:tcW w:w="1100" w:type="dxa"/>
            <w:vAlign w:val="bottom"/>
            <w:shd w:val="clear" w:color="auto" w:fill="CCECFF"/>
          </w:tcPr>
          <w:p>
            <w:pPr>
              <w:jc w:val="center"/>
              <w:ind w:right="182"/>
              <w:spacing w:after="0"/>
              <w:rPr>
                <w:sz w:val="20"/>
                <w:szCs w:val="20"/>
                <w:color w:val="auto"/>
              </w:rPr>
            </w:pPr>
            <w:r>
              <w:rPr>
                <w:rFonts w:ascii="Arial" w:cs="Arial" w:eastAsia="Arial" w:hAnsi="Arial"/>
                <w:sz w:val="12"/>
                <w:szCs w:val="12"/>
                <w:color w:val="auto"/>
                <w:w w:val="89"/>
              </w:rPr>
              <w:t>05/30/2025</w:t>
            </w:r>
          </w:p>
        </w:tc>
        <w:tc>
          <w:tcPr>
            <w:tcW w:w="2540" w:type="dxa"/>
            <w:vAlign w:val="bottom"/>
            <w:gridSpan w:val="2"/>
            <w:shd w:val="clear" w:color="auto" w:fill="CCECFF"/>
          </w:tcPr>
          <w:p>
            <w:pPr>
              <w:jc w:val="center"/>
              <w:ind w:right="360"/>
              <w:spacing w:after="0"/>
              <w:rPr>
                <w:sz w:val="20"/>
                <w:szCs w:val="20"/>
                <w:color w:val="auto"/>
              </w:rPr>
            </w:pPr>
            <w:r>
              <w:rPr>
                <w:rFonts w:ascii="Arial" w:cs="Arial" w:eastAsia="Arial" w:hAnsi="Arial"/>
                <w:sz w:val="12"/>
                <w:szCs w:val="12"/>
                <w:color w:val="auto"/>
                <w:w w:val="87"/>
              </w:rPr>
              <w:t>Transportation: Cargo</w:t>
            </w:r>
          </w:p>
        </w:tc>
        <w:tc>
          <w:tcPr>
            <w:tcW w:w="90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628,571</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CFF"/>
          </w:tcPr>
          <w:p>
            <w:pPr>
              <w:spacing w:after="0"/>
              <w:rPr>
                <w:sz w:val="12"/>
                <w:szCs w:val="12"/>
                <w:color w:val="auto"/>
              </w:rPr>
            </w:pPr>
          </w:p>
        </w:tc>
        <w:tc>
          <w:tcPr>
            <w:tcW w:w="70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9"/>
        </w:trPr>
        <w:tc>
          <w:tcPr>
            <w:tcW w:w="3120" w:type="dxa"/>
            <w:vAlign w:val="bottom"/>
          </w:tcPr>
          <w:p>
            <w:pPr>
              <w:spacing w:after="0"/>
              <w:rPr>
                <w:sz w:val="20"/>
                <w:szCs w:val="20"/>
                <w:color w:val="auto"/>
              </w:rPr>
            </w:pPr>
            <w:r>
              <w:rPr>
                <w:rFonts w:ascii="Arial" w:cs="Arial" w:eastAsia="Arial" w:hAnsi="Arial"/>
                <w:sz w:val="12"/>
                <w:szCs w:val="12"/>
                <w:color w:val="auto"/>
              </w:rPr>
              <w:t xml:space="preserve">GCOM Software LLC (Revolver) </w:t>
            </w:r>
            <w:r>
              <w:rPr>
                <w:rFonts w:ascii="Arial" w:cs="Arial" w:eastAsia="Arial" w:hAnsi="Arial"/>
                <w:sz w:val="9"/>
                <w:szCs w:val="9"/>
                <w:color w:val="auto"/>
              </w:rPr>
              <w:t>(7)</w:t>
            </w:r>
          </w:p>
        </w:tc>
        <w:tc>
          <w:tcPr>
            <w:tcW w:w="1100" w:type="dxa"/>
            <w:vAlign w:val="bottom"/>
          </w:tcPr>
          <w:p>
            <w:pPr>
              <w:jc w:val="center"/>
              <w:ind w:right="202"/>
              <w:spacing w:after="0"/>
              <w:rPr>
                <w:sz w:val="20"/>
                <w:szCs w:val="20"/>
                <w:color w:val="auto"/>
              </w:rPr>
            </w:pPr>
            <w:r>
              <w:rPr>
                <w:rFonts w:ascii="Arial" w:cs="Arial" w:eastAsia="Arial" w:hAnsi="Arial"/>
                <w:sz w:val="12"/>
                <w:szCs w:val="12"/>
                <w:color w:val="auto"/>
                <w:w w:val="86"/>
              </w:rPr>
              <w:t>11/14/2022</w:t>
            </w:r>
          </w:p>
        </w:tc>
        <w:tc>
          <w:tcPr>
            <w:tcW w:w="2540" w:type="dxa"/>
            <w:vAlign w:val="bottom"/>
            <w:gridSpan w:val="2"/>
          </w:tcPr>
          <w:p>
            <w:pPr>
              <w:jc w:val="center"/>
              <w:ind w:right="360"/>
              <w:spacing w:after="0"/>
              <w:rPr>
                <w:sz w:val="20"/>
                <w:szCs w:val="20"/>
                <w:color w:val="auto"/>
              </w:rPr>
            </w:pPr>
            <w:r>
              <w:rPr>
                <w:rFonts w:ascii="Arial" w:cs="Arial" w:eastAsia="Arial" w:hAnsi="Arial"/>
                <w:sz w:val="12"/>
                <w:szCs w:val="12"/>
                <w:color w:val="auto"/>
                <w:w w:val="89"/>
              </w:rPr>
              <w:t>High Tech Industries</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10.50%</w:t>
            </w:r>
          </w:p>
        </w:tc>
        <w:tc>
          <w:tcPr>
            <w:tcW w:w="740" w:type="dxa"/>
            <w:vAlign w:val="bottom"/>
          </w:tcPr>
          <w:p>
            <w:pPr>
              <w:jc w:val="right"/>
              <w:spacing w:after="0"/>
              <w:rPr>
                <w:sz w:val="20"/>
                <w:szCs w:val="20"/>
                <w:color w:val="auto"/>
              </w:rPr>
            </w:pPr>
            <w:r>
              <w:rPr>
                <w:rFonts w:ascii="Arial" w:cs="Arial" w:eastAsia="Arial" w:hAnsi="Arial"/>
                <w:sz w:val="12"/>
                <w:szCs w:val="12"/>
                <w:color w:val="auto"/>
              </w:rPr>
              <w:t>P+550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333,333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333,333</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333,333</w:t>
            </w:r>
          </w:p>
        </w:tc>
        <w:tc>
          <w:tcPr>
            <w:tcW w:w="100" w:type="dxa"/>
            <w:vAlign w:val="bottom"/>
          </w:tcPr>
          <w:p>
            <w:pPr>
              <w:spacing w:after="0"/>
              <w:rPr>
                <w:sz w:val="12"/>
                <w:szCs w:val="12"/>
                <w:color w:val="auto"/>
              </w:rPr>
            </w:pPr>
          </w:p>
        </w:tc>
      </w:tr>
      <w:tr>
        <w:trPr>
          <w:trHeight w:val="148"/>
        </w:trPr>
        <w:tc>
          <w:tcPr>
            <w:tcW w:w="31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GCOM Software LLC (Revolver) </w:t>
            </w:r>
            <w:r>
              <w:rPr>
                <w:rFonts w:ascii="Arial" w:cs="Arial" w:eastAsia="Arial" w:hAnsi="Arial"/>
                <w:sz w:val="9"/>
                <w:szCs w:val="9"/>
                <w:color w:val="auto"/>
              </w:rPr>
              <w:t>(7), (8)</w:t>
            </w:r>
          </w:p>
        </w:tc>
        <w:tc>
          <w:tcPr>
            <w:tcW w:w="110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6"/>
              </w:rPr>
              <w:t>11/14/2022</w:t>
            </w:r>
          </w:p>
        </w:tc>
        <w:tc>
          <w:tcPr>
            <w:tcW w:w="2540" w:type="dxa"/>
            <w:vAlign w:val="bottom"/>
            <w:gridSpan w:val="2"/>
            <w:shd w:val="clear" w:color="auto" w:fill="CCECFF"/>
          </w:tcPr>
          <w:p>
            <w:pPr>
              <w:jc w:val="center"/>
              <w:ind w:right="360"/>
              <w:spacing w:after="0"/>
              <w:rPr>
                <w:sz w:val="20"/>
                <w:szCs w:val="20"/>
                <w:color w:val="auto"/>
              </w:rPr>
            </w:pPr>
            <w:r>
              <w:rPr>
                <w:rFonts w:ascii="Arial" w:cs="Arial" w:eastAsia="Arial" w:hAnsi="Arial"/>
                <w:sz w:val="12"/>
                <w:szCs w:val="12"/>
                <w:color w:val="auto"/>
                <w:w w:val="89"/>
              </w:rPr>
              <w:t>High Tech Industries</w:t>
            </w:r>
          </w:p>
        </w:tc>
        <w:tc>
          <w:tcPr>
            <w:tcW w:w="90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2,333,333</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CFF"/>
          </w:tcPr>
          <w:p>
            <w:pPr>
              <w:spacing w:after="0"/>
              <w:rPr>
                <w:sz w:val="12"/>
                <w:szCs w:val="12"/>
                <w:color w:val="auto"/>
              </w:rPr>
            </w:pPr>
          </w:p>
        </w:tc>
        <w:tc>
          <w:tcPr>
            <w:tcW w:w="70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120" w:type="dxa"/>
            <w:vAlign w:val="bottom"/>
          </w:tcPr>
          <w:p>
            <w:pPr>
              <w:spacing w:after="0"/>
              <w:rPr>
                <w:sz w:val="20"/>
                <w:szCs w:val="20"/>
                <w:color w:val="auto"/>
              </w:rPr>
            </w:pPr>
            <w:r>
              <w:rPr>
                <w:rFonts w:ascii="Arial" w:cs="Arial" w:eastAsia="Arial" w:hAnsi="Arial"/>
                <w:sz w:val="12"/>
                <w:szCs w:val="12"/>
                <w:color w:val="auto"/>
              </w:rPr>
              <w:t xml:space="preserve">GSM Holdings, Inc. (Revolver) </w:t>
            </w:r>
            <w:r>
              <w:rPr>
                <w:rFonts w:ascii="Arial" w:cs="Arial" w:eastAsia="Arial" w:hAnsi="Arial"/>
                <w:sz w:val="9"/>
                <w:szCs w:val="9"/>
                <w:color w:val="auto"/>
              </w:rPr>
              <w:t>(7)</w:t>
            </w:r>
          </w:p>
        </w:tc>
        <w:tc>
          <w:tcPr>
            <w:tcW w:w="1100" w:type="dxa"/>
            <w:vAlign w:val="bottom"/>
          </w:tcPr>
          <w:p>
            <w:pPr>
              <w:jc w:val="center"/>
              <w:ind w:right="182"/>
              <w:spacing w:after="0"/>
              <w:rPr>
                <w:sz w:val="20"/>
                <w:szCs w:val="20"/>
                <w:color w:val="auto"/>
              </w:rPr>
            </w:pPr>
            <w:r>
              <w:rPr>
                <w:rFonts w:ascii="Arial" w:cs="Arial" w:eastAsia="Arial" w:hAnsi="Arial"/>
                <w:sz w:val="12"/>
                <w:szCs w:val="12"/>
                <w:color w:val="auto"/>
                <w:w w:val="89"/>
              </w:rPr>
              <w:t>06/03/2024</w:t>
            </w:r>
          </w:p>
        </w:tc>
        <w:tc>
          <w:tcPr>
            <w:tcW w:w="2540" w:type="dxa"/>
            <w:vAlign w:val="bottom"/>
            <w:gridSpan w:val="2"/>
          </w:tcPr>
          <w:p>
            <w:pPr>
              <w:jc w:val="center"/>
              <w:ind w:right="360"/>
              <w:spacing w:after="0"/>
              <w:rPr>
                <w:sz w:val="20"/>
                <w:szCs w:val="20"/>
                <w:color w:val="auto"/>
              </w:rPr>
            </w:pPr>
            <w:r>
              <w:rPr>
                <w:rFonts w:ascii="Arial" w:cs="Arial" w:eastAsia="Arial" w:hAnsi="Arial"/>
                <w:sz w:val="12"/>
                <w:szCs w:val="12"/>
                <w:color w:val="auto"/>
                <w:w w:val="88"/>
              </w:rPr>
              <w:t>Consumer Goods: Durable</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6.81%</w:t>
            </w:r>
          </w:p>
        </w:tc>
        <w:tc>
          <w:tcPr>
            <w:tcW w:w="740" w:type="dxa"/>
            <w:vAlign w:val="bottom"/>
          </w:tcPr>
          <w:p>
            <w:pPr>
              <w:jc w:val="right"/>
              <w:spacing w:after="0"/>
              <w:rPr>
                <w:sz w:val="20"/>
                <w:szCs w:val="20"/>
                <w:color w:val="auto"/>
              </w:rPr>
            </w:pPr>
            <w:r>
              <w:rPr>
                <w:rFonts w:ascii="Arial" w:cs="Arial" w:eastAsia="Arial" w:hAnsi="Arial"/>
                <w:sz w:val="12"/>
                <w:szCs w:val="12"/>
                <w:color w:val="auto"/>
              </w:rPr>
              <w:t>3M L+450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2,256,725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2,256,725</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2,234,158</w:t>
            </w:r>
          </w:p>
        </w:tc>
        <w:tc>
          <w:tcPr>
            <w:tcW w:w="100" w:type="dxa"/>
            <w:vAlign w:val="bottom"/>
          </w:tcPr>
          <w:p>
            <w:pPr>
              <w:spacing w:after="0"/>
              <w:rPr>
                <w:sz w:val="12"/>
                <w:szCs w:val="12"/>
                <w:color w:val="auto"/>
              </w:rPr>
            </w:pPr>
          </w:p>
        </w:tc>
      </w:tr>
      <w:tr>
        <w:trPr>
          <w:trHeight w:val="149"/>
        </w:trPr>
        <w:tc>
          <w:tcPr>
            <w:tcW w:w="31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GSM Holdings, Inc. (Revolver) </w:t>
            </w:r>
            <w:r>
              <w:rPr>
                <w:rFonts w:ascii="Arial" w:cs="Arial" w:eastAsia="Arial" w:hAnsi="Arial"/>
                <w:sz w:val="9"/>
                <w:szCs w:val="9"/>
                <w:color w:val="auto"/>
              </w:rPr>
              <w:t>(7), (8)</w:t>
            </w:r>
          </w:p>
        </w:tc>
        <w:tc>
          <w:tcPr>
            <w:tcW w:w="1100" w:type="dxa"/>
            <w:vAlign w:val="bottom"/>
            <w:shd w:val="clear" w:color="auto" w:fill="CCECFF"/>
          </w:tcPr>
          <w:p>
            <w:pPr>
              <w:jc w:val="center"/>
              <w:ind w:right="182"/>
              <w:spacing w:after="0"/>
              <w:rPr>
                <w:sz w:val="20"/>
                <w:szCs w:val="20"/>
                <w:color w:val="auto"/>
              </w:rPr>
            </w:pPr>
            <w:r>
              <w:rPr>
                <w:rFonts w:ascii="Arial" w:cs="Arial" w:eastAsia="Arial" w:hAnsi="Arial"/>
                <w:sz w:val="12"/>
                <w:szCs w:val="12"/>
                <w:color w:val="auto"/>
                <w:w w:val="89"/>
              </w:rPr>
              <w:t>06/03/2024</w:t>
            </w:r>
          </w:p>
        </w:tc>
        <w:tc>
          <w:tcPr>
            <w:tcW w:w="2540" w:type="dxa"/>
            <w:vAlign w:val="bottom"/>
            <w:gridSpan w:val="2"/>
            <w:shd w:val="clear" w:color="auto" w:fill="CCECFF"/>
          </w:tcPr>
          <w:p>
            <w:pPr>
              <w:jc w:val="center"/>
              <w:ind w:right="360"/>
              <w:spacing w:after="0"/>
              <w:rPr>
                <w:sz w:val="20"/>
                <w:szCs w:val="20"/>
                <w:color w:val="auto"/>
              </w:rPr>
            </w:pPr>
            <w:r>
              <w:rPr>
                <w:rFonts w:ascii="Arial" w:cs="Arial" w:eastAsia="Arial" w:hAnsi="Arial"/>
                <w:sz w:val="12"/>
                <w:szCs w:val="12"/>
                <w:color w:val="auto"/>
                <w:w w:val="88"/>
              </w:rPr>
              <w:t>Consumer Goods: Durable</w:t>
            </w:r>
          </w:p>
        </w:tc>
        <w:tc>
          <w:tcPr>
            <w:tcW w:w="90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2,494,275</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CFF"/>
          </w:tcPr>
          <w:p>
            <w:pPr>
              <w:spacing w:after="0"/>
              <w:rPr>
                <w:sz w:val="12"/>
                <w:szCs w:val="12"/>
                <w:color w:val="auto"/>
              </w:rPr>
            </w:pPr>
          </w:p>
        </w:tc>
        <w:tc>
          <w:tcPr>
            <w:tcW w:w="700" w:type="dxa"/>
            <w:vAlign w:val="bottom"/>
            <w:gridSpan w:val="2"/>
            <w:shd w:val="clear" w:color="auto" w:fill="CCECFF"/>
          </w:tcPr>
          <w:p>
            <w:pPr>
              <w:jc w:val="right"/>
              <w:ind w:right="60"/>
              <w:spacing w:after="0"/>
              <w:rPr>
                <w:sz w:val="20"/>
                <w:szCs w:val="20"/>
                <w:color w:val="auto"/>
              </w:rPr>
            </w:pPr>
            <w:r>
              <w:rPr>
                <w:rFonts w:ascii="Arial" w:cs="Arial" w:eastAsia="Arial" w:hAnsi="Arial"/>
                <w:sz w:val="12"/>
                <w:szCs w:val="12"/>
                <w:color w:val="auto"/>
              </w:rPr>
              <w:t>(24,943)</w:t>
            </w:r>
          </w:p>
        </w:tc>
      </w:tr>
      <w:tr>
        <w:trPr>
          <w:trHeight w:val="148"/>
        </w:trPr>
        <w:tc>
          <w:tcPr>
            <w:tcW w:w="3120" w:type="dxa"/>
            <w:vAlign w:val="bottom"/>
          </w:tcPr>
          <w:p>
            <w:pPr>
              <w:spacing w:after="0"/>
              <w:rPr>
                <w:sz w:val="20"/>
                <w:szCs w:val="20"/>
                <w:color w:val="auto"/>
              </w:rPr>
            </w:pPr>
            <w:r>
              <w:rPr>
                <w:rFonts w:ascii="Arial" w:cs="Arial" w:eastAsia="Arial" w:hAnsi="Arial"/>
                <w:sz w:val="12"/>
                <w:szCs w:val="12"/>
                <w:color w:val="auto"/>
              </w:rPr>
              <w:t>Hollander Sleep Products, LLC</w:t>
            </w:r>
          </w:p>
        </w:tc>
        <w:tc>
          <w:tcPr>
            <w:tcW w:w="1100" w:type="dxa"/>
            <w:vAlign w:val="bottom"/>
          </w:tcPr>
          <w:p>
            <w:pPr>
              <w:jc w:val="center"/>
              <w:ind w:right="182"/>
              <w:spacing w:after="0"/>
              <w:rPr>
                <w:sz w:val="20"/>
                <w:szCs w:val="20"/>
                <w:color w:val="auto"/>
              </w:rPr>
            </w:pPr>
            <w:r>
              <w:rPr>
                <w:rFonts w:ascii="Arial" w:cs="Arial" w:eastAsia="Arial" w:hAnsi="Arial"/>
                <w:sz w:val="12"/>
                <w:szCs w:val="12"/>
                <w:color w:val="auto"/>
                <w:w w:val="89"/>
              </w:rPr>
              <w:t>06/09/2023</w:t>
            </w:r>
          </w:p>
        </w:tc>
        <w:tc>
          <w:tcPr>
            <w:tcW w:w="2540" w:type="dxa"/>
            <w:vAlign w:val="bottom"/>
            <w:gridSpan w:val="2"/>
          </w:tcPr>
          <w:p>
            <w:pPr>
              <w:jc w:val="center"/>
              <w:ind w:right="360"/>
              <w:spacing w:after="0"/>
              <w:rPr>
                <w:sz w:val="20"/>
                <w:szCs w:val="20"/>
                <w:color w:val="auto"/>
              </w:rPr>
            </w:pPr>
            <w:r>
              <w:rPr>
                <w:rFonts w:ascii="Arial" w:cs="Arial" w:eastAsia="Arial" w:hAnsi="Arial"/>
                <w:sz w:val="12"/>
                <w:szCs w:val="12"/>
                <w:color w:val="auto"/>
                <w:w w:val="88"/>
              </w:rPr>
              <w:t>Consumer Goods: Non-Durable</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10.33%</w:t>
            </w:r>
          </w:p>
        </w:tc>
        <w:tc>
          <w:tcPr>
            <w:tcW w:w="740" w:type="dxa"/>
            <w:vAlign w:val="bottom"/>
          </w:tcPr>
          <w:p>
            <w:pPr>
              <w:jc w:val="right"/>
              <w:spacing w:after="0"/>
              <w:rPr>
                <w:sz w:val="20"/>
                <w:szCs w:val="20"/>
                <w:color w:val="auto"/>
              </w:rPr>
            </w:pPr>
            <w:r>
              <w:rPr>
                <w:rFonts w:ascii="Arial" w:cs="Arial" w:eastAsia="Arial" w:hAnsi="Arial"/>
                <w:sz w:val="12"/>
                <w:szCs w:val="12"/>
                <w:color w:val="auto"/>
              </w:rPr>
              <w:t>3M L+800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10,952,132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10,762,553</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w w:val="93"/>
              </w:rPr>
              <w:t>10,952,132</w:t>
            </w:r>
          </w:p>
        </w:tc>
        <w:tc>
          <w:tcPr>
            <w:tcW w:w="100" w:type="dxa"/>
            <w:vAlign w:val="bottom"/>
          </w:tcPr>
          <w:p>
            <w:pPr>
              <w:spacing w:after="0"/>
              <w:rPr>
                <w:sz w:val="12"/>
                <w:szCs w:val="12"/>
                <w:color w:val="auto"/>
              </w:rPr>
            </w:pPr>
          </w:p>
        </w:tc>
      </w:tr>
      <w:tr>
        <w:trPr>
          <w:trHeight w:val="148"/>
        </w:trPr>
        <w:tc>
          <w:tcPr>
            <w:tcW w:w="31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iEnergizer Limited and Aptara, Inc. </w:t>
            </w:r>
            <w:r>
              <w:rPr>
                <w:rFonts w:ascii="Arial" w:cs="Arial" w:eastAsia="Arial" w:hAnsi="Arial"/>
                <w:sz w:val="9"/>
                <w:szCs w:val="9"/>
                <w:color w:val="auto"/>
              </w:rPr>
              <w:t>(5), (9)</w:t>
            </w:r>
          </w:p>
        </w:tc>
        <w:tc>
          <w:tcPr>
            <w:tcW w:w="1100" w:type="dxa"/>
            <w:vAlign w:val="bottom"/>
            <w:shd w:val="clear" w:color="auto" w:fill="CCECFF"/>
          </w:tcPr>
          <w:p>
            <w:pPr>
              <w:jc w:val="center"/>
              <w:ind w:right="182"/>
              <w:spacing w:after="0"/>
              <w:rPr>
                <w:sz w:val="20"/>
                <w:szCs w:val="20"/>
                <w:color w:val="auto"/>
              </w:rPr>
            </w:pPr>
            <w:r>
              <w:rPr>
                <w:rFonts w:ascii="Arial" w:cs="Arial" w:eastAsia="Arial" w:hAnsi="Arial"/>
                <w:sz w:val="12"/>
                <w:szCs w:val="12"/>
                <w:color w:val="auto"/>
                <w:w w:val="89"/>
              </w:rPr>
              <w:t>05/01/2019</w:t>
            </w:r>
          </w:p>
        </w:tc>
        <w:tc>
          <w:tcPr>
            <w:tcW w:w="2540" w:type="dxa"/>
            <w:vAlign w:val="bottom"/>
            <w:gridSpan w:val="2"/>
            <w:shd w:val="clear" w:color="auto" w:fill="CCECFF"/>
          </w:tcPr>
          <w:p>
            <w:pPr>
              <w:jc w:val="center"/>
              <w:ind w:right="380"/>
              <w:spacing w:after="0"/>
              <w:rPr>
                <w:sz w:val="20"/>
                <w:szCs w:val="20"/>
                <w:color w:val="auto"/>
              </w:rPr>
            </w:pPr>
            <w:r>
              <w:rPr>
                <w:rFonts w:ascii="Arial" w:cs="Arial" w:eastAsia="Arial" w:hAnsi="Arial"/>
                <w:sz w:val="12"/>
                <w:szCs w:val="12"/>
                <w:color w:val="auto"/>
                <w:w w:val="85"/>
              </w:rPr>
              <w:t>Business Services</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8.10%</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L+600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5,800,543</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5,782,383</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5,786,042</w:t>
            </w:r>
          </w:p>
        </w:tc>
        <w:tc>
          <w:tcPr>
            <w:tcW w:w="100" w:type="dxa"/>
            <w:vAlign w:val="bottom"/>
            <w:shd w:val="clear" w:color="auto" w:fill="CCECFF"/>
          </w:tcPr>
          <w:p>
            <w:pPr>
              <w:spacing w:after="0"/>
              <w:rPr>
                <w:sz w:val="12"/>
                <w:szCs w:val="12"/>
                <w:color w:val="auto"/>
              </w:rPr>
            </w:pPr>
          </w:p>
        </w:tc>
      </w:tr>
      <w:tr>
        <w:trPr>
          <w:trHeight w:val="149"/>
        </w:trPr>
        <w:tc>
          <w:tcPr>
            <w:tcW w:w="3120" w:type="dxa"/>
            <w:vAlign w:val="bottom"/>
          </w:tcPr>
          <w:p>
            <w:pPr>
              <w:spacing w:after="0"/>
              <w:rPr>
                <w:sz w:val="20"/>
                <w:szCs w:val="20"/>
                <w:color w:val="auto"/>
              </w:rPr>
            </w:pPr>
            <w:r>
              <w:rPr>
                <w:rFonts w:ascii="Arial" w:cs="Arial" w:eastAsia="Arial" w:hAnsi="Arial"/>
                <w:sz w:val="12"/>
                <w:szCs w:val="12"/>
                <w:color w:val="auto"/>
              </w:rPr>
              <w:t xml:space="preserve">IGM RFE1 B.V. </w:t>
            </w:r>
            <w:r>
              <w:rPr>
                <w:rFonts w:ascii="Arial" w:cs="Arial" w:eastAsia="Arial" w:hAnsi="Arial"/>
                <w:sz w:val="9"/>
                <w:szCs w:val="9"/>
                <w:color w:val="auto"/>
              </w:rPr>
              <w:t>(5), (9), (10)</w:t>
            </w:r>
          </w:p>
        </w:tc>
        <w:tc>
          <w:tcPr>
            <w:tcW w:w="1100" w:type="dxa"/>
            <w:vAlign w:val="bottom"/>
          </w:tcPr>
          <w:p>
            <w:pPr>
              <w:jc w:val="center"/>
              <w:ind w:right="182"/>
              <w:spacing w:after="0"/>
              <w:rPr>
                <w:sz w:val="20"/>
                <w:szCs w:val="20"/>
                <w:color w:val="auto"/>
              </w:rPr>
            </w:pPr>
            <w:r>
              <w:rPr>
                <w:rFonts w:ascii="Arial" w:cs="Arial" w:eastAsia="Arial" w:hAnsi="Arial"/>
                <w:sz w:val="12"/>
                <w:szCs w:val="12"/>
                <w:color w:val="auto"/>
                <w:w w:val="89"/>
              </w:rPr>
              <w:t>10/12/2021</w:t>
            </w:r>
          </w:p>
        </w:tc>
        <w:tc>
          <w:tcPr>
            <w:tcW w:w="2540" w:type="dxa"/>
            <w:vAlign w:val="bottom"/>
            <w:gridSpan w:val="2"/>
          </w:tcPr>
          <w:p>
            <w:pPr>
              <w:jc w:val="center"/>
              <w:ind w:right="380"/>
              <w:spacing w:after="0"/>
              <w:rPr>
                <w:sz w:val="20"/>
                <w:szCs w:val="20"/>
                <w:color w:val="auto"/>
              </w:rPr>
            </w:pPr>
            <w:r>
              <w:rPr>
                <w:rFonts w:ascii="Arial" w:cs="Arial" w:eastAsia="Arial" w:hAnsi="Arial"/>
                <w:sz w:val="12"/>
                <w:szCs w:val="12"/>
                <w:color w:val="auto"/>
                <w:w w:val="87"/>
              </w:rPr>
              <w:t>Chemicals, Plastics and Rubber</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8.00%</w:t>
            </w:r>
          </w:p>
        </w:tc>
        <w:tc>
          <w:tcPr>
            <w:tcW w:w="740" w:type="dxa"/>
            <w:vAlign w:val="bottom"/>
          </w:tcPr>
          <w:p>
            <w:pPr>
              <w:jc w:val="right"/>
              <w:spacing w:after="0"/>
              <w:rPr>
                <w:sz w:val="20"/>
                <w:szCs w:val="20"/>
                <w:color w:val="auto"/>
              </w:rPr>
            </w:pPr>
            <w:r>
              <w:rPr>
                <w:rFonts w:ascii="Arial" w:cs="Arial" w:eastAsia="Arial" w:hAnsi="Arial"/>
                <w:sz w:val="12"/>
                <w:szCs w:val="12"/>
                <w:color w:val="auto"/>
              </w:rPr>
              <w:t>3M E+800</w:t>
            </w:r>
          </w:p>
        </w:tc>
        <w:tc>
          <w:tcPr>
            <w:tcW w:w="32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6,959,812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7,234,028</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8,125,970</w:t>
            </w:r>
          </w:p>
        </w:tc>
        <w:tc>
          <w:tcPr>
            <w:tcW w:w="100" w:type="dxa"/>
            <w:vAlign w:val="bottom"/>
          </w:tcPr>
          <w:p>
            <w:pPr>
              <w:spacing w:after="0"/>
              <w:rPr>
                <w:sz w:val="12"/>
                <w:szCs w:val="12"/>
                <w:color w:val="auto"/>
              </w:rPr>
            </w:pPr>
          </w:p>
        </w:tc>
      </w:tr>
      <w:tr>
        <w:trPr>
          <w:trHeight w:val="148"/>
        </w:trPr>
        <w:tc>
          <w:tcPr>
            <w:tcW w:w="31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Impact Group, LLC </w:t>
            </w:r>
            <w:r>
              <w:rPr>
                <w:rFonts w:ascii="Arial" w:cs="Arial" w:eastAsia="Arial" w:hAnsi="Arial"/>
                <w:sz w:val="9"/>
                <w:szCs w:val="9"/>
                <w:color w:val="auto"/>
              </w:rPr>
              <w:t>(7)</w:t>
            </w:r>
          </w:p>
        </w:tc>
        <w:tc>
          <w:tcPr>
            <w:tcW w:w="1100" w:type="dxa"/>
            <w:vAlign w:val="bottom"/>
            <w:shd w:val="clear" w:color="auto" w:fill="CCECFF"/>
          </w:tcPr>
          <w:p>
            <w:pPr>
              <w:jc w:val="center"/>
              <w:ind w:right="182"/>
              <w:spacing w:after="0"/>
              <w:rPr>
                <w:sz w:val="20"/>
                <w:szCs w:val="20"/>
                <w:color w:val="auto"/>
              </w:rPr>
            </w:pPr>
            <w:r>
              <w:rPr>
                <w:rFonts w:ascii="Arial" w:cs="Arial" w:eastAsia="Arial" w:hAnsi="Arial"/>
                <w:sz w:val="12"/>
                <w:szCs w:val="12"/>
                <w:color w:val="auto"/>
                <w:w w:val="89"/>
              </w:rPr>
              <w:t>06/27/2023</w:t>
            </w:r>
          </w:p>
        </w:tc>
        <w:tc>
          <w:tcPr>
            <w:tcW w:w="2540" w:type="dxa"/>
            <w:vAlign w:val="bottom"/>
            <w:gridSpan w:val="2"/>
            <w:shd w:val="clear" w:color="auto" w:fill="CCECFF"/>
          </w:tcPr>
          <w:p>
            <w:pPr>
              <w:jc w:val="center"/>
              <w:ind w:right="360"/>
              <w:spacing w:after="0"/>
              <w:rPr>
                <w:sz w:val="20"/>
                <w:szCs w:val="20"/>
                <w:color w:val="auto"/>
              </w:rPr>
            </w:pPr>
            <w:r>
              <w:rPr>
                <w:rFonts w:ascii="Arial" w:cs="Arial" w:eastAsia="Arial" w:hAnsi="Arial"/>
                <w:sz w:val="12"/>
                <w:szCs w:val="12"/>
                <w:color w:val="auto"/>
                <w:w w:val="89"/>
              </w:rPr>
              <w:t>Wholesale</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8.84%</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L+650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20,427,156</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20,183,566</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20,183,437</w:t>
            </w:r>
          </w:p>
        </w:tc>
        <w:tc>
          <w:tcPr>
            <w:tcW w:w="100" w:type="dxa"/>
            <w:vAlign w:val="bottom"/>
            <w:shd w:val="clear" w:color="auto" w:fill="CCECFF"/>
          </w:tcPr>
          <w:p>
            <w:pPr>
              <w:spacing w:after="0"/>
              <w:rPr>
                <w:sz w:val="12"/>
                <w:szCs w:val="12"/>
                <w:color w:val="auto"/>
              </w:rPr>
            </w:pPr>
          </w:p>
        </w:tc>
      </w:tr>
      <w:tr>
        <w:trPr>
          <w:trHeight w:val="149"/>
        </w:trPr>
        <w:tc>
          <w:tcPr>
            <w:tcW w:w="3120" w:type="dxa"/>
            <w:vAlign w:val="bottom"/>
          </w:tcPr>
          <w:p>
            <w:pPr>
              <w:spacing w:after="0"/>
              <w:rPr>
                <w:sz w:val="20"/>
                <w:szCs w:val="20"/>
                <w:color w:val="auto"/>
              </w:rPr>
            </w:pPr>
            <w:r>
              <w:rPr>
                <w:rFonts w:ascii="Arial" w:cs="Arial" w:eastAsia="Arial" w:hAnsi="Arial"/>
                <w:sz w:val="12"/>
                <w:szCs w:val="12"/>
                <w:color w:val="auto"/>
              </w:rPr>
              <w:t xml:space="preserve">Impact Group, LLC </w:t>
            </w:r>
            <w:r>
              <w:rPr>
                <w:rFonts w:ascii="Arial" w:cs="Arial" w:eastAsia="Arial" w:hAnsi="Arial"/>
                <w:sz w:val="9"/>
                <w:szCs w:val="9"/>
                <w:color w:val="auto"/>
              </w:rPr>
              <w:t>(7), (8)</w:t>
            </w:r>
          </w:p>
        </w:tc>
        <w:tc>
          <w:tcPr>
            <w:tcW w:w="1100" w:type="dxa"/>
            <w:vAlign w:val="bottom"/>
          </w:tcPr>
          <w:p>
            <w:pPr>
              <w:jc w:val="center"/>
              <w:ind w:right="182"/>
              <w:spacing w:after="0"/>
              <w:rPr>
                <w:sz w:val="20"/>
                <w:szCs w:val="20"/>
                <w:color w:val="auto"/>
              </w:rPr>
            </w:pPr>
            <w:r>
              <w:rPr>
                <w:rFonts w:ascii="Arial" w:cs="Arial" w:eastAsia="Arial" w:hAnsi="Arial"/>
                <w:sz w:val="12"/>
                <w:szCs w:val="12"/>
                <w:color w:val="auto"/>
                <w:w w:val="89"/>
              </w:rPr>
              <w:t>06/27/2023</w:t>
            </w:r>
          </w:p>
        </w:tc>
        <w:tc>
          <w:tcPr>
            <w:tcW w:w="2540" w:type="dxa"/>
            <w:vAlign w:val="bottom"/>
            <w:gridSpan w:val="2"/>
          </w:tcPr>
          <w:p>
            <w:pPr>
              <w:jc w:val="center"/>
              <w:ind w:right="360"/>
              <w:spacing w:after="0"/>
              <w:rPr>
                <w:sz w:val="20"/>
                <w:szCs w:val="20"/>
                <w:color w:val="auto"/>
              </w:rPr>
            </w:pPr>
            <w:r>
              <w:rPr>
                <w:rFonts w:ascii="Arial" w:cs="Arial" w:eastAsia="Arial" w:hAnsi="Arial"/>
                <w:sz w:val="12"/>
                <w:szCs w:val="12"/>
                <w:color w:val="auto"/>
                <w:w w:val="89"/>
              </w:rPr>
              <w:t>Wholesale</w:t>
            </w:r>
          </w:p>
        </w:tc>
        <w:tc>
          <w:tcPr>
            <w:tcW w:w="90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14,572,844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1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Infrastructure Supply Operations Pty Ltd. </w:t>
            </w:r>
            <w:r>
              <w:rPr>
                <w:rFonts w:ascii="Arial" w:cs="Arial" w:eastAsia="Arial" w:hAnsi="Arial"/>
                <w:sz w:val="9"/>
                <w:szCs w:val="9"/>
                <w:color w:val="auto"/>
              </w:rPr>
              <w:t>(5), (9), (10)</w:t>
            </w:r>
          </w:p>
        </w:tc>
        <w:tc>
          <w:tcPr>
            <w:tcW w:w="1100" w:type="dxa"/>
            <w:vAlign w:val="bottom"/>
            <w:shd w:val="clear" w:color="auto" w:fill="CCECFF"/>
          </w:tcPr>
          <w:p>
            <w:pPr>
              <w:jc w:val="center"/>
              <w:ind w:right="182"/>
              <w:spacing w:after="0"/>
              <w:rPr>
                <w:sz w:val="20"/>
                <w:szCs w:val="20"/>
                <w:color w:val="auto"/>
              </w:rPr>
            </w:pPr>
            <w:r>
              <w:rPr>
                <w:rFonts w:ascii="Arial" w:cs="Arial" w:eastAsia="Arial" w:hAnsi="Arial"/>
                <w:sz w:val="12"/>
                <w:szCs w:val="12"/>
                <w:color w:val="auto"/>
                <w:w w:val="89"/>
              </w:rPr>
              <w:t>12/12/2023</w:t>
            </w:r>
          </w:p>
        </w:tc>
        <w:tc>
          <w:tcPr>
            <w:tcW w:w="2540" w:type="dxa"/>
            <w:vAlign w:val="bottom"/>
            <w:gridSpan w:val="2"/>
            <w:shd w:val="clear" w:color="auto" w:fill="CCECFF"/>
          </w:tcPr>
          <w:p>
            <w:pPr>
              <w:jc w:val="center"/>
              <w:ind w:right="360"/>
              <w:spacing w:after="0"/>
              <w:rPr>
                <w:sz w:val="20"/>
                <w:szCs w:val="20"/>
                <w:color w:val="auto"/>
              </w:rPr>
            </w:pPr>
            <w:r>
              <w:rPr>
                <w:rFonts w:ascii="Arial" w:cs="Arial" w:eastAsia="Arial" w:hAnsi="Arial"/>
                <w:sz w:val="12"/>
                <w:szCs w:val="12"/>
                <w:color w:val="auto"/>
                <w:w w:val="89"/>
              </w:rPr>
              <w:t>Wholesale</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6.72%</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L+475</w:t>
            </w:r>
          </w:p>
        </w:tc>
        <w:tc>
          <w:tcPr>
            <w:tcW w:w="32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rPr>
              <w:t>A $</w:t>
            </w: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5,000,000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3,652,609</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3,680,262</w:t>
            </w:r>
          </w:p>
        </w:tc>
        <w:tc>
          <w:tcPr>
            <w:tcW w:w="100" w:type="dxa"/>
            <w:vAlign w:val="bottom"/>
            <w:shd w:val="clear" w:color="auto" w:fill="CCECFF"/>
          </w:tcPr>
          <w:p>
            <w:pPr>
              <w:spacing w:after="0"/>
              <w:rPr>
                <w:sz w:val="12"/>
                <w:szCs w:val="12"/>
                <w:color w:val="auto"/>
              </w:rPr>
            </w:pPr>
          </w:p>
        </w:tc>
      </w:tr>
      <w:tr>
        <w:trPr>
          <w:trHeight w:val="148"/>
        </w:trPr>
        <w:tc>
          <w:tcPr>
            <w:tcW w:w="3120" w:type="dxa"/>
            <w:vAlign w:val="bottom"/>
          </w:tcPr>
          <w:p>
            <w:pPr>
              <w:spacing w:after="0"/>
              <w:rPr>
                <w:sz w:val="20"/>
                <w:szCs w:val="20"/>
                <w:color w:val="auto"/>
              </w:rPr>
            </w:pPr>
            <w:r>
              <w:rPr>
                <w:rFonts w:ascii="Arial" w:cs="Arial" w:eastAsia="Arial" w:hAnsi="Arial"/>
                <w:sz w:val="12"/>
                <w:szCs w:val="12"/>
                <w:color w:val="auto"/>
              </w:rPr>
              <w:t xml:space="preserve">Innova Medical Ophthalmics Inc. </w:t>
            </w:r>
            <w:r>
              <w:rPr>
                <w:rFonts w:ascii="Arial" w:cs="Arial" w:eastAsia="Arial" w:hAnsi="Arial"/>
                <w:sz w:val="9"/>
                <w:szCs w:val="9"/>
                <w:color w:val="auto"/>
              </w:rPr>
              <w:t>(5), (9)</w:t>
            </w:r>
          </w:p>
        </w:tc>
        <w:tc>
          <w:tcPr>
            <w:tcW w:w="1100" w:type="dxa"/>
            <w:vAlign w:val="bottom"/>
          </w:tcPr>
          <w:p>
            <w:pPr>
              <w:jc w:val="center"/>
              <w:ind w:right="182"/>
              <w:spacing w:after="0"/>
              <w:rPr>
                <w:sz w:val="20"/>
                <w:szCs w:val="20"/>
                <w:color w:val="auto"/>
              </w:rPr>
            </w:pPr>
            <w:r>
              <w:rPr>
                <w:rFonts w:ascii="Arial" w:cs="Arial" w:eastAsia="Arial" w:hAnsi="Arial"/>
                <w:sz w:val="12"/>
                <w:szCs w:val="12"/>
                <w:color w:val="auto"/>
                <w:w w:val="89"/>
              </w:rPr>
              <w:t>04/13/2022</w:t>
            </w:r>
          </w:p>
        </w:tc>
        <w:tc>
          <w:tcPr>
            <w:tcW w:w="2540" w:type="dxa"/>
            <w:vAlign w:val="bottom"/>
            <w:gridSpan w:val="2"/>
          </w:tcPr>
          <w:p>
            <w:pPr>
              <w:jc w:val="center"/>
              <w:ind w:right="380"/>
              <w:spacing w:after="0"/>
              <w:rPr>
                <w:sz w:val="20"/>
                <w:szCs w:val="20"/>
                <w:color w:val="auto"/>
              </w:rPr>
            </w:pPr>
            <w:r>
              <w:rPr>
                <w:rFonts w:ascii="Arial" w:cs="Arial" w:eastAsia="Arial" w:hAnsi="Arial"/>
                <w:sz w:val="12"/>
                <w:szCs w:val="12"/>
                <w:color w:val="auto"/>
                <w:w w:val="89"/>
              </w:rPr>
              <w:t>Capital Equipment</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9.08%</w:t>
            </w:r>
          </w:p>
        </w:tc>
        <w:tc>
          <w:tcPr>
            <w:tcW w:w="740" w:type="dxa"/>
            <w:vAlign w:val="bottom"/>
          </w:tcPr>
          <w:p>
            <w:pPr>
              <w:jc w:val="right"/>
              <w:spacing w:after="0"/>
              <w:rPr>
                <w:sz w:val="20"/>
                <w:szCs w:val="20"/>
                <w:color w:val="auto"/>
              </w:rPr>
            </w:pPr>
            <w:r>
              <w:rPr>
                <w:rFonts w:ascii="Arial" w:cs="Arial" w:eastAsia="Arial" w:hAnsi="Arial"/>
                <w:sz w:val="12"/>
                <w:szCs w:val="12"/>
                <w:color w:val="auto"/>
              </w:rPr>
              <w:t>3M L+675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3,348,129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3,309,453</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3,331,389</w:t>
            </w:r>
          </w:p>
        </w:tc>
        <w:tc>
          <w:tcPr>
            <w:tcW w:w="100" w:type="dxa"/>
            <w:vAlign w:val="bottom"/>
          </w:tcPr>
          <w:p>
            <w:pPr>
              <w:spacing w:after="0"/>
              <w:rPr>
                <w:sz w:val="12"/>
                <w:szCs w:val="12"/>
                <w:color w:val="auto"/>
              </w:rPr>
            </w:pPr>
          </w:p>
        </w:tc>
      </w:tr>
      <w:tr>
        <w:trPr>
          <w:trHeight w:val="149"/>
        </w:trPr>
        <w:tc>
          <w:tcPr>
            <w:tcW w:w="31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Innova Medical Ophthalmics Inc. (Revolver) </w:t>
            </w:r>
            <w:r>
              <w:rPr>
                <w:rFonts w:ascii="Arial" w:cs="Arial" w:eastAsia="Arial" w:hAnsi="Arial"/>
                <w:sz w:val="9"/>
                <w:szCs w:val="9"/>
                <w:color w:val="auto"/>
              </w:rPr>
              <w:t>(5), (7), (8), (9)</w:t>
            </w:r>
          </w:p>
        </w:tc>
        <w:tc>
          <w:tcPr>
            <w:tcW w:w="1100" w:type="dxa"/>
            <w:vAlign w:val="bottom"/>
            <w:shd w:val="clear" w:color="auto" w:fill="CCECFF"/>
          </w:tcPr>
          <w:p>
            <w:pPr>
              <w:jc w:val="center"/>
              <w:ind w:right="182"/>
              <w:spacing w:after="0"/>
              <w:rPr>
                <w:sz w:val="20"/>
                <w:szCs w:val="20"/>
                <w:color w:val="auto"/>
              </w:rPr>
            </w:pPr>
            <w:r>
              <w:rPr>
                <w:rFonts w:ascii="Arial" w:cs="Arial" w:eastAsia="Arial" w:hAnsi="Arial"/>
                <w:sz w:val="12"/>
                <w:szCs w:val="12"/>
                <w:color w:val="auto"/>
                <w:w w:val="89"/>
              </w:rPr>
              <w:t>04/13/2022</w:t>
            </w:r>
          </w:p>
        </w:tc>
        <w:tc>
          <w:tcPr>
            <w:tcW w:w="2540" w:type="dxa"/>
            <w:vAlign w:val="bottom"/>
            <w:gridSpan w:val="2"/>
            <w:shd w:val="clear" w:color="auto" w:fill="CCECFF"/>
          </w:tcPr>
          <w:p>
            <w:pPr>
              <w:jc w:val="center"/>
              <w:ind w:right="380"/>
              <w:spacing w:after="0"/>
              <w:rPr>
                <w:sz w:val="20"/>
                <w:szCs w:val="20"/>
                <w:color w:val="auto"/>
              </w:rPr>
            </w:pPr>
            <w:r>
              <w:rPr>
                <w:rFonts w:ascii="Arial" w:cs="Arial" w:eastAsia="Arial" w:hAnsi="Arial"/>
                <w:sz w:val="12"/>
                <w:szCs w:val="12"/>
                <w:color w:val="auto"/>
                <w:w w:val="89"/>
              </w:rPr>
              <w:t>Capital Equipment</w:t>
            </w:r>
          </w:p>
        </w:tc>
        <w:tc>
          <w:tcPr>
            <w:tcW w:w="90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530,973</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CFF"/>
          </w:tcPr>
          <w:p>
            <w:pPr>
              <w:spacing w:after="0"/>
              <w:rPr>
                <w:sz w:val="12"/>
                <w:szCs w:val="12"/>
                <w:color w:val="auto"/>
              </w:rPr>
            </w:pPr>
          </w:p>
        </w:tc>
        <w:tc>
          <w:tcPr>
            <w:tcW w:w="700" w:type="dxa"/>
            <w:vAlign w:val="bottom"/>
            <w:gridSpan w:val="2"/>
            <w:shd w:val="clear" w:color="auto" w:fill="CCECFF"/>
          </w:tcPr>
          <w:p>
            <w:pPr>
              <w:jc w:val="right"/>
              <w:ind w:right="60"/>
              <w:spacing w:after="0"/>
              <w:rPr>
                <w:sz w:val="20"/>
                <w:szCs w:val="20"/>
                <w:color w:val="auto"/>
              </w:rPr>
            </w:pPr>
            <w:r>
              <w:rPr>
                <w:rFonts w:ascii="Arial" w:cs="Arial" w:eastAsia="Arial" w:hAnsi="Arial"/>
                <w:sz w:val="12"/>
                <w:szCs w:val="12"/>
                <w:color w:val="auto"/>
              </w:rPr>
              <w:t>(2,655)</w:t>
            </w:r>
          </w:p>
        </w:tc>
      </w:tr>
      <w:tr>
        <w:trPr>
          <w:trHeight w:val="148"/>
        </w:trPr>
        <w:tc>
          <w:tcPr>
            <w:tcW w:w="3120" w:type="dxa"/>
            <w:vAlign w:val="bottom"/>
          </w:tcPr>
          <w:p>
            <w:pPr>
              <w:spacing w:after="0"/>
              <w:rPr>
                <w:sz w:val="20"/>
                <w:szCs w:val="20"/>
                <w:color w:val="auto"/>
              </w:rPr>
            </w:pPr>
            <w:r>
              <w:rPr>
                <w:rFonts w:ascii="Arial" w:cs="Arial" w:eastAsia="Arial" w:hAnsi="Arial"/>
                <w:sz w:val="12"/>
                <w:szCs w:val="12"/>
                <w:color w:val="auto"/>
              </w:rPr>
              <w:t>Intralinks, Inc.</w:t>
            </w:r>
          </w:p>
        </w:tc>
        <w:tc>
          <w:tcPr>
            <w:tcW w:w="1100" w:type="dxa"/>
            <w:vAlign w:val="bottom"/>
          </w:tcPr>
          <w:p>
            <w:pPr>
              <w:jc w:val="center"/>
              <w:ind w:right="202"/>
              <w:spacing w:after="0"/>
              <w:rPr>
                <w:sz w:val="20"/>
                <w:szCs w:val="20"/>
                <w:color w:val="auto"/>
              </w:rPr>
            </w:pPr>
            <w:r>
              <w:rPr>
                <w:rFonts w:ascii="Arial" w:cs="Arial" w:eastAsia="Arial" w:hAnsi="Arial"/>
                <w:sz w:val="12"/>
                <w:szCs w:val="12"/>
                <w:color w:val="auto"/>
                <w:w w:val="86"/>
              </w:rPr>
              <w:t>11/14/2024</w:t>
            </w:r>
          </w:p>
        </w:tc>
        <w:tc>
          <w:tcPr>
            <w:tcW w:w="2540" w:type="dxa"/>
            <w:vAlign w:val="bottom"/>
            <w:gridSpan w:val="2"/>
          </w:tcPr>
          <w:p>
            <w:pPr>
              <w:jc w:val="center"/>
              <w:ind w:right="380"/>
              <w:spacing w:after="0"/>
              <w:rPr>
                <w:sz w:val="20"/>
                <w:szCs w:val="20"/>
                <w:color w:val="auto"/>
              </w:rPr>
            </w:pPr>
            <w:r>
              <w:rPr>
                <w:rFonts w:ascii="Arial" w:cs="Arial" w:eastAsia="Arial" w:hAnsi="Arial"/>
                <w:sz w:val="12"/>
                <w:szCs w:val="12"/>
                <w:color w:val="auto"/>
                <w:w w:val="85"/>
              </w:rPr>
              <w:t>Business Services</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6.10%</w:t>
            </w:r>
          </w:p>
        </w:tc>
        <w:tc>
          <w:tcPr>
            <w:tcW w:w="740" w:type="dxa"/>
            <w:vAlign w:val="bottom"/>
          </w:tcPr>
          <w:p>
            <w:pPr>
              <w:jc w:val="right"/>
              <w:spacing w:after="0"/>
              <w:rPr>
                <w:sz w:val="20"/>
                <w:szCs w:val="20"/>
                <w:color w:val="auto"/>
              </w:rPr>
            </w:pPr>
            <w:r>
              <w:rPr>
                <w:rFonts w:ascii="Arial" w:cs="Arial" w:eastAsia="Arial" w:hAnsi="Arial"/>
                <w:sz w:val="12"/>
                <w:szCs w:val="12"/>
                <w:color w:val="auto"/>
              </w:rPr>
              <w:t>1M L+400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14,925,000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14,854,381</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w w:val="93"/>
              </w:rPr>
              <w:t>14,897,090</w:t>
            </w:r>
          </w:p>
        </w:tc>
        <w:tc>
          <w:tcPr>
            <w:tcW w:w="100" w:type="dxa"/>
            <w:vAlign w:val="bottom"/>
          </w:tcPr>
          <w:p>
            <w:pPr>
              <w:spacing w:after="0"/>
              <w:rPr>
                <w:sz w:val="12"/>
                <w:szCs w:val="12"/>
                <w:color w:val="auto"/>
              </w:rPr>
            </w:pPr>
          </w:p>
        </w:tc>
      </w:tr>
      <w:tr>
        <w:trPr>
          <w:trHeight w:val="148"/>
        </w:trPr>
        <w:tc>
          <w:tcPr>
            <w:tcW w:w="3120" w:type="dxa"/>
            <w:vAlign w:val="bottom"/>
            <w:shd w:val="clear" w:color="auto" w:fill="CCECFF"/>
          </w:tcPr>
          <w:p>
            <w:pPr>
              <w:spacing w:after="0"/>
              <w:rPr>
                <w:sz w:val="20"/>
                <w:szCs w:val="20"/>
                <w:color w:val="auto"/>
              </w:rPr>
            </w:pPr>
            <w:r>
              <w:rPr>
                <w:rFonts w:ascii="Arial" w:cs="Arial" w:eastAsia="Arial" w:hAnsi="Arial"/>
                <w:sz w:val="12"/>
                <w:szCs w:val="12"/>
                <w:color w:val="auto"/>
              </w:rPr>
              <w:t>Inventus Power, Inc.</w:t>
            </w:r>
          </w:p>
        </w:tc>
        <w:tc>
          <w:tcPr>
            <w:tcW w:w="1100" w:type="dxa"/>
            <w:vAlign w:val="bottom"/>
            <w:shd w:val="clear" w:color="auto" w:fill="CCECFF"/>
          </w:tcPr>
          <w:p>
            <w:pPr>
              <w:jc w:val="center"/>
              <w:ind w:right="182"/>
              <w:spacing w:after="0"/>
              <w:rPr>
                <w:sz w:val="20"/>
                <w:szCs w:val="20"/>
                <w:color w:val="auto"/>
              </w:rPr>
            </w:pPr>
            <w:r>
              <w:rPr>
                <w:rFonts w:ascii="Arial" w:cs="Arial" w:eastAsia="Arial" w:hAnsi="Arial"/>
                <w:sz w:val="12"/>
                <w:szCs w:val="12"/>
                <w:color w:val="auto"/>
                <w:w w:val="89"/>
              </w:rPr>
              <w:t>04/30/2020</w:t>
            </w:r>
          </w:p>
        </w:tc>
        <w:tc>
          <w:tcPr>
            <w:tcW w:w="2540" w:type="dxa"/>
            <w:vAlign w:val="bottom"/>
            <w:gridSpan w:val="2"/>
            <w:shd w:val="clear" w:color="auto" w:fill="CCECFF"/>
          </w:tcPr>
          <w:p>
            <w:pPr>
              <w:jc w:val="center"/>
              <w:ind w:right="360"/>
              <w:spacing w:after="0"/>
              <w:rPr>
                <w:sz w:val="20"/>
                <w:szCs w:val="20"/>
                <w:color w:val="auto"/>
              </w:rPr>
            </w:pPr>
            <w:r>
              <w:rPr>
                <w:rFonts w:ascii="Arial" w:cs="Arial" w:eastAsia="Arial" w:hAnsi="Arial"/>
                <w:sz w:val="12"/>
                <w:szCs w:val="12"/>
                <w:color w:val="auto"/>
                <w:w w:val="88"/>
              </w:rPr>
              <w:t>Consumer Goods: Durable</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8.59%</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L+650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4,242,523</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4,226,669</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3,945,546</w:t>
            </w:r>
          </w:p>
        </w:tc>
        <w:tc>
          <w:tcPr>
            <w:tcW w:w="100" w:type="dxa"/>
            <w:vAlign w:val="bottom"/>
            <w:shd w:val="clear" w:color="auto" w:fill="CCECFF"/>
          </w:tcPr>
          <w:p>
            <w:pPr>
              <w:spacing w:after="0"/>
              <w:rPr>
                <w:sz w:val="12"/>
                <w:szCs w:val="12"/>
                <w:color w:val="auto"/>
              </w:rPr>
            </w:pPr>
          </w:p>
        </w:tc>
      </w:tr>
      <w:tr>
        <w:trPr>
          <w:trHeight w:val="149"/>
        </w:trPr>
        <w:tc>
          <w:tcPr>
            <w:tcW w:w="3120" w:type="dxa"/>
            <w:vAlign w:val="bottom"/>
          </w:tcPr>
          <w:p>
            <w:pPr>
              <w:spacing w:after="0"/>
              <w:rPr>
                <w:sz w:val="20"/>
                <w:szCs w:val="20"/>
                <w:color w:val="auto"/>
              </w:rPr>
            </w:pPr>
            <w:r>
              <w:rPr>
                <w:rFonts w:ascii="Arial" w:cs="Arial" w:eastAsia="Arial" w:hAnsi="Arial"/>
                <w:sz w:val="12"/>
                <w:szCs w:val="12"/>
                <w:color w:val="auto"/>
              </w:rPr>
              <w:t xml:space="preserve">K2 Pure Solutions NoCal, L.P. </w:t>
            </w:r>
            <w:r>
              <w:rPr>
                <w:rFonts w:ascii="Arial" w:cs="Arial" w:eastAsia="Arial" w:hAnsi="Arial"/>
                <w:sz w:val="9"/>
                <w:szCs w:val="9"/>
                <w:color w:val="auto"/>
              </w:rPr>
              <w:t>(7)</w:t>
            </w:r>
          </w:p>
        </w:tc>
        <w:tc>
          <w:tcPr>
            <w:tcW w:w="1100" w:type="dxa"/>
            <w:vAlign w:val="bottom"/>
          </w:tcPr>
          <w:p>
            <w:pPr>
              <w:jc w:val="center"/>
              <w:ind w:right="182"/>
              <w:spacing w:after="0"/>
              <w:rPr>
                <w:sz w:val="20"/>
                <w:szCs w:val="20"/>
                <w:color w:val="auto"/>
              </w:rPr>
            </w:pPr>
            <w:r>
              <w:rPr>
                <w:rFonts w:ascii="Arial" w:cs="Arial" w:eastAsia="Arial" w:hAnsi="Arial"/>
                <w:sz w:val="12"/>
                <w:szCs w:val="12"/>
                <w:color w:val="auto"/>
                <w:w w:val="89"/>
              </w:rPr>
              <w:t>02/19/2021</w:t>
            </w:r>
          </w:p>
        </w:tc>
        <w:tc>
          <w:tcPr>
            <w:tcW w:w="2540" w:type="dxa"/>
            <w:vAlign w:val="bottom"/>
            <w:gridSpan w:val="2"/>
          </w:tcPr>
          <w:p>
            <w:pPr>
              <w:jc w:val="center"/>
              <w:ind w:right="380"/>
              <w:spacing w:after="0"/>
              <w:rPr>
                <w:sz w:val="20"/>
                <w:szCs w:val="20"/>
                <w:color w:val="auto"/>
              </w:rPr>
            </w:pPr>
            <w:r>
              <w:rPr>
                <w:rFonts w:ascii="Arial" w:cs="Arial" w:eastAsia="Arial" w:hAnsi="Arial"/>
                <w:sz w:val="12"/>
                <w:szCs w:val="12"/>
                <w:color w:val="auto"/>
                <w:w w:val="87"/>
              </w:rPr>
              <w:t>Chemicals, Plastics and Rubber</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10.98%</w:t>
            </w:r>
          </w:p>
        </w:tc>
        <w:tc>
          <w:tcPr>
            <w:tcW w:w="740" w:type="dxa"/>
            <w:vAlign w:val="bottom"/>
          </w:tcPr>
          <w:p>
            <w:pPr>
              <w:jc w:val="right"/>
              <w:spacing w:after="0"/>
              <w:rPr>
                <w:sz w:val="20"/>
                <w:szCs w:val="20"/>
                <w:color w:val="auto"/>
              </w:rPr>
            </w:pPr>
            <w:r>
              <w:rPr>
                <w:rFonts w:ascii="Arial" w:cs="Arial" w:eastAsia="Arial" w:hAnsi="Arial"/>
                <w:sz w:val="12"/>
                <w:szCs w:val="12"/>
                <w:color w:val="auto"/>
              </w:rPr>
              <w:t>1M L+900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4,002,471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3,938,921</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4,002,471</w:t>
            </w:r>
          </w:p>
        </w:tc>
        <w:tc>
          <w:tcPr>
            <w:tcW w:w="100" w:type="dxa"/>
            <w:vAlign w:val="bottom"/>
          </w:tcPr>
          <w:p>
            <w:pPr>
              <w:spacing w:after="0"/>
              <w:rPr>
                <w:sz w:val="12"/>
                <w:szCs w:val="12"/>
                <w:color w:val="auto"/>
              </w:rPr>
            </w:pPr>
          </w:p>
        </w:tc>
      </w:tr>
      <w:tr>
        <w:trPr>
          <w:trHeight w:val="148"/>
        </w:trPr>
        <w:tc>
          <w:tcPr>
            <w:tcW w:w="3120" w:type="dxa"/>
            <w:vAlign w:val="bottom"/>
            <w:shd w:val="clear" w:color="auto" w:fill="CCECFF"/>
          </w:tcPr>
          <w:p>
            <w:pPr>
              <w:spacing w:after="0"/>
              <w:rPr>
                <w:sz w:val="20"/>
                <w:szCs w:val="20"/>
                <w:color w:val="auto"/>
              </w:rPr>
            </w:pPr>
            <w:r>
              <w:rPr>
                <w:rFonts w:ascii="Arial" w:cs="Arial" w:eastAsia="Arial" w:hAnsi="Arial"/>
                <w:sz w:val="12"/>
                <w:szCs w:val="12"/>
                <w:color w:val="auto"/>
              </w:rPr>
              <w:t>KHC Holdings, Inc.</w:t>
            </w:r>
          </w:p>
        </w:tc>
        <w:tc>
          <w:tcPr>
            <w:tcW w:w="1100" w:type="dxa"/>
            <w:vAlign w:val="bottom"/>
            <w:shd w:val="clear" w:color="auto" w:fill="CCECFF"/>
          </w:tcPr>
          <w:p>
            <w:pPr>
              <w:jc w:val="center"/>
              <w:ind w:right="182"/>
              <w:spacing w:after="0"/>
              <w:rPr>
                <w:sz w:val="20"/>
                <w:szCs w:val="20"/>
                <w:color w:val="auto"/>
              </w:rPr>
            </w:pPr>
            <w:r>
              <w:rPr>
                <w:rFonts w:ascii="Arial" w:cs="Arial" w:eastAsia="Arial" w:hAnsi="Arial"/>
                <w:sz w:val="12"/>
                <w:szCs w:val="12"/>
                <w:color w:val="auto"/>
                <w:w w:val="89"/>
              </w:rPr>
              <w:t>10/31/2022</w:t>
            </w:r>
          </w:p>
        </w:tc>
        <w:tc>
          <w:tcPr>
            <w:tcW w:w="2540" w:type="dxa"/>
            <w:vAlign w:val="bottom"/>
            <w:gridSpan w:val="2"/>
            <w:shd w:val="clear" w:color="auto" w:fill="CCECFF"/>
          </w:tcPr>
          <w:p>
            <w:pPr>
              <w:jc w:val="center"/>
              <w:ind w:right="360"/>
              <w:spacing w:after="0"/>
              <w:rPr>
                <w:sz w:val="20"/>
                <w:szCs w:val="20"/>
                <w:color w:val="auto"/>
              </w:rPr>
            </w:pPr>
            <w:r>
              <w:rPr>
                <w:rFonts w:ascii="Arial" w:cs="Arial" w:eastAsia="Arial" w:hAnsi="Arial"/>
                <w:sz w:val="12"/>
                <w:szCs w:val="12"/>
                <w:color w:val="auto"/>
                <w:w w:val="89"/>
              </w:rPr>
              <w:t>Wholesale</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8.33%</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L+600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12,117,016</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11,973,335</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12,117,016</w:t>
            </w:r>
          </w:p>
        </w:tc>
        <w:tc>
          <w:tcPr>
            <w:tcW w:w="100" w:type="dxa"/>
            <w:vAlign w:val="bottom"/>
            <w:shd w:val="clear" w:color="auto" w:fill="CCECFF"/>
          </w:tcPr>
          <w:p>
            <w:pPr>
              <w:spacing w:after="0"/>
              <w:rPr>
                <w:sz w:val="12"/>
                <w:szCs w:val="12"/>
                <w:color w:val="auto"/>
              </w:rPr>
            </w:pPr>
          </w:p>
        </w:tc>
      </w:tr>
      <w:tr>
        <w:trPr>
          <w:trHeight w:val="149"/>
        </w:trPr>
        <w:tc>
          <w:tcPr>
            <w:tcW w:w="3120" w:type="dxa"/>
            <w:vAlign w:val="bottom"/>
          </w:tcPr>
          <w:p>
            <w:pPr>
              <w:spacing w:after="0"/>
              <w:rPr>
                <w:sz w:val="20"/>
                <w:szCs w:val="20"/>
                <w:color w:val="auto"/>
              </w:rPr>
            </w:pPr>
            <w:r>
              <w:rPr>
                <w:rFonts w:ascii="Arial" w:cs="Arial" w:eastAsia="Arial" w:hAnsi="Arial"/>
                <w:sz w:val="12"/>
                <w:szCs w:val="12"/>
                <w:color w:val="auto"/>
              </w:rPr>
              <w:t xml:space="preserve">KHC Holdings, Inc. (Revolver) </w:t>
            </w:r>
            <w:r>
              <w:rPr>
                <w:rFonts w:ascii="Arial" w:cs="Arial" w:eastAsia="Arial" w:hAnsi="Arial"/>
                <w:sz w:val="9"/>
                <w:szCs w:val="9"/>
                <w:color w:val="auto"/>
              </w:rPr>
              <w:t>(7)</w:t>
            </w:r>
          </w:p>
        </w:tc>
        <w:tc>
          <w:tcPr>
            <w:tcW w:w="1100" w:type="dxa"/>
            <w:vAlign w:val="bottom"/>
          </w:tcPr>
          <w:p>
            <w:pPr>
              <w:jc w:val="center"/>
              <w:ind w:right="182"/>
              <w:spacing w:after="0"/>
              <w:rPr>
                <w:sz w:val="20"/>
                <w:szCs w:val="20"/>
                <w:color w:val="auto"/>
              </w:rPr>
            </w:pPr>
            <w:r>
              <w:rPr>
                <w:rFonts w:ascii="Arial" w:cs="Arial" w:eastAsia="Arial" w:hAnsi="Arial"/>
                <w:sz w:val="12"/>
                <w:szCs w:val="12"/>
                <w:color w:val="auto"/>
                <w:w w:val="89"/>
              </w:rPr>
              <w:t>10/30/2020</w:t>
            </w:r>
          </w:p>
        </w:tc>
        <w:tc>
          <w:tcPr>
            <w:tcW w:w="2540" w:type="dxa"/>
            <w:vAlign w:val="bottom"/>
            <w:gridSpan w:val="2"/>
          </w:tcPr>
          <w:p>
            <w:pPr>
              <w:jc w:val="center"/>
              <w:ind w:right="360"/>
              <w:spacing w:after="0"/>
              <w:rPr>
                <w:sz w:val="20"/>
                <w:szCs w:val="20"/>
                <w:color w:val="auto"/>
              </w:rPr>
            </w:pPr>
            <w:r>
              <w:rPr>
                <w:rFonts w:ascii="Arial" w:cs="Arial" w:eastAsia="Arial" w:hAnsi="Arial"/>
                <w:sz w:val="12"/>
                <w:szCs w:val="12"/>
                <w:color w:val="auto"/>
                <w:w w:val="89"/>
              </w:rPr>
              <w:t>Wholesale</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6.35%</w:t>
            </w:r>
          </w:p>
        </w:tc>
        <w:tc>
          <w:tcPr>
            <w:tcW w:w="740" w:type="dxa"/>
            <w:vAlign w:val="bottom"/>
          </w:tcPr>
          <w:p>
            <w:pPr>
              <w:jc w:val="right"/>
              <w:spacing w:after="0"/>
              <w:rPr>
                <w:sz w:val="20"/>
                <w:szCs w:val="20"/>
                <w:color w:val="auto"/>
              </w:rPr>
            </w:pPr>
            <w:r>
              <w:rPr>
                <w:rFonts w:ascii="Arial" w:cs="Arial" w:eastAsia="Arial" w:hAnsi="Arial"/>
                <w:sz w:val="12"/>
                <w:szCs w:val="12"/>
                <w:color w:val="auto"/>
              </w:rPr>
              <w:t>1M L+425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443,548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443,548</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443,548</w:t>
            </w:r>
          </w:p>
        </w:tc>
        <w:tc>
          <w:tcPr>
            <w:tcW w:w="100" w:type="dxa"/>
            <w:vAlign w:val="bottom"/>
          </w:tcPr>
          <w:p>
            <w:pPr>
              <w:spacing w:after="0"/>
              <w:rPr>
                <w:sz w:val="12"/>
                <w:szCs w:val="12"/>
                <w:color w:val="auto"/>
              </w:rPr>
            </w:pPr>
          </w:p>
        </w:tc>
      </w:tr>
      <w:tr>
        <w:trPr>
          <w:trHeight w:val="148"/>
        </w:trPr>
        <w:tc>
          <w:tcPr>
            <w:tcW w:w="31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KHC Holdings, Inc. (Revolver) </w:t>
            </w:r>
            <w:r>
              <w:rPr>
                <w:rFonts w:ascii="Arial" w:cs="Arial" w:eastAsia="Arial" w:hAnsi="Arial"/>
                <w:sz w:val="9"/>
                <w:szCs w:val="9"/>
                <w:color w:val="auto"/>
              </w:rPr>
              <w:t>(7), (8)</w:t>
            </w:r>
          </w:p>
        </w:tc>
        <w:tc>
          <w:tcPr>
            <w:tcW w:w="1100" w:type="dxa"/>
            <w:vAlign w:val="bottom"/>
            <w:shd w:val="clear" w:color="auto" w:fill="CCECFF"/>
          </w:tcPr>
          <w:p>
            <w:pPr>
              <w:jc w:val="center"/>
              <w:ind w:right="182"/>
              <w:spacing w:after="0"/>
              <w:rPr>
                <w:sz w:val="20"/>
                <w:szCs w:val="20"/>
                <w:color w:val="auto"/>
              </w:rPr>
            </w:pPr>
            <w:r>
              <w:rPr>
                <w:rFonts w:ascii="Arial" w:cs="Arial" w:eastAsia="Arial" w:hAnsi="Arial"/>
                <w:sz w:val="12"/>
                <w:szCs w:val="12"/>
                <w:color w:val="auto"/>
                <w:w w:val="89"/>
              </w:rPr>
              <w:t>10/30/2020</w:t>
            </w:r>
          </w:p>
        </w:tc>
        <w:tc>
          <w:tcPr>
            <w:tcW w:w="2540" w:type="dxa"/>
            <w:vAlign w:val="bottom"/>
            <w:gridSpan w:val="2"/>
            <w:shd w:val="clear" w:color="auto" w:fill="CCECFF"/>
          </w:tcPr>
          <w:p>
            <w:pPr>
              <w:jc w:val="center"/>
              <w:ind w:right="360"/>
              <w:spacing w:after="0"/>
              <w:rPr>
                <w:sz w:val="20"/>
                <w:szCs w:val="20"/>
                <w:color w:val="auto"/>
              </w:rPr>
            </w:pPr>
            <w:r>
              <w:rPr>
                <w:rFonts w:ascii="Arial" w:cs="Arial" w:eastAsia="Arial" w:hAnsi="Arial"/>
                <w:sz w:val="12"/>
                <w:szCs w:val="12"/>
                <w:color w:val="auto"/>
                <w:w w:val="89"/>
              </w:rPr>
              <w:t>Wholesale</w:t>
            </w:r>
          </w:p>
        </w:tc>
        <w:tc>
          <w:tcPr>
            <w:tcW w:w="90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766,129</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CFF"/>
          </w:tcPr>
          <w:p>
            <w:pPr>
              <w:spacing w:after="0"/>
              <w:rPr>
                <w:sz w:val="12"/>
                <w:szCs w:val="12"/>
                <w:color w:val="auto"/>
              </w:rPr>
            </w:pPr>
          </w:p>
        </w:tc>
        <w:tc>
          <w:tcPr>
            <w:tcW w:w="70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120" w:type="dxa"/>
            <w:vAlign w:val="bottom"/>
          </w:tcPr>
          <w:p>
            <w:pPr>
              <w:spacing w:after="0"/>
              <w:rPr>
                <w:sz w:val="20"/>
                <w:szCs w:val="20"/>
                <w:color w:val="auto"/>
              </w:rPr>
            </w:pPr>
            <w:r>
              <w:rPr>
                <w:rFonts w:ascii="Arial" w:cs="Arial" w:eastAsia="Arial" w:hAnsi="Arial"/>
                <w:sz w:val="12"/>
                <w:szCs w:val="12"/>
                <w:color w:val="auto"/>
              </w:rPr>
              <w:t>Lago Resort &amp; Casino, LLC</w:t>
            </w:r>
          </w:p>
        </w:tc>
        <w:tc>
          <w:tcPr>
            <w:tcW w:w="1100" w:type="dxa"/>
            <w:vAlign w:val="bottom"/>
          </w:tcPr>
          <w:p>
            <w:pPr>
              <w:jc w:val="center"/>
              <w:ind w:right="182"/>
              <w:spacing w:after="0"/>
              <w:rPr>
                <w:sz w:val="20"/>
                <w:szCs w:val="20"/>
                <w:color w:val="auto"/>
              </w:rPr>
            </w:pPr>
            <w:r>
              <w:rPr>
                <w:rFonts w:ascii="Arial" w:cs="Arial" w:eastAsia="Arial" w:hAnsi="Arial"/>
                <w:sz w:val="12"/>
                <w:szCs w:val="12"/>
                <w:color w:val="auto"/>
                <w:w w:val="89"/>
              </w:rPr>
              <w:t>03/07/2022</w:t>
            </w:r>
          </w:p>
        </w:tc>
        <w:tc>
          <w:tcPr>
            <w:tcW w:w="2540" w:type="dxa"/>
            <w:vAlign w:val="bottom"/>
            <w:gridSpan w:val="2"/>
          </w:tcPr>
          <w:p>
            <w:pPr>
              <w:jc w:val="center"/>
              <w:ind w:right="360"/>
              <w:spacing w:after="0"/>
              <w:rPr>
                <w:sz w:val="20"/>
                <w:szCs w:val="20"/>
                <w:color w:val="auto"/>
              </w:rPr>
            </w:pPr>
            <w:r>
              <w:rPr>
                <w:rFonts w:ascii="Arial" w:cs="Arial" w:eastAsia="Arial" w:hAnsi="Arial"/>
                <w:sz w:val="12"/>
                <w:szCs w:val="12"/>
                <w:color w:val="auto"/>
                <w:w w:val="88"/>
              </w:rPr>
              <w:t>Hotel, Gaming and Leisure</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11.83%</w:t>
            </w:r>
          </w:p>
        </w:tc>
        <w:tc>
          <w:tcPr>
            <w:tcW w:w="740" w:type="dxa"/>
            <w:vAlign w:val="bottom"/>
          </w:tcPr>
          <w:p>
            <w:pPr>
              <w:jc w:val="right"/>
              <w:spacing w:after="0"/>
              <w:rPr>
                <w:sz w:val="20"/>
                <w:szCs w:val="20"/>
                <w:color w:val="auto"/>
              </w:rPr>
            </w:pPr>
            <w:r>
              <w:rPr>
                <w:rFonts w:ascii="Arial" w:cs="Arial" w:eastAsia="Arial" w:hAnsi="Arial"/>
                <w:sz w:val="12"/>
                <w:szCs w:val="12"/>
                <w:color w:val="auto"/>
              </w:rPr>
              <w:t>3M L+950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10,123,500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9,983,615</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9,718,560</w:t>
            </w:r>
          </w:p>
        </w:tc>
        <w:tc>
          <w:tcPr>
            <w:tcW w:w="100" w:type="dxa"/>
            <w:vAlign w:val="bottom"/>
          </w:tcPr>
          <w:p>
            <w:pPr>
              <w:spacing w:after="0"/>
              <w:rPr>
                <w:sz w:val="12"/>
                <w:szCs w:val="12"/>
                <w:color w:val="auto"/>
              </w:rPr>
            </w:pPr>
          </w:p>
        </w:tc>
      </w:tr>
      <w:tr>
        <w:trPr>
          <w:trHeight w:val="149"/>
        </w:trPr>
        <w:tc>
          <w:tcPr>
            <w:tcW w:w="31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Leap Legal Software Pty Ltd </w:t>
            </w:r>
            <w:r>
              <w:rPr>
                <w:rFonts w:ascii="Arial" w:cs="Arial" w:eastAsia="Arial" w:hAnsi="Arial"/>
                <w:sz w:val="9"/>
                <w:szCs w:val="9"/>
                <w:color w:val="auto"/>
              </w:rPr>
              <w:t>(5), (9), (10)</w:t>
            </w:r>
          </w:p>
        </w:tc>
        <w:tc>
          <w:tcPr>
            <w:tcW w:w="1100" w:type="dxa"/>
            <w:vAlign w:val="bottom"/>
            <w:shd w:val="clear" w:color="auto" w:fill="CCECFF"/>
          </w:tcPr>
          <w:p>
            <w:pPr>
              <w:jc w:val="center"/>
              <w:ind w:right="182"/>
              <w:spacing w:after="0"/>
              <w:rPr>
                <w:sz w:val="20"/>
                <w:szCs w:val="20"/>
                <w:color w:val="auto"/>
              </w:rPr>
            </w:pPr>
            <w:r>
              <w:rPr>
                <w:rFonts w:ascii="Arial" w:cs="Arial" w:eastAsia="Arial" w:hAnsi="Arial"/>
                <w:sz w:val="12"/>
                <w:szCs w:val="12"/>
                <w:color w:val="auto"/>
                <w:w w:val="89"/>
              </w:rPr>
              <w:t>09/12/2022</w:t>
            </w:r>
          </w:p>
        </w:tc>
        <w:tc>
          <w:tcPr>
            <w:tcW w:w="2540" w:type="dxa"/>
            <w:vAlign w:val="bottom"/>
            <w:gridSpan w:val="2"/>
            <w:shd w:val="clear" w:color="auto" w:fill="CCECFF"/>
          </w:tcPr>
          <w:p>
            <w:pPr>
              <w:jc w:val="center"/>
              <w:ind w:right="360"/>
              <w:spacing w:after="0"/>
              <w:rPr>
                <w:sz w:val="20"/>
                <w:szCs w:val="20"/>
                <w:color w:val="auto"/>
              </w:rPr>
            </w:pPr>
            <w:r>
              <w:rPr>
                <w:rFonts w:ascii="Arial" w:cs="Arial" w:eastAsia="Arial" w:hAnsi="Arial"/>
                <w:sz w:val="12"/>
                <w:szCs w:val="12"/>
                <w:color w:val="auto"/>
                <w:w w:val="89"/>
              </w:rPr>
              <w:t>High Tech Industries</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7.86%</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L+575</w:t>
            </w:r>
          </w:p>
        </w:tc>
        <w:tc>
          <w:tcPr>
            <w:tcW w:w="32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rPr>
              <w:t>A $</w:t>
            </w: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9,925,000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7,670,856</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7,333,116</w:t>
            </w:r>
          </w:p>
        </w:tc>
        <w:tc>
          <w:tcPr>
            <w:tcW w:w="100" w:type="dxa"/>
            <w:vAlign w:val="bottom"/>
            <w:shd w:val="clear" w:color="auto" w:fill="CCECFF"/>
          </w:tcPr>
          <w:p>
            <w:pPr>
              <w:spacing w:after="0"/>
              <w:rPr>
                <w:sz w:val="12"/>
                <w:szCs w:val="12"/>
                <w:color w:val="auto"/>
              </w:rPr>
            </w:pPr>
          </w:p>
        </w:tc>
      </w:tr>
      <w:tr>
        <w:trPr>
          <w:trHeight w:val="148"/>
        </w:trPr>
        <w:tc>
          <w:tcPr>
            <w:tcW w:w="3120" w:type="dxa"/>
            <w:vAlign w:val="bottom"/>
          </w:tcPr>
          <w:p>
            <w:pPr>
              <w:spacing w:after="0"/>
              <w:rPr>
                <w:sz w:val="20"/>
                <w:szCs w:val="20"/>
                <w:color w:val="auto"/>
              </w:rPr>
            </w:pPr>
            <w:r>
              <w:rPr>
                <w:rFonts w:ascii="Arial" w:cs="Arial" w:eastAsia="Arial" w:hAnsi="Arial"/>
                <w:sz w:val="12"/>
                <w:szCs w:val="12"/>
                <w:color w:val="auto"/>
              </w:rPr>
              <w:t xml:space="preserve">LifeCare Holdings LLC </w:t>
            </w:r>
            <w:r>
              <w:rPr>
                <w:rFonts w:ascii="Arial" w:cs="Arial" w:eastAsia="Arial" w:hAnsi="Arial"/>
                <w:sz w:val="9"/>
                <w:szCs w:val="9"/>
                <w:color w:val="auto"/>
              </w:rPr>
              <w:t>(7)</w:t>
            </w:r>
          </w:p>
        </w:tc>
        <w:tc>
          <w:tcPr>
            <w:tcW w:w="1100" w:type="dxa"/>
            <w:vAlign w:val="bottom"/>
          </w:tcPr>
          <w:p>
            <w:pPr>
              <w:jc w:val="center"/>
              <w:ind w:right="202"/>
              <w:spacing w:after="0"/>
              <w:rPr>
                <w:sz w:val="20"/>
                <w:szCs w:val="20"/>
                <w:color w:val="auto"/>
              </w:rPr>
            </w:pPr>
            <w:r>
              <w:rPr>
                <w:rFonts w:ascii="Arial" w:cs="Arial" w:eastAsia="Arial" w:hAnsi="Arial"/>
                <w:sz w:val="12"/>
                <w:szCs w:val="12"/>
                <w:color w:val="auto"/>
                <w:w w:val="86"/>
              </w:rPr>
              <w:t>11/30/2018</w:t>
            </w:r>
          </w:p>
        </w:tc>
        <w:tc>
          <w:tcPr>
            <w:tcW w:w="2540" w:type="dxa"/>
            <w:vAlign w:val="bottom"/>
            <w:gridSpan w:val="2"/>
          </w:tcPr>
          <w:p>
            <w:pPr>
              <w:jc w:val="center"/>
              <w:ind w:right="360"/>
              <w:spacing w:after="0"/>
              <w:rPr>
                <w:sz w:val="20"/>
                <w:szCs w:val="20"/>
                <w:color w:val="auto"/>
              </w:rPr>
            </w:pPr>
            <w:r>
              <w:rPr>
                <w:rFonts w:ascii="Arial" w:cs="Arial" w:eastAsia="Arial" w:hAnsi="Arial"/>
                <w:sz w:val="12"/>
                <w:szCs w:val="12"/>
                <w:color w:val="auto"/>
                <w:w w:val="86"/>
              </w:rPr>
              <w:t>Healthcare and Pharmaceuticals</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7.58%</w:t>
            </w:r>
          </w:p>
        </w:tc>
        <w:tc>
          <w:tcPr>
            <w:tcW w:w="740" w:type="dxa"/>
            <w:vAlign w:val="bottom"/>
          </w:tcPr>
          <w:p>
            <w:pPr>
              <w:jc w:val="right"/>
              <w:spacing w:after="0"/>
              <w:rPr>
                <w:sz w:val="20"/>
                <w:szCs w:val="20"/>
                <w:color w:val="auto"/>
              </w:rPr>
            </w:pPr>
            <w:r>
              <w:rPr>
                <w:rFonts w:ascii="Arial" w:cs="Arial" w:eastAsia="Arial" w:hAnsi="Arial"/>
                <w:sz w:val="12"/>
                <w:szCs w:val="12"/>
                <w:color w:val="auto"/>
              </w:rPr>
              <w:t>3M L+525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4,954,937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4,946,530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3,220,709</w:t>
            </w:r>
          </w:p>
        </w:tc>
        <w:tc>
          <w:tcPr>
            <w:tcW w:w="100" w:type="dxa"/>
            <w:vAlign w:val="bottom"/>
          </w:tcPr>
          <w:p>
            <w:pPr>
              <w:spacing w:after="0"/>
              <w:rPr>
                <w:sz w:val="12"/>
                <w:szCs w:val="12"/>
                <w:color w:val="auto"/>
              </w:rPr>
            </w:pPr>
          </w:p>
        </w:tc>
      </w:tr>
      <w:tr>
        <w:trPr>
          <w:trHeight w:val="148"/>
        </w:trPr>
        <w:tc>
          <w:tcPr>
            <w:tcW w:w="3120" w:type="dxa"/>
            <w:vAlign w:val="bottom"/>
            <w:shd w:val="clear" w:color="auto" w:fill="CCECFF"/>
          </w:tcPr>
          <w:p>
            <w:pPr>
              <w:spacing w:after="0"/>
              <w:rPr>
                <w:sz w:val="20"/>
                <w:szCs w:val="20"/>
                <w:color w:val="auto"/>
              </w:rPr>
            </w:pPr>
            <w:r>
              <w:rPr>
                <w:rFonts w:ascii="Arial" w:cs="Arial" w:eastAsia="Arial" w:hAnsi="Arial"/>
                <w:sz w:val="12"/>
                <w:szCs w:val="12"/>
                <w:color w:val="auto"/>
              </w:rPr>
              <w:t>Lombart Brothers, Inc.</w:t>
            </w:r>
          </w:p>
        </w:tc>
        <w:tc>
          <w:tcPr>
            <w:tcW w:w="1100" w:type="dxa"/>
            <w:vAlign w:val="bottom"/>
            <w:shd w:val="clear" w:color="auto" w:fill="CCECFF"/>
          </w:tcPr>
          <w:p>
            <w:pPr>
              <w:jc w:val="center"/>
              <w:ind w:right="182"/>
              <w:spacing w:after="0"/>
              <w:rPr>
                <w:sz w:val="20"/>
                <w:szCs w:val="20"/>
                <w:color w:val="auto"/>
              </w:rPr>
            </w:pPr>
            <w:r>
              <w:rPr>
                <w:rFonts w:ascii="Arial" w:cs="Arial" w:eastAsia="Arial" w:hAnsi="Arial"/>
                <w:sz w:val="12"/>
                <w:szCs w:val="12"/>
                <w:color w:val="auto"/>
                <w:w w:val="89"/>
              </w:rPr>
              <w:t>04/13/2022</w:t>
            </w:r>
          </w:p>
        </w:tc>
        <w:tc>
          <w:tcPr>
            <w:tcW w:w="2540" w:type="dxa"/>
            <w:vAlign w:val="bottom"/>
            <w:gridSpan w:val="2"/>
            <w:shd w:val="clear" w:color="auto" w:fill="CCECFF"/>
          </w:tcPr>
          <w:p>
            <w:pPr>
              <w:jc w:val="center"/>
              <w:ind w:right="380"/>
              <w:spacing w:after="0"/>
              <w:rPr>
                <w:sz w:val="20"/>
                <w:szCs w:val="20"/>
                <w:color w:val="auto"/>
              </w:rPr>
            </w:pPr>
            <w:r>
              <w:rPr>
                <w:rFonts w:ascii="Arial" w:cs="Arial" w:eastAsia="Arial" w:hAnsi="Arial"/>
                <w:sz w:val="12"/>
                <w:szCs w:val="12"/>
                <w:color w:val="auto"/>
                <w:w w:val="89"/>
              </w:rPr>
              <w:t>Capital Equipment</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9.08%</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L+675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6,197,292</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6,133,861</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6,166,305</w:t>
            </w:r>
          </w:p>
        </w:tc>
        <w:tc>
          <w:tcPr>
            <w:tcW w:w="100" w:type="dxa"/>
            <w:vAlign w:val="bottom"/>
            <w:shd w:val="clear" w:color="auto" w:fill="CCECFF"/>
          </w:tcPr>
          <w:p>
            <w:pPr>
              <w:spacing w:after="0"/>
              <w:rPr>
                <w:sz w:val="12"/>
                <w:szCs w:val="12"/>
                <w:color w:val="auto"/>
              </w:rPr>
            </w:pPr>
          </w:p>
        </w:tc>
      </w:tr>
      <w:tr>
        <w:trPr>
          <w:trHeight w:val="149"/>
        </w:trPr>
        <w:tc>
          <w:tcPr>
            <w:tcW w:w="3120" w:type="dxa"/>
            <w:vAlign w:val="bottom"/>
          </w:tcPr>
          <w:p>
            <w:pPr>
              <w:spacing w:after="0"/>
              <w:rPr>
                <w:sz w:val="20"/>
                <w:szCs w:val="20"/>
                <w:color w:val="auto"/>
              </w:rPr>
            </w:pPr>
            <w:r>
              <w:rPr>
                <w:rFonts w:ascii="Arial" w:cs="Arial" w:eastAsia="Arial" w:hAnsi="Arial"/>
                <w:sz w:val="12"/>
                <w:szCs w:val="12"/>
                <w:color w:val="auto"/>
              </w:rPr>
              <w:t xml:space="preserve">Lombart Brothers, Inc. (Revolver) </w:t>
            </w:r>
            <w:r>
              <w:rPr>
                <w:rFonts w:ascii="Arial" w:cs="Arial" w:eastAsia="Arial" w:hAnsi="Arial"/>
                <w:sz w:val="9"/>
                <w:szCs w:val="9"/>
                <w:color w:val="auto"/>
              </w:rPr>
              <w:t>(7), (8)</w:t>
            </w:r>
          </w:p>
        </w:tc>
        <w:tc>
          <w:tcPr>
            <w:tcW w:w="1100" w:type="dxa"/>
            <w:vAlign w:val="bottom"/>
          </w:tcPr>
          <w:p>
            <w:pPr>
              <w:jc w:val="center"/>
              <w:ind w:right="182"/>
              <w:spacing w:after="0"/>
              <w:rPr>
                <w:sz w:val="20"/>
                <w:szCs w:val="20"/>
                <w:color w:val="auto"/>
              </w:rPr>
            </w:pPr>
            <w:r>
              <w:rPr>
                <w:rFonts w:ascii="Arial" w:cs="Arial" w:eastAsia="Arial" w:hAnsi="Arial"/>
                <w:sz w:val="12"/>
                <w:szCs w:val="12"/>
                <w:color w:val="auto"/>
                <w:w w:val="89"/>
              </w:rPr>
              <w:t>04/13/2022</w:t>
            </w:r>
          </w:p>
        </w:tc>
        <w:tc>
          <w:tcPr>
            <w:tcW w:w="2540" w:type="dxa"/>
            <w:vAlign w:val="bottom"/>
            <w:gridSpan w:val="2"/>
          </w:tcPr>
          <w:p>
            <w:pPr>
              <w:jc w:val="center"/>
              <w:ind w:right="380"/>
              <w:spacing w:after="0"/>
              <w:rPr>
                <w:sz w:val="20"/>
                <w:szCs w:val="20"/>
                <w:color w:val="auto"/>
              </w:rPr>
            </w:pPr>
            <w:r>
              <w:rPr>
                <w:rFonts w:ascii="Arial" w:cs="Arial" w:eastAsia="Arial" w:hAnsi="Arial"/>
                <w:sz w:val="12"/>
                <w:szCs w:val="12"/>
                <w:color w:val="auto"/>
                <w:w w:val="89"/>
              </w:rPr>
              <w:t>Capital Equipment</w:t>
            </w:r>
          </w:p>
        </w:tc>
        <w:tc>
          <w:tcPr>
            <w:tcW w:w="90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1,238,938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2"/>
                <w:szCs w:val="12"/>
                <w:color w:val="auto"/>
              </w:rPr>
              <w:t>(6,195)</w:t>
            </w:r>
          </w:p>
        </w:tc>
      </w:tr>
      <w:tr>
        <w:trPr>
          <w:trHeight w:val="148"/>
        </w:trPr>
        <w:tc>
          <w:tcPr>
            <w:tcW w:w="3120" w:type="dxa"/>
            <w:vAlign w:val="bottom"/>
            <w:shd w:val="clear" w:color="auto" w:fill="CCECFF"/>
          </w:tcPr>
          <w:p>
            <w:pPr>
              <w:spacing w:after="0"/>
              <w:rPr>
                <w:sz w:val="20"/>
                <w:szCs w:val="20"/>
                <w:color w:val="auto"/>
              </w:rPr>
            </w:pPr>
            <w:r>
              <w:rPr>
                <w:rFonts w:ascii="Arial" w:cs="Arial" w:eastAsia="Arial" w:hAnsi="Arial"/>
                <w:sz w:val="12"/>
                <w:szCs w:val="12"/>
                <w:color w:val="auto"/>
              </w:rPr>
              <w:t>Long’s Drugs Incorporated</w:t>
            </w:r>
          </w:p>
        </w:tc>
        <w:tc>
          <w:tcPr>
            <w:tcW w:w="1100" w:type="dxa"/>
            <w:vAlign w:val="bottom"/>
            <w:shd w:val="clear" w:color="auto" w:fill="CCECFF"/>
          </w:tcPr>
          <w:p>
            <w:pPr>
              <w:jc w:val="center"/>
              <w:ind w:right="182"/>
              <w:spacing w:after="0"/>
              <w:rPr>
                <w:sz w:val="20"/>
                <w:szCs w:val="20"/>
                <w:color w:val="auto"/>
              </w:rPr>
            </w:pPr>
            <w:r>
              <w:rPr>
                <w:rFonts w:ascii="Arial" w:cs="Arial" w:eastAsia="Arial" w:hAnsi="Arial"/>
                <w:sz w:val="12"/>
                <w:szCs w:val="12"/>
                <w:color w:val="auto"/>
                <w:w w:val="89"/>
              </w:rPr>
              <w:t>08/19/2022</w:t>
            </w:r>
          </w:p>
        </w:tc>
        <w:tc>
          <w:tcPr>
            <w:tcW w:w="2540" w:type="dxa"/>
            <w:vAlign w:val="bottom"/>
            <w:gridSpan w:val="2"/>
            <w:shd w:val="clear" w:color="auto" w:fill="CCECFF"/>
          </w:tcPr>
          <w:p>
            <w:pPr>
              <w:jc w:val="center"/>
              <w:ind w:right="360"/>
              <w:spacing w:after="0"/>
              <w:rPr>
                <w:sz w:val="20"/>
                <w:szCs w:val="20"/>
                <w:color w:val="auto"/>
              </w:rPr>
            </w:pPr>
            <w:r>
              <w:rPr>
                <w:rFonts w:ascii="Arial" w:cs="Arial" w:eastAsia="Arial" w:hAnsi="Arial"/>
                <w:sz w:val="12"/>
                <w:szCs w:val="12"/>
                <w:color w:val="auto"/>
                <w:w w:val="86"/>
              </w:rPr>
              <w:t>Healthcare and Pharmaceuticals</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7.05%</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L+500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10,000,000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9,911,196</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9,900,000</w:t>
            </w:r>
          </w:p>
        </w:tc>
        <w:tc>
          <w:tcPr>
            <w:tcW w:w="100" w:type="dxa"/>
            <w:vAlign w:val="bottom"/>
            <w:shd w:val="clear" w:color="auto" w:fill="CCECFF"/>
          </w:tcPr>
          <w:p>
            <w:pPr>
              <w:spacing w:after="0"/>
              <w:rPr>
                <w:sz w:val="12"/>
                <w:szCs w:val="12"/>
                <w:color w:val="auto"/>
              </w:rPr>
            </w:pPr>
          </w:p>
        </w:tc>
      </w:tr>
      <w:tr>
        <w:trPr>
          <w:trHeight w:val="149"/>
        </w:trPr>
        <w:tc>
          <w:tcPr>
            <w:tcW w:w="3120" w:type="dxa"/>
            <w:vAlign w:val="bottom"/>
          </w:tcPr>
          <w:p>
            <w:pPr>
              <w:spacing w:after="0"/>
              <w:rPr>
                <w:sz w:val="20"/>
                <w:szCs w:val="20"/>
                <w:color w:val="auto"/>
              </w:rPr>
            </w:pPr>
            <w:r>
              <w:rPr>
                <w:rFonts w:ascii="Arial" w:cs="Arial" w:eastAsia="Arial" w:hAnsi="Arial"/>
                <w:sz w:val="12"/>
                <w:szCs w:val="12"/>
                <w:color w:val="auto"/>
              </w:rPr>
              <w:t xml:space="preserve">Long’s Drugs Incorporated (Revolver) </w:t>
            </w:r>
            <w:r>
              <w:rPr>
                <w:rFonts w:ascii="Arial" w:cs="Arial" w:eastAsia="Arial" w:hAnsi="Arial"/>
                <w:sz w:val="9"/>
                <w:szCs w:val="9"/>
                <w:color w:val="auto"/>
              </w:rPr>
              <w:t>(7)</w:t>
            </w:r>
          </w:p>
        </w:tc>
        <w:tc>
          <w:tcPr>
            <w:tcW w:w="1100" w:type="dxa"/>
            <w:vAlign w:val="bottom"/>
          </w:tcPr>
          <w:p>
            <w:pPr>
              <w:jc w:val="center"/>
              <w:ind w:right="182"/>
              <w:spacing w:after="0"/>
              <w:rPr>
                <w:sz w:val="20"/>
                <w:szCs w:val="20"/>
                <w:color w:val="auto"/>
              </w:rPr>
            </w:pPr>
            <w:r>
              <w:rPr>
                <w:rFonts w:ascii="Arial" w:cs="Arial" w:eastAsia="Arial" w:hAnsi="Arial"/>
                <w:sz w:val="12"/>
                <w:szCs w:val="12"/>
                <w:color w:val="auto"/>
                <w:w w:val="89"/>
              </w:rPr>
              <w:t>08/19/2022</w:t>
            </w:r>
          </w:p>
        </w:tc>
        <w:tc>
          <w:tcPr>
            <w:tcW w:w="2540" w:type="dxa"/>
            <w:vAlign w:val="bottom"/>
            <w:gridSpan w:val="2"/>
          </w:tcPr>
          <w:p>
            <w:pPr>
              <w:jc w:val="center"/>
              <w:ind w:right="360"/>
              <w:spacing w:after="0"/>
              <w:rPr>
                <w:sz w:val="20"/>
                <w:szCs w:val="20"/>
                <w:color w:val="auto"/>
              </w:rPr>
            </w:pPr>
            <w:r>
              <w:rPr>
                <w:rFonts w:ascii="Arial" w:cs="Arial" w:eastAsia="Arial" w:hAnsi="Arial"/>
                <w:sz w:val="12"/>
                <w:szCs w:val="12"/>
                <w:color w:val="auto"/>
                <w:w w:val="86"/>
              </w:rPr>
              <w:t>Healthcare and Pharmaceuticals</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9.00%</w:t>
            </w:r>
          </w:p>
        </w:tc>
        <w:tc>
          <w:tcPr>
            <w:tcW w:w="740" w:type="dxa"/>
            <w:vAlign w:val="bottom"/>
          </w:tcPr>
          <w:p>
            <w:pPr>
              <w:jc w:val="right"/>
              <w:spacing w:after="0"/>
              <w:rPr>
                <w:sz w:val="20"/>
                <w:szCs w:val="20"/>
                <w:color w:val="auto"/>
              </w:rPr>
            </w:pPr>
            <w:r>
              <w:rPr>
                <w:rFonts w:ascii="Arial" w:cs="Arial" w:eastAsia="Arial" w:hAnsi="Arial"/>
                <w:sz w:val="12"/>
                <w:szCs w:val="12"/>
                <w:color w:val="auto"/>
              </w:rPr>
              <w:t>P+400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300,000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300,000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294,000</w:t>
            </w:r>
          </w:p>
        </w:tc>
        <w:tc>
          <w:tcPr>
            <w:tcW w:w="100" w:type="dxa"/>
            <w:vAlign w:val="bottom"/>
          </w:tcPr>
          <w:p>
            <w:pPr>
              <w:spacing w:after="0"/>
              <w:rPr>
                <w:sz w:val="12"/>
                <w:szCs w:val="12"/>
                <w:color w:val="auto"/>
              </w:rPr>
            </w:pPr>
          </w:p>
        </w:tc>
      </w:tr>
      <w:tr>
        <w:trPr>
          <w:trHeight w:val="148"/>
        </w:trPr>
        <w:tc>
          <w:tcPr>
            <w:tcW w:w="31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Long’s Drugs Incorporated (Revolver) </w:t>
            </w:r>
            <w:r>
              <w:rPr>
                <w:rFonts w:ascii="Arial" w:cs="Arial" w:eastAsia="Arial" w:hAnsi="Arial"/>
                <w:sz w:val="9"/>
                <w:szCs w:val="9"/>
                <w:color w:val="auto"/>
              </w:rPr>
              <w:t>(7), (8)</w:t>
            </w:r>
          </w:p>
        </w:tc>
        <w:tc>
          <w:tcPr>
            <w:tcW w:w="1100" w:type="dxa"/>
            <w:vAlign w:val="bottom"/>
            <w:shd w:val="clear" w:color="auto" w:fill="CCECFF"/>
          </w:tcPr>
          <w:p>
            <w:pPr>
              <w:jc w:val="center"/>
              <w:ind w:right="182"/>
              <w:spacing w:after="0"/>
              <w:rPr>
                <w:sz w:val="20"/>
                <w:szCs w:val="20"/>
                <w:color w:val="auto"/>
              </w:rPr>
            </w:pPr>
            <w:r>
              <w:rPr>
                <w:rFonts w:ascii="Arial" w:cs="Arial" w:eastAsia="Arial" w:hAnsi="Arial"/>
                <w:sz w:val="12"/>
                <w:szCs w:val="12"/>
                <w:color w:val="auto"/>
                <w:w w:val="89"/>
              </w:rPr>
              <w:t>08/19/2022</w:t>
            </w:r>
          </w:p>
        </w:tc>
        <w:tc>
          <w:tcPr>
            <w:tcW w:w="2540" w:type="dxa"/>
            <w:vAlign w:val="bottom"/>
            <w:gridSpan w:val="2"/>
            <w:shd w:val="clear" w:color="auto" w:fill="CCECFF"/>
          </w:tcPr>
          <w:p>
            <w:pPr>
              <w:jc w:val="center"/>
              <w:ind w:right="360"/>
              <w:spacing w:after="0"/>
              <w:rPr>
                <w:sz w:val="20"/>
                <w:szCs w:val="20"/>
                <w:color w:val="auto"/>
              </w:rPr>
            </w:pPr>
            <w:r>
              <w:rPr>
                <w:rFonts w:ascii="Arial" w:cs="Arial" w:eastAsia="Arial" w:hAnsi="Arial"/>
                <w:sz w:val="12"/>
                <w:szCs w:val="12"/>
                <w:color w:val="auto"/>
                <w:w w:val="86"/>
              </w:rPr>
              <w:t>Healthcare and Pharmaceuticals</w:t>
            </w:r>
          </w:p>
        </w:tc>
        <w:tc>
          <w:tcPr>
            <w:tcW w:w="90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2,700,000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CFF"/>
          </w:tcPr>
          <w:p>
            <w:pPr>
              <w:spacing w:after="0"/>
              <w:rPr>
                <w:sz w:val="12"/>
                <w:szCs w:val="12"/>
                <w:color w:val="auto"/>
              </w:rPr>
            </w:pPr>
          </w:p>
        </w:tc>
        <w:tc>
          <w:tcPr>
            <w:tcW w:w="700" w:type="dxa"/>
            <w:vAlign w:val="bottom"/>
            <w:gridSpan w:val="2"/>
            <w:shd w:val="clear" w:color="auto" w:fill="CCECFF"/>
          </w:tcPr>
          <w:p>
            <w:pPr>
              <w:jc w:val="right"/>
              <w:ind w:right="60"/>
              <w:spacing w:after="0"/>
              <w:rPr>
                <w:sz w:val="20"/>
                <w:szCs w:val="20"/>
                <w:color w:val="auto"/>
              </w:rPr>
            </w:pPr>
            <w:r>
              <w:rPr>
                <w:rFonts w:ascii="Arial" w:cs="Arial" w:eastAsia="Arial" w:hAnsi="Arial"/>
                <w:sz w:val="12"/>
                <w:szCs w:val="12"/>
                <w:color w:val="auto"/>
              </w:rPr>
              <w:t>(54,000)</w:t>
            </w:r>
          </w:p>
        </w:tc>
      </w:tr>
      <w:tr>
        <w:trPr>
          <w:trHeight w:val="148"/>
        </w:trPr>
        <w:tc>
          <w:tcPr>
            <w:tcW w:w="3120" w:type="dxa"/>
            <w:vAlign w:val="bottom"/>
          </w:tcPr>
          <w:p>
            <w:pPr>
              <w:spacing w:after="0"/>
              <w:rPr>
                <w:sz w:val="20"/>
                <w:szCs w:val="20"/>
                <w:color w:val="auto"/>
              </w:rPr>
            </w:pPr>
            <w:r>
              <w:rPr>
                <w:rFonts w:ascii="Arial" w:cs="Arial" w:eastAsia="Arial" w:hAnsi="Arial"/>
                <w:sz w:val="12"/>
                <w:szCs w:val="12"/>
                <w:color w:val="auto"/>
              </w:rPr>
              <w:t>LSF9 Atlantis Holdings, LLC</w:t>
            </w:r>
          </w:p>
        </w:tc>
        <w:tc>
          <w:tcPr>
            <w:tcW w:w="1100" w:type="dxa"/>
            <w:vAlign w:val="bottom"/>
          </w:tcPr>
          <w:p>
            <w:pPr>
              <w:jc w:val="center"/>
              <w:ind w:right="182"/>
              <w:spacing w:after="0"/>
              <w:rPr>
                <w:sz w:val="20"/>
                <w:szCs w:val="20"/>
                <w:color w:val="auto"/>
              </w:rPr>
            </w:pPr>
            <w:r>
              <w:rPr>
                <w:rFonts w:ascii="Arial" w:cs="Arial" w:eastAsia="Arial" w:hAnsi="Arial"/>
                <w:sz w:val="12"/>
                <w:szCs w:val="12"/>
                <w:color w:val="auto"/>
                <w:w w:val="89"/>
              </w:rPr>
              <w:t>05/01/2023</w:t>
            </w:r>
          </w:p>
        </w:tc>
        <w:tc>
          <w:tcPr>
            <w:tcW w:w="2540" w:type="dxa"/>
            <w:vAlign w:val="bottom"/>
            <w:gridSpan w:val="2"/>
          </w:tcPr>
          <w:p>
            <w:pPr>
              <w:jc w:val="center"/>
              <w:ind w:right="380"/>
              <w:spacing w:after="0"/>
              <w:rPr>
                <w:sz w:val="20"/>
                <w:szCs w:val="20"/>
                <w:color w:val="auto"/>
              </w:rPr>
            </w:pPr>
            <w:r>
              <w:rPr>
                <w:rFonts w:ascii="Arial" w:cs="Arial" w:eastAsia="Arial" w:hAnsi="Arial"/>
                <w:sz w:val="12"/>
                <w:szCs w:val="12"/>
                <w:color w:val="auto"/>
                <w:w w:val="91"/>
              </w:rPr>
              <w:t>Retail</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8.00%</w:t>
            </w:r>
          </w:p>
        </w:tc>
        <w:tc>
          <w:tcPr>
            <w:tcW w:w="740" w:type="dxa"/>
            <w:vAlign w:val="bottom"/>
          </w:tcPr>
          <w:p>
            <w:pPr>
              <w:jc w:val="right"/>
              <w:spacing w:after="0"/>
              <w:rPr>
                <w:sz w:val="20"/>
                <w:szCs w:val="20"/>
                <w:color w:val="auto"/>
              </w:rPr>
            </w:pPr>
            <w:r>
              <w:rPr>
                <w:rFonts w:ascii="Arial" w:cs="Arial" w:eastAsia="Arial" w:hAnsi="Arial"/>
                <w:sz w:val="12"/>
                <w:szCs w:val="12"/>
                <w:color w:val="auto"/>
              </w:rPr>
              <w:t>1M L+600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14,137,500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14,017,811</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w w:val="93"/>
              </w:rPr>
              <w:t>13,960,781</w:t>
            </w:r>
          </w:p>
        </w:tc>
        <w:tc>
          <w:tcPr>
            <w:tcW w:w="100" w:type="dxa"/>
            <w:vAlign w:val="bottom"/>
          </w:tcPr>
          <w:p>
            <w:pPr>
              <w:spacing w:after="0"/>
              <w:rPr>
                <w:sz w:val="12"/>
                <w:szCs w:val="12"/>
                <w:color w:val="auto"/>
              </w:rPr>
            </w:pPr>
          </w:p>
        </w:tc>
      </w:tr>
      <w:tr>
        <w:trPr>
          <w:trHeight w:val="149"/>
        </w:trPr>
        <w:tc>
          <w:tcPr>
            <w:tcW w:w="31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Manna Pro Products, LLC </w:t>
            </w:r>
            <w:r>
              <w:rPr>
                <w:rFonts w:ascii="Arial" w:cs="Arial" w:eastAsia="Arial" w:hAnsi="Arial"/>
                <w:sz w:val="9"/>
                <w:szCs w:val="9"/>
                <w:color w:val="auto"/>
              </w:rPr>
              <w:t>(7)</w:t>
            </w:r>
          </w:p>
        </w:tc>
        <w:tc>
          <w:tcPr>
            <w:tcW w:w="1100" w:type="dxa"/>
            <w:vAlign w:val="bottom"/>
            <w:shd w:val="clear" w:color="auto" w:fill="CCECFF"/>
          </w:tcPr>
          <w:p>
            <w:pPr>
              <w:jc w:val="center"/>
              <w:ind w:right="182"/>
              <w:spacing w:after="0"/>
              <w:rPr>
                <w:sz w:val="20"/>
                <w:szCs w:val="20"/>
                <w:color w:val="auto"/>
              </w:rPr>
            </w:pPr>
            <w:r>
              <w:rPr>
                <w:rFonts w:ascii="Arial" w:cs="Arial" w:eastAsia="Arial" w:hAnsi="Arial"/>
                <w:sz w:val="12"/>
                <w:szCs w:val="12"/>
                <w:color w:val="auto"/>
                <w:w w:val="89"/>
              </w:rPr>
              <w:t>12/08/2023</w:t>
            </w:r>
          </w:p>
        </w:tc>
        <w:tc>
          <w:tcPr>
            <w:tcW w:w="2540" w:type="dxa"/>
            <w:vAlign w:val="bottom"/>
            <w:gridSpan w:val="2"/>
            <w:shd w:val="clear" w:color="auto" w:fill="CCECFF"/>
          </w:tcPr>
          <w:p>
            <w:pPr>
              <w:jc w:val="center"/>
              <w:ind w:right="360"/>
              <w:spacing w:after="0"/>
              <w:rPr>
                <w:sz w:val="20"/>
                <w:szCs w:val="20"/>
                <w:color w:val="auto"/>
              </w:rPr>
            </w:pPr>
            <w:r>
              <w:rPr>
                <w:rFonts w:ascii="Arial" w:cs="Arial" w:eastAsia="Arial" w:hAnsi="Arial"/>
                <w:sz w:val="12"/>
                <w:szCs w:val="12"/>
                <w:color w:val="auto"/>
                <w:w w:val="88"/>
              </w:rPr>
              <w:t>Consumer Goods: Non-Durable</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8.06%</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L+600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6,997,500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6,920,870</w:t>
            </w: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6,983,419</w:t>
            </w:r>
          </w:p>
        </w:tc>
        <w:tc>
          <w:tcPr>
            <w:tcW w:w="100" w:type="dxa"/>
            <w:vAlign w:val="bottom"/>
            <w:shd w:val="clear" w:color="auto" w:fill="CCECFF"/>
          </w:tcPr>
          <w:p>
            <w:pPr>
              <w:spacing w:after="0"/>
              <w:rPr>
                <w:sz w:val="12"/>
                <w:szCs w:val="12"/>
                <w:color w:val="auto"/>
              </w:rPr>
            </w:pPr>
          </w:p>
        </w:tc>
      </w:tr>
      <w:tr>
        <w:trPr>
          <w:trHeight w:val="156"/>
        </w:trPr>
        <w:tc>
          <w:tcPr>
            <w:tcW w:w="3120" w:type="dxa"/>
            <w:vAlign w:val="bottom"/>
          </w:tcPr>
          <w:p>
            <w:pPr>
              <w:spacing w:after="0"/>
              <w:rPr>
                <w:sz w:val="20"/>
                <w:szCs w:val="20"/>
                <w:color w:val="auto"/>
              </w:rPr>
            </w:pPr>
            <w:r>
              <w:rPr>
                <w:rFonts w:ascii="Arial" w:cs="Arial" w:eastAsia="Arial" w:hAnsi="Arial"/>
                <w:sz w:val="12"/>
                <w:szCs w:val="12"/>
                <w:color w:val="auto"/>
              </w:rPr>
              <w:t xml:space="preserve">Manna Pro Products, LLC </w:t>
            </w:r>
            <w:r>
              <w:rPr>
                <w:rFonts w:ascii="Arial" w:cs="Arial" w:eastAsia="Arial" w:hAnsi="Arial"/>
                <w:sz w:val="9"/>
                <w:szCs w:val="9"/>
                <w:color w:val="auto"/>
              </w:rPr>
              <w:t>(7), (8)</w:t>
            </w:r>
          </w:p>
        </w:tc>
        <w:tc>
          <w:tcPr>
            <w:tcW w:w="1100" w:type="dxa"/>
            <w:vAlign w:val="bottom"/>
          </w:tcPr>
          <w:p>
            <w:pPr>
              <w:jc w:val="center"/>
              <w:ind w:right="182"/>
              <w:spacing w:after="0"/>
              <w:rPr>
                <w:sz w:val="20"/>
                <w:szCs w:val="20"/>
                <w:color w:val="auto"/>
              </w:rPr>
            </w:pPr>
            <w:r>
              <w:rPr>
                <w:rFonts w:ascii="Arial" w:cs="Arial" w:eastAsia="Arial" w:hAnsi="Arial"/>
                <w:sz w:val="12"/>
                <w:szCs w:val="12"/>
                <w:color w:val="auto"/>
                <w:w w:val="89"/>
              </w:rPr>
              <w:t>12/08/2023</w:t>
            </w:r>
          </w:p>
        </w:tc>
        <w:tc>
          <w:tcPr>
            <w:tcW w:w="2540" w:type="dxa"/>
            <w:vAlign w:val="bottom"/>
            <w:gridSpan w:val="2"/>
          </w:tcPr>
          <w:p>
            <w:pPr>
              <w:jc w:val="center"/>
              <w:ind w:right="360"/>
              <w:spacing w:after="0"/>
              <w:rPr>
                <w:sz w:val="20"/>
                <w:szCs w:val="20"/>
                <w:color w:val="auto"/>
              </w:rPr>
            </w:pPr>
            <w:r>
              <w:rPr>
                <w:rFonts w:ascii="Arial" w:cs="Arial" w:eastAsia="Arial" w:hAnsi="Arial"/>
                <w:sz w:val="12"/>
                <w:szCs w:val="12"/>
                <w:color w:val="auto"/>
                <w:w w:val="88"/>
              </w:rPr>
              <w:t>Consumer Goods: Non-Durable</w:t>
            </w:r>
          </w:p>
        </w:tc>
        <w:tc>
          <w:tcPr>
            <w:tcW w:w="90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975,000</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2"/>
                <w:szCs w:val="12"/>
                <w:color w:val="auto"/>
              </w:rPr>
              <w:t>(1,962)</w:t>
            </w:r>
          </w:p>
        </w:tc>
      </w:tr>
    </w:tbl>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line="221" w:lineRule="auto"/>
        <w:rPr>
          <w:sz w:val="20"/>
          <w:szCs w:val="20"/>
          <w:color w:val="auto"/>
        </w:rPr>
      </w:pPr>
      <w:r>
        <w:rPr>
          <w:rFonts w:ascii="Arial" w:cs="Arial" w:eastAsia="Arial" w:hAnsi="Arial"/>
          <w:sz w:val="14"/>
          <w:szCs w:val="14"/>
          <w:b w:val="1"/>
          <w:bCs w:val="1"/>
          <w:color w:val="auto"/>
        </w:rPr>
        <w:t>JUNE 30, 2018</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jc w:val="center"/>
              <w:spacing w:after="0"/>
              <w:rPr>
                <w:sz w:val="20"/>
                <w:szCs w:val="20"/>
                <w:color w:val="auto"/>
              </w:rPr>
            </w:pPr>
            <w:r>
              <w:rPr>
                <w:rFonts w:ascii="Arial" w:cs="Arial" w:eastAsia="Arial" w:hAnsi="Arial"/>
                <w:sz w:val="12"/>
                <w:szCs w:val="12"/>
                <w:b w:val="1"/>
                <w:bCs w:val="1"/>
                <w:color w:val="auto"/>
                <w:w w:val="85"/>
              </w:rPr>
              <w:t>Basis Point</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3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8"/>
              </w:rPr>
              <w:t>Spread</w:t>
            </w: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right"/>
              <w:ind w:right="420"/>
              <w:spacing w:after="0" w:line="135" w:lineRule="exact"/>
              <w:rPr>
                <w:sz w:val="20"/>
                <w:szCs w:val="20"/>
                <w:color w:val="auto"/>
              </w:rPr>
            </w:pPr>
            <w:r>
              <w:rPr>
                <w:rFonts w:ascii="Arial" w:cs="Arial" w:eastAsia="Arial" w:hAnsi="Arial"/>
                <w:sz w:val="12"/>
                <w:szCs w:val="12"/>
                <w:b w:val="1"/>
                <w:bCs w:val="1"/>
                <w:color w:val="auto"/>
              </w:rPr>
              <w:t>Current</w:t>
            </w:r>
          </w:p>
        </w:tc>
        <w:tc>
          <w:tcPr>
            <w:tcW w:w="7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7"/>
              </w:rPr>
              <w:t>Above</w:t>
            </w:r>
          </w:p>
        </w:tc>
        <w:tc>
          <w:tcPr>
            <w:tcW w:w="220" w:type="dxa"/>
            <w:vAlign w:val="bottom"/>
          </w:tcPr>
          <w:p>
            <w:pPr>
              <w:spacing w:after="0"/>
              <w:rPr>
                <w:sz w:val="11"/>
                <w:szCs w:val="11"/>
                <w:color w:val="auto"/>
              </w:rPr>
            </w:pPr>
          </w:p>
        </w:tc>
        <w:tc>
          <w:tcPr>
            <w:tcW w:w="680" w:type="dxa"/>
            <w:vAlign w:val="bottom"/>
          </w:tcPr>
          <w:p>
            <w:pPr>
              <w:jc w:val="right"/>
              <w:ind w:right="162"/>
              <w:spacing w:after="0" w:line="135" w:lineRule="exact"/>
              <w:rPr>
                <w:sz w:val="20"/>
                <w:szCs w:val="20"/>
                <w:color w:val="auto"/>
              </w:rPr>
            </w:pPr>
            <w:r>
              <w:rPr>
                <w:rFonts w:ascii="Arial" w:cs="Arial" w:eastAsia="Arial" w:hAnsi="Arial"/>
                <w:sz w:val="12"/>
                <w:szCs w:val="12"/>
                <w:b w:val="1"/>
                <w:bCs w:val="1"/>
                <w:color w:val="auto"/>
              </w:rPr>
              <w:t>Par /</w:t>
            </w: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3"/>
        </w:trPr>
        <w:tc>
          <w:tcPr>
            <w:tcW w:w="30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Issuer Name</w:t>
            </w:r>
          </w:p>
        </w:tc>
        <w:tc>
          <w:tcPr>
            <w:tcW w:w="120" w:type="dxa"/>
            <w:vAlign w:val="bottom"/>
            <w:tcBorders>
              <w:bottom w:val="single" w:sz="8" w:color="CCECFF"/>
            </w:tcBorders>
          </w:tcPr>
          <w:p>
            <w:pPr>
              <w:spacing w:after="0"/>
              <w:rPr>
                <w:sz w:val="12"/>
                <w:szCs w:val="12"/>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8"/>
              </w:rPr>
              <w:t>Maturity</w:t>
            </w:r>
          </w:p>
        </w:tc>
        <w:tc>
          <w:tcPr>
            <w:tcW w:w="120" w:type="dxa"/>
            <w:vAlign w:val="bottom"/>
            <w:tcBorders>
              <w:bottom w:val="single" w:sz="8" w:color="CCECFF"/>
            </w:tcBorders>
          </w:tcPr>
          <w:p>
            <w:pPr>
              <w:spacing w:after="0"/>
              <w:rPr>
                <w:sz w:val="12"/>
                <w:szCs w:val="12"/>
                <w:color w:val="auto"/>
              </w:rPr>
            </w:pPr>
          </w:p>
        </w:tc>
        <w:tc>
          <w:tcPr>
            <w:tcW w:w="26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8"/>
              </w:rPr>
              <w:t>Industry</w:t>
            </w:r>
          </w:p>
        </w:tc>
        <w:tc>
          <w:tcPr>
            <w:tcW w:w="120" w:type="dxa"/>
            <w:vAlign w:val="bottom"/>
            <w:tcBorders>
              <w:bottom w:val="single" w:sz="8" w:color="CCECFF"/>
            </w:tcBorders>
          </w:tcPr>
          <w:p>
            <w:pPr>
              <w:spacing w:after="0"/>
              <w:rPr>
                <w:sz w:val="12"/>
                <w:szCs w:val="12"/>
                <w:color w:val="auto"/>
              </w:rPr>
            </w:pPr>
          </w:p>
        </w:tc>
        <w:tc>
          <w:tcPr>
            <w:tcW w:w="68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b w:val="1"/>
                <w:bCs w:val="1"/>
                <w:color w:val="auto"/>
              </w:rPr>
              <w:t>Coupon</w:t>
            </w:r>
          </w:p>
        </w:tc>
        <w:tc>
          <w:tcPr>
            <w:tcW w:w="280" w:type="dxa"/>
            <w:vAlign w:val="bottom"/>
            <w:tcBorders>
              <w:bottom w:val="single" w:sz="8" w:color="CCECFF"/>
            </w:tcBorders>
          </w:tcPr>
          <w:p>
            <w:pPr>
              <w:spacing w:after="0"/>
              <w:rPr>
                <w:sz w:val="12"/>
                <w:szCs w:val="12"/>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 xml:space="preserve">Index </w:t>
            </w:r>
            <w:r>
              <w:rPr>
                <w:rFonts w:ascii="Arial" w:cs="Arial" w:eastAsia="Arial" w:hAnsi="Arial"/>
                <w:sz w:val="9"/>
                <w:szCs w:val="9"/>
                <w:b w:val="1"/>
                <w:bCs w:val="1"/>
                <w:color w:val="auto"/>
                <w:w w:val="96"/>
              </w:rPr>
              <w:t>(1)</w:t>
            </w:r>
          </w:p>
        </w:tc>
        <w:tc>
          <w:tcPr>
            <w:tcW w:w="220" w:type="dxa"/>
            <w:vAlign w:val="bottom"/>
            <w:tcBorders>
              <w:bottom w:val="single" w:sz="8" w:color="CCECFF"/>
            </w:tcBorders>
          </w:tcPr>
          <w:p>
            <w:pPr>
              <w:spacing w:after="0"/>
              <w:rPr>
                <w:sz w:val="12"/>
                <w:szCs w:val="12"/>
                <w:color w:val="auto"/>
              </w:rPr>
            </w:pPr>
          </w:p>
        </w:tc>
        <w:tc>
          <w:tcPr>
            <w:tcW w:w="680" w:type="dxa"/>
            <w:vAlign w:val="bottom"/>
            <w:tcBorders>
              <w:bottom w:val="single" w:sz="8" w:color="auto"/>
            </w:tcBorders>
          </w:tcPr>
          <w:p>
            <w:pPr>
              <w:jc w:val="right"/>
              <w:ind w:right="122"/>
              <w:spacing w:after="0"/>
              <w:rPr>
                <w:sz w:val="20"/>
                <w:szCs w:val="20"/>
                <w:color w:val="auto"/>
              </w:rPr>
            </w:pPr>
            <w:r>
              <w:rPr>
                <w:rFonts w:ascii="Arial" w:cs="Arial" w:eastAsia="Arial" w:hAnsi="Arial"/>
                <w:sz w:val="12"/>
                <w:szCs w:val="12"/>
                <w:b w:val="1"/>
                <w:bCs w:val="1"/>
                <w:color w:val="auto"/>
              </w:rPr>
              <w:t>Shares</w:t>
            </w:r>
          </w:p>
        </w:tc>
        <w:tc>
          <w:tcPr>
            <w:tcW w:w="240" w:type="dxa"/>
            <w:vAlign w:val="bottom"/>
            <w:tcBorders>
              <w:bottom w:val="single" w:sz="8" w:color="CCECFF"/>
            </w:tcBorders>
          </w:tcPr>
          <w:p>
            <w:pPr>
              <w:spacing w:after="0"/>
              <w:rPr>
                <w:sz w:val="12"/>
                <w:szCs w:val="12"/>
                <w:color w:val="auto"/>
              </w:rPr>
            </w:pPr>
          </w:p>
        </w:tc>
        <w:tc>
          <w:tcPr>
            <w:tcW w:w="70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b w:val="1"/>
                <w:bCs w:val="1"/>
                <w:color w:val="auto"/>
              </w:rPr>
              <w:t>Cost</w:t>
            </w:r>
          </w:p>
        </w:tc>
        <w:tc>
          <w:tcPr>
            <w:tcW w:w="240" w:type="dxa"/>
            <w:vAlign w:val="bottom"/>
            <w:tcBorders>
              <w:bottom w:val="single" w:sz="8" w:color="CCECFF"/>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1"/>
              </w:rPr>
              <w:t xml:space="preserve">Fair Value </w:t>
            </w:r>
            <w:r>
              <w:rPr>
                <w:rFonts w:ascii="Arial" w:cs="Arial" w:eastAsia="Arial" w:hAnsi="Arial"/>
                <w:sz w:val="9"/>
                <w:szCs w:val="9"/>
                <w:b w:val="1"/>
                <w:bCs w:val="1"/>
                <w:color w:val="auto"/>
                <w:w w:val="91"/>
              </w:rPr>
              <w:t>(2)</w:t>
            </w:r>
          </w:p>
        </w:tc>
        <w:tc>
          <w:tcPr>
            <w:tcW w:w="100" w:type="dxa"/>
            <w:vAlign w:val="bottom"/>
            <w:tcBorders>
              <w:bottom w:val="single" w:sz="8" w:color="CCECFF"/>
            </w:tcBorders>
          </w:tcPr>
          <w:p>
            <w:pPr>
              <w:spacing w:after="0"/>
              <w:rPr>
                <w:sz w:val="12"/>
                <w:szCs w:val="12"/>
                <w:color w:val="auto"/>
              </w:rPr>
            </w:pPr>
          </w:p>
        </w:tc>
      </w:tr>
      <w:tr>
        <w:trPr>
          <w:trHeight w:val="142"/>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Marketplace Events LLC</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01/27/2021</w:t>
            </w:r>
          </w:p>
        </w:tc>
        <w:tc>
          <w:tcPr>
            <w:tcW w:w="12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90"/>
              </w:rPr>
              <w:t>Media: Diversified and Production</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7.58%</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L+525</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3,351,825</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   3,318,636</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   3,351,825</w:t>
            </w:r>
          </w:p>
        </w:tc>
        <w:tc>
          <w:tcPr>
            <w:tcW w:w="100" w:type="dxa"/>
            <w:vAlign w:val="bottom"/>
            <w:shd w:val="clear" w:color="auto" w:fill="CCECFF"/>
          </w:tcPr>
          <w:p>
            <w:pPr>
              <w:spacing w:after="0"/>
              <w:rPr>
                <w:sz w:val="12"/>
                <w:szCs w:val="12"/>
                <w:color w:val="auto"/>
              </w:rPr>
            </w:pPr>
          </w:p>
        </w:tc>
      </w:tr>
      <w:tr>
        <w:trPr>
          <w:trHeight w:val="149"/>
        </w:trPr>
        <w:tc>
          <w:tcPr>
            <w:tcW w:w="3000" w:type="dxa"/>
            <w:vAlign w:val="bottom"/>
          </w:tcPr>
          <w:p>
            <w:pPr>
              <w:spacing w:after="0"/>
              <w:rPr>
                <w:sz w:val="20"/>
                <w:szCs w:val="20"/>
                <w:color w:val="auto"/>
              </w:rPr>
            </w:pPr>
            <w:r>
              <w:rPr>
                <w:rFonts w:ascii="Arial" w:cs="Arial" w:eastAsia="Arial" w:hAnsi="Arial"/>
                <w:sz w:val="12"/>
                <w:szCs w:val="12"/>
                <w:color w:val="auto"/>
              </w:rPr>
              <w:t xml:space="preserve">Marketplace Events LLC </w:t>
            </w:r>
            <w:r>
              <w:rPr>
                <w:rFonts w:ascii="Arial" w:cs="Arial" w:eastAsia="Arial" w:hAnsi="Arial"/>
                <w:sz w:val="9"/>
                <w:szCs w:val="9"/>
                <w:color w:val="auto"/>
              </w:rPr>
              <w:t>(10)</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01/27/2021</w:t>
            </w:r>
          </w:p>
        </w:tc>
        <w:tc>
          <w:tcPr>
            <w:tcW w:w="120" w:type="dxa"/>
            <w:vAlign w:val="bottom"/>
          </w:tcPr>
          <w:p>
            <w:pPr>
              <w:spacing w:after="0"/>
              <w:rPr>
                <w:sz w:val="12"/>
                <w:szCs w:val="12"/>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2"/>
                <w:szCs w:val="12"/>
                <w:color w:val="auto"/>
                <w:w w:val="90"/>
              </w:rPr>
              <w:t>Media: Diversified and Production</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6.89%</w:t>
            </w:r>
          </w:p>
        </w:tc>
        <w:tc>
          <w:tcPr>
            <w:tcW w:w="740" w:type="dxa"/>
            <w:vAlign w:val="bottom"/>
          </w:tcPr>
          <w:p>
            <w:pPr>
              <w:jc w:val="right"/>
              <w:spacing w:after="0"/>
              <w:rPr>
                <w:sz w:val="20"/>
                <w:szCs w:val="20"/>
                <w:color w:val="auto"/>
              </w:rPr>
            </w:pPr>
            <w:r>
              <w:rPr>
                <w:rFonts w:ascii="Arial" w:cs="Arial" w:eastAsia="Arial" w:hAnsi="Arial"/>
                <w:sz w:val="12"/>
                <w:szCs w:val="12"/>
                <w:color w:val="auto"/>
              </w:rPr>
              <w:t>P+275</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C$  16,516,789</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11,618,391</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12,555,997</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Marketplace Events LLC (Revolver) </w:t>
            </w:r>
            <w:r>
              <w:rPr>
                <w:rFonts w:ascii="Arial" w:cs="Arial" w:eastAsia="Arial" w:hAnsi="Arial"/>
                <w:sz w:val="9"/>
                <w:szCs w:val="9"/>
                <w:color w:val="auto"/>
              </w:rPr>
              <w:t>(7)</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01/27/2021</w:t>
            </w:r>
          </w:p>
        </w:tc>
        <w:tc>
          <w:tcPr>
            <w:tcW w:w="12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90"/>
              </w:rPr>
              <w:t>Media: Diversified and Production</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7.75%</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P+275</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1,481,752</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1,481,752</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1,481,752</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 xml:space="preserve">Marketplace Events LLC (Revolver) </w:t>
            </w:r>
            <w:r>
              <w:rPr>
                <w:rFonts w:ascii="Arial" w:cs="Arial" w:eastAsia="Arial" w:hAnsi="Arial"/>
                <w:sz w:val="9"/>
                <w:szCs w:val="9"/>
                <w:color w:val="auto"/>
              </w:rPr>
              <w:t>(7), (8)</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01/27/2021</w:t>
            </w:r>
          </w:p>
        </w:tc>
        <w:tc>
          <w:tcPr>
            <w:tcW w:w="120" w:type="dxa"/>
            <w:vAlign w:val="bottom"/>
          </w:tcPr>
          <w:p>
            <w:pPr>
              <w:spacing w:after="0"/>
              <w:rPr>
                <w:sz w:val="12"/>
                <w:szCs w:val="12"/>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2"/>
                <w:szCs w:val="12"/>
                <w:color w:val="auto"/>
                <w:w w:val="90"/>
              </w:rPr>
              <w:t>Media: Diversified and Production</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221,411</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Mission Critical Electronics, Inc. (Revolver) </w:t>
            </w:r>
            <w:r>
              <w:rPr>
                <w:rFonts w:ascii="Arial" w:cs="Arial" w:eastAsia="Arial" w:hAnsi="Arial"/>
                <w:sz w:val="9"/>
                <w:szCs w:val="9"/>
                <w:color w:val="auto"/>
              </w:rPr>
              <w:t>(7), (8)</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09/28/2021</w:t>
            </w:r>
          </w:p>
        </w:tc>
        <w:tc>
          <w:tcPr>
            <w:tcW w:w="12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9"/>
              </w:rPr>
              <w:t>Capital Equipment</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883,392</w:t>
            </w: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1060" w:type="dxa"/>
            <w:vAlign w:val="bottom"/>
            <w:gridSpan w:val="3"/>
            <w:shd w:val="clear" w:color="auto" w:fill="CCECFF"/>
          </w:tcPr>
          <w:p>
            <w:pPr>
              <w:jc w:val="right"/>
              <w:ind w:right="60"/>
              <w:spacing w:after="0"/>
              <w:rPr>
                <w:sz w:val="20"/>
                <w:szCs w:val="20"/>
                <w:color w:val="auto"/>
              </w:rPr>
            </w:pPr>
            <w:r>
              <w:rPr>
                <w:rFonts w:ascii="Arial" w:cs="Arial" w:eastAsia="Arial" w:hAnsi="Arial"/>
                <w:sz w:val="12"/>
                <w:szCs w:val="12"/>
                <w:color w:val="auto"/>
              </w:rPr>
              <w:t>(1,480)</w:t>
            </w: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Montreign Operating Company, LLC</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01/24/2023</w:t>
            </w:r>
          </w:p>
        </w:tc>
        <w:tc>
          <w:tcPr>
            <w:tcW w:w="120" w:type="dxa"/>
            <w:vAlign w:val="bottom"/>
          </w:tcPr>
          <w:p>
            <w:pPr>
              <w:spacing w:after="0"/>
              <w:rPr>
                <w:sz w:val="12"/>
                <w:szCs w:val="12"/>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2"/>
                <w:szCs w:val="12"/>
                <w:color w:val="auto"/>
                <w:w w:val="88"/>
              </w:rPr>
              <w:t>Hotel, Gaming and Leisure</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10.34%</w:t>
            </w:r>
          </w:p>
        </w:tc>
        <w:tc>
          <w:tcPr>
            <w:tcW w:w="740" w:type="dxa"/>
            <w:vAlign w:val="bottom"/>
          </w:tcPr>
          <w:p>
            <w:pPr>
              <w:jc w:val="right"/>
              <w:spacing w:after="0"/>
              <w:rPr>
                <w:sz w:val="20"/>
                <w:szCs w:val="20"/>
                <w:color w:val="auto"/>
              </w:rPr>
            </w:pPr>
            <w:r>
              <w:rPr>
                <w:rFonts w:ascii="Arial" w:cs="Arial" w:eastAsia="Arial" w:hAnsi="Arial"/>
                <w:sz w:val="12"/>
                <w:szCs w:val="12"/>
                <w:color w:val="auto"/>
              </w:rPr>
              <w:t>1M L+825</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26,229,135</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26,603,676</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25,442,261</w:t>
            </w:r>
          </w:p>
        </w:tc>
        <w:tc>
          <w:tcPr>
            <w:tcW w:w="100" w:type="dxa"/>
            <w:vAlign w:val="bottom"/>
          </w:tcPr>
          <w:p>
            <w:pPr>
              <w:spacing w:after="0"/>
              <w:rPr>
                <w:sz w:val="12"/>
                <w:szCs w:val="12"/>
                <w:color w:val="auto"/>
              </w:rPr>
            </w:pPr>
          </w:p>
        </w:tc>
      </w:tr>
      <w:tr>
        <w:trPr>
          <w:trHeight w:val="149"/>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Morphe, LLC</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02/10/2023</w:t>
            </w:r>
          </w:p>
        </w:tc>
        <w:tc>
          <w:tcPr>
            <w:tcW w:w="12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8"/>
              </w:rPr>
              <w:t>Consumer Goods: Non-Durable</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8.33%</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L+600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25,418,750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24,985,195</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25,291,656</w:t>
            </w:r>
          </w:p>
        </w:tc>
        <w:tc>
          <w:tcPr>
            <w:tcW w:w="100" w:type="dxa"/>
            <w:vAlign w:val="bottom"/>
            <w:shd w:val="clear" w:color="auto" w:fill="CCECFF"/>
          </w:tcPr>
          <w:p>
            <w:pPr>
              <w:spacing w:after="0"/>
              <w:rPr>
                <w:sz w:val="12"/>
                <w:szCs w:val="12"/>
                <w:color w:val="auto"/>
              </w:rPr>
            </w:pPr>
          </w:p>
        </w:tc>
      </w:tr>
      <w:tr>
        <w:trPr>
          <w:trHeight w:val="155"/>
        </w:trPr>
        <w:tc>
          <w:tcPr>
            <w:tcW w:w="3000" w:type="dxa"/>
            <w:vAlign w:val="bottom"/>
          </w:tcPr>
          <w:p>
            <w:pPr>
              <w:spacing w:after="0"/>
              <w:rPr>
                <w:sz w:val="20"/>
                <w:szCs w:val="20"/>
                <w:color w:val="auto"/>
              </w:rPr>
            </w:pPr>
            <w:r>
              <w:rPr>
                <w:rFonts w:ascii="Arial" w:cs="Arial" w:eastAsia="Arial" w:hAnsi="Arial"/>
                <w:sz w:val="12"/>
                <w:szCs w:val="12"/>
                <w:color w:val="auto"/>
              </w:rPr>
              <w:t>New Trident HoldCorp, Inc.</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08/01/2022</w:t>
            </w:r>
          </w:p>
        </w:tc>
        <w:tc>
          <w:tcPr>
            <w:tcW w:w="120" w:type="dxa"/>
            <w:vAlign w:val="bottom"/>
          </w:tcPr>
          <w:p>
            <w:pPr>
              <w:spacing w:after="0"/>
              <w:rPr>
                <w:sz w:val="13"/>
                <w:szCs w:val="13"/>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8.09%</w:t>
            </w:r>
          </w:p>
        </w:tc>
        <w:tc>
          <w:tcPr>
            <w:tcW w:w="740" w:type="dxa"/>
            <w:vAlign w:val="bottom"/>
          </w:tcPr>
          <w:p>
            <w:pPr>
              <w:jc w:val="right"/>
              <w:spacing w:after="0"/>
              <w:rPr>
                <w:sz w:val="20"/>
                <w:szCs w:val="20"/>
                <w:color w:val="auto"/>
              </w:rPr>
            </w:pPr>
            <w:r>
              <w:rPr>
                <w:rFonts w:ascii="Arial" w:cs="Arial" w:eastAsia="Arial" w:hAnsi="Arial"/>
                <w:sz w:val="12"/>
                <w:szCs w:val="12"/>
                <w:color w:val="auto"/>
              </w:rPr>
              <w:t>1M L+600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7,044,891</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6,975,189</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5,988,157</w:t>
            </w:r>
          </w:p>
        </w:tc>
        <w:tc>
          <w:tcPr>
            <w:tcW w:w="100" w:type="dxa"/>
            <w:vAlign w:val="bottom"/>
          </w:tcPr>
          <w:p>
            <w:pPr>
              <w:spacing w:after="0"/>
              <w:rPr>
                <w:sz w:val="13"/>
                <w:szCs w:val="13"/>
                <w:color w:val="auto"/>
              </w:rPr>
            </w:pPr>
          </w:p>
        </w:tc>
      </w:tr>
      <w:tr>
        <w:trPr>
          <w:trHeight w:val="142"/>
        </w:trPr>
        <w:tc>
          <w:tcPr>
            <w:tcW w:w="3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(PIK 3.00%)</w:t>
            </w: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Olde Thompson, LLC</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05/14/2024</w:t>
            </w:r>
          </w:p>
        </w:tc>
        <w:tc>
          <w:tcPr>
            <w:tcW w:w="12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6.56%</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L+450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1,857,143</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1,838,571</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1,838,571</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 xml:space="preserve">Olde Thompson, LLC - Revolver </w:t>
            </w:r>
            <w:r>
              <w:rPr>
                <w:rFonts w:ascii="Arial" w:cs="Arial" w:eastAsia="Arial" w:hAnsi="Arial"/>
                <w:sz w:val="9"/>
                <w:szCs w:val="9"/>
                <w:color w:val="auto"/>
              </w:rPr>
              <w:t>(7)</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05/14/2024</w:t>
            </w:r>
          </w:p>
        </w:tc>
        <w:tc>
          <w:tcPr>
            <w:tcW w:w="120" w:type="dxa"/>
            <w:vAlign w:val="bottom"/>
          </w:tcPr>
          <w:p>
            <w:pPr>
              <w:spacing w:after="0"/>
              <w:rPr>
                <w:sz w:val="12"/>
                <w:szCs w:val="12"/>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6.56%</w:t>
            </w:r>
          </w:p>
        </w:tc>
        <w:tc>
          <w:tcPr>
            <w:tcW w:w="740" w:type="dxa"/>
            <w:vAlign w:val="bottom"/>
          </w:tcPr>
          <w:p>
            <w:pPr>
              <w:jc w:val="right"/>
              <w:spacing w:after="0"/>
              <w:rPr>
                <w:sz w:val="20"/>
                <w:szCs w:val="20"/>
                <w:color w:val="auto"/>
              </w:rPr>
            </w:pPr>
            <w:r>
              <w:rPr>
                <w:rFonts w:ascii="Arial" w:cs="Arial" w:eastAsia="Arial" w:hAnsi="Arial"/>
                <w:sz w:val="12"/>
                <w:szCs w:val="12"/>
                <w:color w:val="auto"/>
              </w:rPr>
              <w:t>1M L+450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660,714</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660,714</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654,107</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Olde Thompson, LLC - Revolver </w:t>
            </w:r>
            <w:r>
              <w:rPr>
                <w:rFonts w:ascii="Arial" w:cs="Arial" w:eastAsia="Arial" w:hAnsi="Arial"/>
                <w:sz w:val="9"/>
                <w:szCs w:val="9"/>
                <w:color w:val="auto"/>
              </w:rPr>
              <w:t>(7), (8)</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05/14/2024</w:t>
            </w:r>
          </w:p>
        </w:tc>
        <w:tc>
          <w:tcPr>
            <w:tcW w:w="12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1,982,143</w:t>
            </w: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1060" w:type="dxa"/>
            <w:vAlign w:val="bottom"/>
            <w:gridSpan w:val="3"/>
            <w:shd w:val="clear" w:color="auto" w:fill="CCECFF"/>
          </w:tcPr>
          <w:p>
            <w:pPr>
              <w:jc w:val="right"/>
              <w:ind w:right="60"/>
              <w:spacing w:after="0"/>
              <w:rPr>
                <w:sz w:val="20"/>
                <w:szCs w:val="20"/>
                <w:color w:val="auto"/>
              </w:rPr>
            </w:pPr>
            <w:r>
              <w:rPr>
                <w:rFonts w:ascii="Arial" w:cs="Arial" w:eastAsia="Arial" w:hAnsi="Arial"/>
                <w:sz w:val="12"/>
                <w:szCs w:val="12"/>
                <w:color w:val="auto"/>
              </w:rPr>
              <w:t>(19,821)</w:t>
            </w:r>
          </w:p>
        </w:tc>
      </w:tr>
      <w:tr>
        <w:trPr>
          <w:trHeight w:val="149"/>
        </w:trPr>
        <w:tc>
          <w:tcPr>
            <w:tcW w:w="3000" w:type="dxa"/>
            <w:vAlign w:val="bottom"/>
          </w:tcPr>
          <w:p>
            <w:pPr>
              <w:spacing w:after="0"/>
              <w:rPr>
                <w:sz w:val="20"/>
                <w:szCs w:val="20"/>
                <w:color w:val="auto"/>
              </w:rPr>
            </w:pPr>
            <w:r>
              <w:rPr>
                <w:rFonts w:ascii="Arial" w:cs="Arial" w:eastAsia="Arial" w:hAnsi="Arial"/>
                <w:sz w:val="12"/>
                <w:szCs w:val="12"/>
                <w:color w:val="auto"/>
              </w:rPr>
              <w:t>Ox Two, LLC</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02/27/2023</w:t>
            </w:r>
          </w:p>
        </w:tc>
        <w:tc>
          <w:tcPr>
            <w:tcW w:w="120" w:type="dxa"/>
            <w:vAlign w:val="bottom"/>
          </w:tcPr>
          <w:p>
            <w:pPr>
              <w:spacing w:after="0"/>
              <w:rPr>
                <w:sz w:val="12"/>
                <w:szCs w:val="12"/>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2"/>
                <w:szCs w:val="12"/>
                <w:color w:val="auto"/>
                <w:w w:val="90"/>
              </w:rPr>
              <w:t>Construction and Building</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12.25%</w:t>
            </w:r>
          </w:p>
        </w:tc>
        <w:tc>
          <w:tcPr>
            <w:tcW w:w="740" w:type="dxa"/>
            <w:vAlign w:val="bottom"/>
          </w:tcPr>
          <w:p>
            <w:pPr>
              <w:jc w:val="right"/>
              <w:spacing w:after="0"/>
              <w:rPr>
                <w:sz w:val="20"/>
                <w:szCs w:val="20"/>
                <w:color w:val="auto"/>
              </w:rPr>
            </w:pPr>
            <w:r>
              <w:rPr>
                <w:rFonts w:ascii="Arial" w:cs="Arial" w:eastAsia="Arial" w:hAnsi="Arial"/>
                <w:sz w:val="12"/>
                <w:szCs w:val="12"/>
                <w:color w:val="auto"/>
              </w:rPr>
              <w:t>P+725</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4,968,750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4,875,411</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4,919,063</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Ox Two, LLC (Revolver) </w:t>
            </w:r>
            <w:r>
              <w:rPr>
                <w:rFonts w:ascii="Arial" w:cs="Arial" w:eastAsia="Arial" w:hAnsi="Arial"/>
                <w:sz w:val="9"/>
                <w:szCs w:val="9"/>
                <w:color w:val="auto"/>
              </w:rPr>
              <w:t>(7)</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02/27/2023</w:t>
            </w:r>
          </w:p>
        </w:tc>
        <w:tc>
          <w:tcPr>
            <w:tcW w:w="12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90"/>
              </w:rPr>
              <w:t>Construction and Building</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12.25%</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P+725</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166,667</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166,667</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166,667</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 xml:space="preserve">Ox Two, LLC (Revolver) </w:t>
            </w:r>
            <w:r>
              <w:rPr>
                <w:rFonts w:ascii="Arial" w:cs="Arial" w:eastAsia="Arial" w:hAnsi="Arial"/>
                <w:sz w:val="9"/>
                <w:szCs w:val="9"/>
                <w:color w:val="auto"/>
              </w:rPr>
              <w:t>(7), (8)</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02/27/2023</w:t>
            </w:r>
          </w:p>
        </w:tc>
        <w:tc>
          <w:tcPr>
            <w:tcW w:w="120" w:type="dxa"/>
            <w:vAlign w:val="bottom"/>
          </w:tcPr>
          <w:p>
            <w:pPr>
              <w:spacing w:after="0"/>
              <w:rPr>
                <w:sz w:val="12"/>
                <w:szCs w:val="12"/>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2"/>
                <w:szCs w:val="12"/>
                <w:color w:val="auto"/>
                <w:w w:val="90"/>
              </w:rPr>
              <w:t>Construction and Building</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388,889</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Profile Products LLC</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01/31/2023</w:t>
            </w:r>
          </w:p>
        </w:tc>
        <w:tc>
          <w:tcPr>
            <w:tcW w:w="12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Environmental Industries</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7.33%</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L+500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10,144,017</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10,063,988</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10,144,017</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 xml:space="preserve">Profile Products LLC (Revolver) </w:t>
            </w:r>
            <w:r>
              <w:rPr>
                <w:rFonts w:ascii="Arial" w:cs="Arial" w:eastAsia="Arial" w:hAnsi="Arial"/>
                <w:sz w:val="9"/>
                <w:szCs w:val="9"/>
                <w:color w:val="auto"/>
              </w:rPr>
              <w:t>(7)</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01/31/2022</w:t>
            </w:r>
          </w:p>
        </w:tc>
        <w:tc>
          <w:tcPr>
            <w:tcW w:w="120" w:type="dxa"/>
            <w:vAlign w:val="bottom"/>
          </w:tcPr>
          <w:p>
            <w:pPr>
              <w:spacing w:after="0"/>
              <w:rPr>
                <w:sz w:val="12"/>
                <w:szCs w:val="12"/>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Environmental Industries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9.00%</w:t>
            </w:r>
          </w:p>
        </w:tc>
        <w:tc>
          <w:tcPr>
            <w:tcW w:w="740" w:type="dxa"/>
            <w:vAlign w:val="bottom"/>
          </w:tcPr>
          <w:p>
            <w:pPr>
              <w:jc w:val="right"/>
              <w:spacing w:after="0"/>
              <w:rPr>
                <w:sz w:val="20"/>
                <w:szCs w:val="20"/>
                <w:color w:val="auto"/>
              </w:rPr>
            </w:pPr>
            <w:r>
              <w:rPr>
                <w:rFonts w:ascii="Arial" w:cs="Arial" w:eastAsia="Arial" w:hAnsi="Arial"/>
                <w:sz w:val="12"/>
                <w:szCs w:val="12"/>
                <w:color w:val="auto"/>
              </w:rPr>
              <w:t>P+400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116,996</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116,996</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116,996</w:t>
            </w:r>
          </w:p>
        </w:tc>
        <w:tc>
          <w:tcPr>
            <w:tcW w:w="100" w:type="dxa"/>
            <w:vAlign w:val="bottom"/>
          </w:tcPr>
          <w:p>
            <w:pPr>
              <w:spacing w:after="0"/>
              <w:rPr>
                <w:sz w:val="12"/>
                <w:szCs w:val="12"/>
                <w:color w:val="auto"/>
              </w:rPr>
            </w:pPr>
          </w:p>
        </w:tc>
      </w:tr>
      <w:tr>
        <w:trPr>
          <w:trHeight w:val="149"/>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Profile Products LLC (Revolver) </w:t>
            </w:r>
            <w:r>
              <w:rPr>
                <w:rFonts w:ascii="Arial" w:cs="Arial" w:eastAsia="Arial" w:hAnsi="Arial"/>
                <w:sz w:val="9"/>
                <w:szCs w:val="9"/>
                <w:color w:val="auto"/>
              </w:rPr>
              <w:t>(7), (8)</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01/31/2022</w:t>
            </w:r>
          </w:p>
        </w:tc>
        <w:tc>
          <w:tcPr>
            <w:tcW w:w="12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Environmental Industries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2,342,021</w:t>
            </w: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Quick Weight Loss Centers, LLC</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08/23/2021</w:t>
            </w:r>
          </w:p>
        </w:tc>
        <w:tc>
          <w:tcPr>
            <w:tcW w:w="120" w:type="dxa"/>
            <w:vAlign w:val="bottom"/>
          </w:tcPr>
          <w:p>
            <w:pPr>
              <w:spacing w:after="0"/>
              <w:rPr>
                <w:sz w:val="12"/>
                <w:szCs w:val="12"/>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7.08%</w:t>
            </w:r>
          </w:p>
        </w:tc>
        <w:tc>
          <w:tcPr>
            <w:tcW w:w="740" w:type="dxa"/>
            <w:vAlign w:val="bottom"/>
          </w:tcPr>
          <w:p>
            <w:pPr>
              <w:jc w:val="right"/>
              <w:spacing w:after="0"/>
              <w:rPr>
                <w:sz w:val="20"/>
                <w:szCs w:val="20"/>
                <w:color w:val="auto"/>
              </w:rPr>
            </w:pPr>
            <w:r>
              <w:rPr>
                <w:rFonts w:ascii="Arial" w:cs="Arial" w:eastAsia="Arial" w:hAnsi="Arial"/>
                <w:sz w:val="12"/>
                <w:szCs w:val="12"/>
                <w:color w:val="auto"/>
              </w:rPr>
              <w:t>3M L+475</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9,375,000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9,281,872</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8,296,875</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Research Horizons, LLC </w:t>
            </w:r>
            <w:r>
              <w:rPr>
                <w:rFonts w:ascii="Arial" w:cs="Arial" w:eastAsia="Arial" w:hAnsi="Arial"/>
                <w:sz w:val="9"/>
                <w:szCs w:val="9"/>
                <w:color w:val="auto"/>
              </w:rPr>
              <w:t>(7)</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06/28/2022</w:t>
            </w:r>
          </w:p>
        </w:tc>
        <w:tc>
          <w:tcPr>
            <w:tcW w:w="12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90"/>
              </w:rPr>
              <w:t>Media: Advertising, Printing and Publishing</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8.35%</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L+625</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5,250,000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5,145,101</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5,145,000</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 xml:space="preserve">Research Horizons, LLC </w:t>
            </w:r>
            <w:r>
              <w:rPr>
                <w:rFonts w:ascii="Arial" w:cs="Arial" w:eastAsia="Arial" w:hAnsi="Arial"/>
                <w:sz w:val="9"/>
                <w:szCs w:val="9"/>
                <w:color w:val="auto"/>
              </w:rPr>
              <w:t>(7), (8)</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06/28/2022</w:t>
            </w:r>
          </w:p>
        </w:tc>
        <w:tc>
          <w:tcPr>
            <w:tcW w:w="120" w:type="dxa"/>
            <w:vAlign w:val="bottom"/>
          </w:tcPr>
          <w:p>
            <w:pPr>
              <w:spacing w:after="0"/>
              <w:rPr>
                <w:sz w:val="12"/>
                <w:szCs w:val="12"/>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2"/>
                <w:szCs w:val="12"/>
                <w:color w:val="auto"/>
                <w:w w:val="90"/>
              </w:rPr>
              <w:t>Media: Advertising, Printing and Publishing</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2,128,378</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Research Horizons, LLC (Revolver) </w:t>
            </w:r>
            <w:r>
              <w:rPr>
                <w:rFonts w:ascii="Arial" w:cs="Arial" w:eastAsia="Arial" w:hAnsi="Arial"/>
                <w:sz w:val="9"/>
                <w:szCs w:val="9"/>
                <w:color w:val="auto"/>
              </w:rPr>
              <w:t>(7)</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06/28/2022</w:t>
            </w:r>
          </w:p>
        </w:tc>
        <w:tc>
          <w:tcPr>
            <w:tcW w:w="12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90"/>
              </w:rPr>
              <w:t>Media: Advertising, Printing and Publishing</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8.35%</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L+625</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416,216</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416,216</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416,216</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 xml:space="preserve">Research Horizons, LLC (Revolver) </w:t>
            </w:r>
            <w:r>
              <w:rPr>
                <w:rFonts w:ascii="Arial" w:cs="Arial" w:eastAsia="Arial" w:hAnsi="Arial"/>
                <w:sz w:val="9"/>
                <w:szCs w:val="9"/>
                <w:color w:val="auto"/>
              </w:rPr>
              <w:t>(7), (8)</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06/28/2022</w:t>
            </w:r>
          </w:p>
        </w:tc>
        <w:tc>
          <w:tcPr>
            <w:tcW w:w="120" w:type="dxa"/>
            <w:vAlign w:val="bottom"/>
          </w:tcPr>
          <w:p>
            <w:pPr>
              <w:spacing w:after="0"/>
              <w:rPr>
                <w:sz w:val="12"/>
                <w:szCs w:val="12"/>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2"/>
                <w:szCs w:val="12"/>
                <w:color w:val="auto"/>
                <w:w w:val="90"/>
              </w:rPr>
              <w:t>Media: Advertising, Printing and Publishing</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529,730</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9"/>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Research Now Group, Inc. and Survey Sampling</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12/20/2024</w:t>
            </w:r>
          </w:p>
        </w:tc>
        <w:tc>
          <w:tcPr>
            <w:tcW w:w="12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5"/>
              </w:rPr>
              <w:t>Business Services</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7.86%</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6M L+550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24,875,000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23,699,958</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24,377,500</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shd w:val="clear" w:color="auto" w:fill="CCECFF"/>
          </w:tcPr>
          <w:p>
            <w:pPr>
              <w:ind w:left="140"/>
              <w:spacing w:after="0"/>
              <w:rPr>
                <w:sz w:val="20"/>
                <w:szCs w:val="20"/>
                <w:color w:val="auto"/>
              </w:rPr>
            </w:pPr>
            <w:r>
              <w:rPr>
                <w:rFonts w:ascii="Arial" w:cs="Arial" w:eastAsia="Arial" w:hAnsi="Arial"/>
                <w:sz w:val="12"/>
                <w:szCs w:val="12"/>
                <w:color w:val="auto"/>
              </w:rPr>
              <w:t>International LLC</w:t>
            </w:r>
          </w:p>
        </w:tc>
        <w:tc>
          <w:tcPr>
            <w:tcW w:w="12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2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Salient CRGT Inc.</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02/28/2022</w:t>
            </w:r>
          </w:p>
        </w:tc>
        <w:tc>
          <w:tcPr>
            <w:tcW w:w="120" w:type="dxa"/>
            <w:vAlign w:val="bottom"/>
          </w:tcPr>
          <w:p>
            <w:pPr>
              <w:spacing w:after="0"/>
              <w:rPr>
                <w:sz w:val="12"/>
                <w:szCs w:val="12"/>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High Tech Industries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7.84%</w:t>
            </w:r>
          </w:p>
        </w:tc>
        <w:tc>
          <w:tcPr>
            <w:tcW w:w="740" w:type="dxa"/>
            <w:vAlign w:val="bottom"/>
          </w:tcPr>
          <w:p>
            <w:pPr>
              <w:jc w:val="right"/>
              <w:spacing w:after="0"/>
              <w:rPr>
                <w:sz w:val="20"/>
                <w:szCs w:val="20"/>
                <w:color w:val="auto"/>
              </w:rPr>
            </w:pPr>
            <w:r>
              <w:rPr>
                <w:rFonts w:ascii="Arial" w:cs="Arial" w:eastAsia="Arial" w:hAnsi="Arial"/>
                <w:sz w:val="12"/>
                <w:szCs w:val="12"/>
                <w:color w:val="auto"/>
              </w:rPr>
              <w:t>1M L+575</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18,642,857</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18,349,448</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18,829,286</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Snak Club, LLC (Revolver) </w:t>
            </w:r>
            <w:r>
              <w:rPr>
                <w:rFonts w:ascii="Arial" w:cs="Arial" w:eastAsia="Arial" w:hAnsi="Arial"/>
                <w:sz w:val="9"/>
                <w:szCs w:val="9"/>
                <w:color w:val="auto"/>
              </w:rPr>
              <w:t>(7)</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07/19/2021</w:t>
            </w:r>
          </w:p>
        </w:tc>
        <w:tc>
          <w:tcPr>
            <w:tcW w:w="12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7.98%</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L+550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483,333</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483,333</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483,333</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 xml:space="preserve">Snak Club, LLC (Revolver) </w:t>
            </w:r>
            <w:r>
              <w:rPr>
                <w:rFonts w:ascii="Arial" w:cs="Arial" w:eastAsia="Arial" w:hAnsi="Arial"/>
                <w:sz w:val="9"/>
                <w:szCs w:val="9"/>
                <w:color w:val="auto"/>
              </w:rPr>
              <w:t>(7), (8)</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07/19/2021</w:t>
            </w:r>
          </w:p>
        </w:tc>
        <w:tc>
          <w:tcPr>
            <w:tcW w:w="120" w:type="dxa"/>
            <w:vAlign w:val="bottom"/>
          </w:tcPr>
          <w:p>
            <w:pPr>
              <w:spacing w:after="0"/>
              <w:rPr>
                <w:sz w:val="12"/>
                <w:szCs w:val="12"/>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183,333</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9"/>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Snak Club, LLC (Revolver) </w:t>
            </w:r>
            <w:r>
              <w:rPr>
                <w:rFonts w:ascii="Arial" w:cs="Arial" w:eastAsia="Arial" w:hAnsi="Arial"/>
                <w:sz w:val="9"/>
                <w:szCs w:val="9"/>
                <w:color w:val="auto"/>
              </w:rPr>
              <w:t>(7), (8)</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02/22/2019</w:t>
            </w:r>
          </w:p>
        </w:tc>
        <w:tc>
          <w:tcPr>
            <w:tcW w:w="12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133,333</w:t>
            </w: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1060" w:type="dxa"/>
            <w:vAlign w:val="bottom"/>
            <w:gridSpan w:val="3"/>
            <w:shd w:val="clear" w:color="auto" w:fill="CCECFF"/>
          </w:tcPr>
          <w:p>
            <w:pPr>
              <w:jc w:val="right"/>
              <w:ind w:right="60"/>
              <w:spacing w:after="0"/>
              <w:rPr>
                <w:sz w:val="20"/>
                <w:szCs w:val="20"/>
                <w:color w:val="auto"/>
              </w:rPr>
            </w:pPr>
            <w:r>
              <w:rPr>
                <w:rFonts w:ascii="Arial" w:cs="Arial" w:eastAsia="Arial" w:hAnsi="Arial"/>
                <w:sz w:val="12"/>
                <w:szCs w:val="12"/>
                <w:color w:val="auto"/>
              </w:rPr>
              <w:t>(667)</w:t>
            </w: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Softvision, LLC</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05/21/2021</w:t>
            </w:r>
          </w:p>
        </w:tc>
        <w:tc>
          <w:tcPr>
            <w:tcW w:w="120" w:type="dxa"/>
            <w:vAlign w:val="bottom"/>
          </w:tcPr>
          <w:p>
            <w:pPr>
              <w:spacing w:after="0"/>
              <w:rPr>
                <w:sz w:val="12"/>
                <w:szCs w:val="12"/>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High Tech Industries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7.59%</w:t>
            </w:r>
          </w:p>
        </w:tc>
        <w:tc>
          <w:tcPr>
            <w:tcW w:w="740" w:type="dxa"/>
            <w:vAlign w:val="bottom"/>
          </w:tcPr>
          <w:p>
            <w:pPr>
              <w:jc w:val="right"/>
              <w:spacing w:after="0"/>
              <w:rPr>
                <w:sz w:val="20"/>
                <w:szCs w:val="20"/>
                <w:color w:val="auto"/>
              </w:rPr>
            </w:pPr>
            <w:r>
              <w:rPr>
                <w:rFonts w:ascii="Arial" w:cs="Arial" w:eastAsia="Arial" w:hAnsi="Arial"/>
                <w:sz w:val="12"/>
                <w:szCs w:val="12"/>
                <w:color w:val="auto"/>
              </w:rPr>
              <w:t>1M L+550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8,622,271</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8,566,032</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8,622,271</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Sonny's Enterprises, LLC </w:t>
            </w:r>
            <w:r>
              <w:rPr>
                <w:rFonts w:ascii="Arial" w:cs="Arial" w:eastAsia="Arial" w:hAnsi="Arial"/>
                <w:sz w:val="9"/>
                <w:szCs w:val="9"/>
                <w:color w:val="auto"/>
              </w:rPr>
              <w:t>(7)</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12/01/2022</w:t>
            </w:r>
          </w:p>
        </w:tc>
        <w:tc>
          <w:tcPr>
            <w:tcW w:w="12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9"/>
              </w:rPr>
              <w:t>Capital Equipment</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6.59%</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L+450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5,468,527</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5,466,172</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5,468,527</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TeleGuam Holdings, LLC</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07/25/2023</w:t>
            </w:r>
          </w:p>
        </w:tc>
        <w:tc>
          <w:tcPr>
            <w:tcW w:w="120" w:type="dxa"/>
            <w:vAlign w:val="bottom"/>
          </w:tcPr>
          <w:p>
            <w:pPr>
              <w:spacing w:after="0"/>
              <w:rPr>
                <w:sz w:val="12"/>
                <w:szCs w:val="12"/>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Telecommunications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7.09%</w:t>
            </w:r>
          </w:p>
        </w:tc>
        <w:tc>
          <w:tcPr>
            <w:tcW w:w="740" w:type="dxa"/>
            <w:vAlign w:val="bottom"/>
          </w:tcPr>
          <w:p>
            <w:pPr>
              <w:jc w:val="right"/>
              <w:spacing w:after="0"/>
              <w:rPr>
                <w:sz w:val="20"/>
                <w:szCs w:val="20"/>
                <w:color w:val="auto"/>
              </w:rPr>
            </w:pPr>
            <w:r>
              <w:rPr>
                <w:rFonts w:ascii="Arial" w:cs="Arial" w:eastAsia="Arial" w:hAnsi="Arial"/>
                <w:sz w:val="12"/>
                <w:szCs w:val="12"/>
                <w:color w:val="auto"/>
              </w:rPr>
              <w:t>1M L+500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7,940,000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7,834,215</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7,940,000</w:t>
            </w:r>
          </w:p>
        </w:tc>
        <w:tc>
          <w:tcPr>
            <w:tcW w:w="100" w:type="dxa"/>
            <w:vAlign w:val="bottom"/>
          </w:tcPr>
          <w:p>
            <w:pPr>
              <w:spacing w:after="0"/>
              <w:rPr>
                <w:sz w:val="12"/>
                <w:szCs w:val="12"/>
                <w:color w:val="auto"/>
              </w:rPr>
            </w:pPr>
          </w:p>
        </w:tc>
      </w:tr>
      <w:tr>
        <w:trPr>
          <w:trHeight w:val="149"/>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Tensar Corporation</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07/09/2021</w:t>
            </w:r>
          </w:p>
        </w:tc>
        <w:tc>
          <w:tcPr>
            <w:tcW w:w="12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90"/>
              </w:rPr>
              <w:t>Construction and Building</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7.08%</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L+475</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22,620,696</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22,459,891</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22,337,938</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The Infosoft Group, LLC</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12/02/2021</w:t>
            </w:r>
          </w:p>
        </w:tc>
        <w:tc>
          <w:tcPr>
            <w:tcW w:w="120" w:type="dxa"/>
            <w:vAlign w:val="bottom"/>
          </w:tcPr>
          <w:p>
            <w:pPr>
              <w:spacing w:after="0"/>
              <w:rPr>
                <w:sz w:val="12"/>
                <w:szCs w:val="12"/>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2"/>
                <w:szCs w:val="12"/>
                <w:color w:val="auto"/>
                <w:w w:val="88"/>
              </w:rPr>
              <w:t>Media: Broadcasting and Subscription</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7.57%</w:t>
            </w:r>
          </w:p>
        </w:tc>
        <w:tc>
          <w:tcPr>
            <w:tcW w:w="740" w:type="dxa"/>
            <w:vAlign w:val="bottom"/>
          </w:tcPr>
          <w:p>
            <w:pPr>
              <w:jc w:val="right"/>
              <w:spacing w:after="0"/>
              <w:rPr>
                <w:sz w:val="20"/>
                <w:szCs w:val="20"/>
                <w:color w:val="auto"/>
              </w:rPr>
            </w:pPr>
            <w:r>
              <w:rPr>
                <w:rFonts w:ascii="Arial" w:cs="Arial" w:eastAsia="Arial" w:hAnsi="Arial"/>
                <w:sz w:val="12"/>
                <w:szCs w:val="12"/>
                <w:color w:val="auto"/>
              </w:rPr>
              <w:t>3M L+525</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7,036,444</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6,985,802</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7,036,444</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The Original Cakerie, Co. </w:t>
            </w:r>
            <w:r>
              <w:rPr>
                <w:rFonts w:ascii="Arial" w:cs="Arial" w:eastAsia="Arial" w:hAnsi="Arial"/>
                <w:sz w:val="9"/>
                <w:szCs w:val="9"/>
                <w:color w:val="auto"/>
              </w:rPr>
              <w:t>(5), (9)</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07/20/2022</w:t>
            </w:r>
          </w:p>
        </w:tc>
        <w:tc>
          <w:tcPr>
            <w:tcW w:w="12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8"/>
              </w:rPr>
              <w:t>Consumer Goods: Non-Durable</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7.09%</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L+500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7,741,092</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7,674,306</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7,741,092</w:t>
            </w:r>
          </w:p>
        </w:tc>
        <w:tc>
          <w:tcPr>
            <w:tcW w:w="100" w:type="dxa"/>
            <w:vAlign w:val="bottom"/>
            <w:shd w:val="clear" w:color="auto" w:fill="CCECFF"/>
          </w:tcPr>
          <w:p>
            <w:pPr>
              <w:spacing w:after="0"/>
              <w:rPr>
                <w:sz w:val="12"/>
                <w:szCs w:val="12"/>
                <w:color w:val="auto"/>
              </w:rPr>
            </w:pPr>
          </w:p>
        </w:tc>
      </w:tr>
      <w:tr>
        <w:trPr>
          <w:trHeight w:val="149"/>
        </w:trPr>
        <w:tc>
          <w:tcPr>
            <w:tcW w:w="3000" w:type="dxa"/>
            <w:vAlign w:val="bottom"/>
          </w:tcPr>
          <w:p>
            <w:pPr>
              <w:spacing w:after="0"/>
              <w:rPr>
                <w:sz w:val="20"/>
                <w:szCs w:val="20"/>
                <w:color w:val="auto"/>
              </w:rPr>
            </w:pPr>
            <w:r>
              <w:rPr>
                <w:rFonts w:ascii="Arial" w:cs="Arial" w:eastAsia="Arial" w:hAnsi="Arial"/>
                <w:sz w:val="12"/>
                <w:szCs w:val="12"/>
                <w:color w:val="auto"/>
              </w:rPr>
              <w:t xml:space="preserve">The Original Cakerie Ltd. </w:t>
            </w:r>
            <w:r>
              <w:rPr>
                <w:rFonts w:ascii="Arial" w:cs="Arial" w:eastAsia="Arial" w:hAnsi="Arial"/>
                <w:sz w:val="9"/>
                <w:szCs w:val="9"/>
                <w:color w:val="auto"/>
              </w:rPr>
              <w:t>(5), (9)</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07/20/2022</w:t>
            </w:r>
          </w:p>
        </w:tc>
        <w:tc>
          <w:tcPr>
            <w:tcW w:w="120" w:type="dxa"/>
            <w:vAlign w:val="bottom"/>
          </w:tcPr>
          <w:p>
            <w:pPr>
              <w:spacing w:after="0"/>
              <w:rPr>
                <w:sz w:val="12"/>
                <w:szCs w:val="12"/>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2"/>
                <w:szCs w:val="12"/>
                <w:color w:val="auto"/>
                <w:w w:val="88"/>
              </w:rPr>
              <w:t>Consumer Goods: Non-Durable</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6.59%</w:t>
            </w:r>
          </w:p>
        </w:tc>
        <w:tc>
          <w:tcPr>
            <w:tcW w:w="740" w:type="dxa"/>
            <w:vAlign w:val="bottom"/>
          </w:tcPr>
          <w:p>
            <w:pPr>
              <w:jc w:val="right"/>
              <w:spacing w:after="0"/>
              <w:rPr>
                <w:sz w:val="20"/>
                <w:szCs w:val="20"/>
                <w:color w:val="auto"/>
              </w:rPr>
            </w:pPr>
            <w:r>
              <w:rPr>
                <w:rFonts w:ascii="Arial" w:cs="Arial" w:eastAsia="Arial" w:hAnsi="Arial"/>
                <w:sz w:val="12"/>
                <w:szCs w:val="12"/>
                <w:color w:val="auto"/>
              </w:rPr>
              <w:t>1M L+450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5,500,217</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5,458,050</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5,500,217</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The Original Cakerie Ltd. (Revolver) </w:t>
            </w:r>
            <w:r>
              <w:rPr>
                <w:rFonts w:ascii="Arial" w:cs="Arial" w:eastAsia="Arial" w:hAnsi="Arial"/>
                <w:sz w:val="9"/>
                <w:szCs w:val="9"/>
                <w:color w:val="auto"/>
              </w:rPr>
              <w:t>(5), (7), (9)</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07/20/2022</w:t>
            </w:r>
          </w:p>
        </w:tc>
        <w:tc>
          <w:tcPr>
            <w:tcW w:w="12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8"/>
              </w:rPr>
              <w:t>Consumer Goods: Non-Durable</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6.57%</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L+450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255,327</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255,327</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255,327</w:t>
            </w:r>
          </w:p>
        </w:tc>
        <w:tc>
          <w:tcPr>
            <w:tcW w:w="100" w:type="dxa"/>
            <w:vAlign w:val="bottom"/>
            <w:shd w:val="clear" w:color="auto" w:fill="CCECFF"/>
          </w:tcPr>
          <w:p>
            <w:pPr>
              <w:spacing w:after="0"/>
              <w:rPr>
                <w:sz w:val="12"/>
                <w:szCs w:val="12"/>
                <w:color w:val="auto"/>
              </w:rPr>
            </w:pPr>
          </w:p>
        </w:tc>
      </w:tr>
      <w:tr>
        <w:trPr>
          <w:trHeight w:val="149"/>
        </w:trPr>
        <w:tc>
          <w:tcPr>
            <w:tcW w:w="3000" w:type="dxa"/>
            <w:vAlign w:val="bottom"/>
          </w:tcPr>
          <w:p>
            <w:pPr>
              <w:spacing w:after="0"/>
              <w:rPr>
                <w:sz w:val="20"/>
                <w:szCs w:val="20"/>
                <w:color w:val="auto"/>
              </w:rPr>
            </w:pPr>
            <w:r>
              <w:rPr>
                <w:rFonts w:ascii="Arial" w:cs="Arial" w:eastAsia="Arial" w:hAnsi="Arial"/>
                <w:sz w:val="12"/>
                <w:szCs w:val="12"/>
                <w:color w:val="auto"/>
              </w:rPr>
              <w:t xml:space="preserve">The Original Cakerie Ltd. (Revolver) </w:t>
            </w:r>
            <w:r>
              <w:rPr>
                <w:rFonts w:ascii="Arial" w:cs="Arial" w:eastAsia="Arial" w:hAnsi="Arial"/>
                <w:sz w:val="9"/>
                <w:szCs w:val="9"/>
                <w:color w:val="auto"/>
              </w:rPr>
              <w:t>(5), (7), (8), (9)</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07/20/2022</w:t>
            </w:r>
          </w:p>
        </w:tc>
        <w:tc>
          <w:tcPr>
            <w:tcW w:w="120" w:type="dxa"/>
            <w:vAlign w:val="bottom"/>
          </w:tcPr>
          <w:p>
            <w:pPr>
              <w:spacing w:after="0"/>
              <w:rPr>
                <w:sz w:val="12"/>
                <w:szCs w:val="12"/>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2"/>
                <w:szCs w:val="12"/>
                <w:color w:val="auto"/>
                <w:w w:val="88"/>
              </w:rPr>
              <w:t>Consumer Goods: Non-Durable</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1,163,157</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Triad Manufacturing, Inc.</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12/28/2020</w:t>
            </w:r>
          </w:p>
        </w:tc>
        <w:tc>
          <w:tcPr>
            <w:tcW w:w="12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9"/>
              </w:rPr>
              <w:t>Capital Equipment</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13.34%</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L+1,125</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8,470,850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8,374,680</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8,259,078</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 xml:space="preserve">UBEO, LLC </w:t>
            </w:r>
            <w:r>
              <w:rPr>
                <w:rFonts w:ascii="Arial" w:cs="Arial" w:eastAsia="Arial" w:hAnsi="Arial"/>
                <w:sz w:val="9"/>
                <w:szCs w:val="9"/>
                <w:color w:val="auto"/>
              </w:rPr>
              <w:t>(7)</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04/03/2024</w:t>
            </w:r>
          </w:p>
        </w:tc>
        <w:tc>
          <w:tcPr>
            <w:tcW w:w="120" w:type="dxa"/>
            <w:vAlign w:val="bottom"/>
          </w:tcPr>
          <w:p>
            <w:pPr>
              <w:spacing w:after="0"/>
              <w:rPr>
                <w:sz w:val="12"/>
                <w:szCs w:val="12"/>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Capital Equipment</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6.50%</w:t>
            </w:r>
          </w:p>
        </w:tc>
        <w:tc>
          <w:tcPr>
            <w:tcW w:w="740" w:type="dxa"/>
            <w:vAlign w:val="bottom"/>
          </w:tcPr>
          <w:p>
            <w:pPr>
              <w:jc w:val="right"/>
              <w:spacing w:after="0"/>
              <w:rPr>
                <w:sz w:val="20"/>
                <w:szCs w:val="20"/>
                <w:color w:val="auto"/>
              </w:rPr>
            </w:pPr>
            <w:r>
              <w:rPr>
                <w:rFonts w:ascii="Arial" w:cs="Arial" w:eastAsia="Arial" w:hAnsi="Arial"/>
                <w:sz w:val="12"/>
                <w:szCs w:val="12"/>
                <w:color w:val="auto"/>
              </w:rPr>
              <w:t>1M L+450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2,000,000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1,980,677</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1,980,000</w:t>
            </w:r>
          </w:p>
        </w:tc>
        <w:tc>
          <w:tcPr>
            <w:tcW w:w="100" w:type="dxa"/>
            <w:vAlign w:val="bottom"/>
          </w:tcPr>
          <w:p>
            <w:pPr>
              <w:spacing w:after="0"/>
              <w:rPr>
                <w:sz w:val="12"/>
                <w:szCs w:val="12"/>
                <w:color w:val="auto"/>
              </w:rPr>
            </w:pPr>
          </w:p>
        </w:tc>
      </w:tr>
      <w:tr>
        <w:trPr>
          <w:trHeight w:val="149"/>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UBEO, LLC (Revolver) </w:t>
            </w:r>
            <w:r>
              <w:rPr>
                <w:rFonts w:ascii="Arial" w:cs="Arial" w:eastAsia="Arial" w:hAnsi="Arial"/>
                <w:sz w:val="9"/>
                <w:szCs w:val="9"/>
                <w:color w:val="auto"/>
              </w:rPr>
              <w:t>(7)</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04/03/2024</w:t>
            </w:r>
          </w:p>
        </w:tc>
        <w:tc>
          <w:tcPr>
            <w:tcW w:w="12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9"/>
              </w:rPr>
              <w:t>Capital Equipment</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6.81%</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L+450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293,333</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293,333</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293,333</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 xml:space="preserve">UBEO, LLC (Revolver) </w:t>
            </w:r>
            <w:r>
              <w:rPr>
                <w:rFonts w:ascii="Arial" w:cs="Arial" w:eastAsia="Arial" w:hAnsi="Arial"/>
                <w:sz w:val="9"/>
                <w:szCs w:val="9"/>
                <w:color w:val="auto"/>
              </w:rPr>
              <w:t>(7), (8)</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04/03/2024</w:t>
            </w:r>
          </w:p>
        </w:tc>
        <w:tc>
          <w:tcPr>
            <w:tcW w:w="120" w:type="dxa"/>
            <w:vAlign w:val="bottom"/>
          </w:tcPr>
          <w:p>
            <w:pPr>
              <w:spacing w:after="0"/>
              <w:rPr>
                <w:sz w:val="12"/>
                <w:szCs w:val="12"/>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Capital Equipment</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1,906,667</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UniTek Global Services, Inc. </w:t>
            </w:r>
            <w:r>
              <w:rPr>
                <w:rFonts w:ascii="Arial" w:cs="Arial" w:eastAsia="Arial" w:hAnsi="Arial"/>
                <w:sz w:val="9"/>
                <w:szCs w:val="9"/>
                <w:color w:val="auto"/>
              </w:rPr>
              <w:t>(7)</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01/14/2019</w:t>
            </w:r>
          </w:p>
        </w:tc>
        <w:tc>
          <w:tcPr>
            <w:tcW w:w="12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Telecommunications</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10.60%</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L+850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566,915</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557,923</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583,922</w:t>
            </w:r>
          </w:p>
        </w:tc>
        <w:tc>
          <w:tcPr>
            <w:tcW w:w="100" w:type="dxa"/>
            <w:vAlign w:val="bottom"/>
            <w:shd w:val="clear" w:color="auto" w:fill="CCECFF"/>
          </w:tcPr>
          <w:p>
            <w:pPr>
              <w:spacing w:after="0"/>
              <w:rPr>
                <w:sz w:val="12"/>
                <w:szCs w:val="12"/>
                <w:color w:val="auto"/>
              </w:rPr>
            </w:pPr>
          </w:p>
        </w:tc>
      </w:tr>
      <w:tr>
        <w:trPr>
          <w:trHeight w:val="149"/>
        </w:trPr>
        <w:tc>
          <w:tcPr>
            <w:tcW w:w="3000" w:type="dxa"/>
            <w:vAlign w:val="bottom"/>
          </w:tcPr>
          <w:p>
            <w:pPr>
              <w:spacing w:after="0"/>
              <w:rPr>
                <w:sz w:val="20"/>
                <w:szCs w:val="20"/>
                <w:color w:val="auto"/>
              </w:rPr>
            </w:pPr>
            <w:r>
              <w:rPr>
                <w:rFonts w:ascii="Arial" w:cs="Arial" w:eastAsia="Arial" w:hAnsi="Arial"/>
                <w:sz w:val="12"/>
                <w:szCs w:val="12"/>
                <w:color w:val="auto"/>
              </w:rPr>
              <w:t xml:space="preserve">UniTek Global Services, Inc. (Revolver) </w:t>
            </w:r>
            <w:r>
              <w:rPr>
                <w:rFonts w:ascii="Arial" w:cs="Arial" w:eastAsia="Arial" w:hAnsi="Arial"/>
                <w:sz w:val="9"/>
                <w:szCs w:val="9"/>
                <w:color w:val="auto"/>
              </w:rPr>
              <w:t>(7), (8)</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01/14/2019</w:t>
            </w:r>
          </w:p>
        </w:tc>
        <w:tc>
          <w:tcPr>
            <w:tcW w:w="120" w:type="dxa"/>
            <w:vAlign w:val="bottom"/>
          </w:tcPr>
          <w:p>
            <w:pPr>
              <w:spacing w:after="0"/>
              <w:rPr>
                <w:sz w:val="12"/>
                <w:szCs w:val="12"/>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Telecommunications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151,090</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US Med Acquisition, Inc. </w:t>
            </w:r>
            <w:r>
              <w:rPr>
                <w:rFonts w:ascii="Arial" w:cs="Arial" w:eastAsia="Arial" w:hAnsi="Arial"/>
                <w:sz w:val="9"/>
                <w:szCs w:val="9"/>
                <w:color w:val="auto"/>
              </w:rPr>
              <w:t>(7)</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08/13/2021</w:t>
            </w:r>
          </w:p>
        </w:tc>
        <w:tc>
          <w:tcPr>
            <w:tcW w:w="12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11.33%</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L+900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3,035,156</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3,035,156</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2,883,399</w:t>
            </w:r>
          </w:p>
        </w:tc>
        <w:tc>
          <w:tcPr>
            <w:tcW w:w="100" w:type="dxa"/>
            <w:vAlign w:val="bottom"/>
            <w:shd w:val="clear" w:color="auto" w:fill="CCECFF"/>
          </w:tcPr>
          <w:p>
            <w:pPr>
              <w:spacing w:after="0"/>
              <w:rPr>
                <w:sz w:val="12"/>
                <w:szCs w:val="12"/>
                <w:color w:val="auto"/>
              </w:rPr>
            </w:pPr>
          </w:p>
        </w:tc>
      </w:tr>
      <w:tr>
        <w:trPr>
          <w:trHeight w:val="149"/>
        </w:trPr>
        <w:tc>
          <w:tcPr>
            <w:tcW w:w="3000" w:type="dxa"/>
            <w:vAlign w:val="bottom"/>
          </w:tcPr>
          <w:p>
            <w:pPr>
              <w:spacing w:after="0"/>
              <w:rPr>
                <w:sz w:val="20"/>
                <w:szCs w:val="20"/>
                <w:color w:val="auto"/>
              </w:rPr>
            </w:pPr>
            <w:r>
              <w:rPr>
                <w:rFonts w:ascii="Arial" w:cs="Arial" w:eastAsia="Arial" w:hAnsi="Arial"/>
                <w:sz w:val="12"/>
                <w:szCs w:val="12"/>
                <w:color w:val="auto"/>
              </w:rPr>
              <w:t>Veterinary Specialists of North America, LLC</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07/15/2021</w:t>
            </w:r>
          </w:p>
        </w:tc>
        <w:tc>
          <w:tcPr>
            <w:tcW w:w="120" w:type="dxa"/>
            <w:vAlign w:val="bottom"/>
          </w:tcPr>
          <w:p>
            <w:pPr>
              <w:spacing w:after="0"/>
              <w:rPr>
                <w:sz w:val="12"/>
                <w:szCs w:val="12"/>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7.79%</w:t>
            </w:r>
          </w:p>
        </w:tc>
        <w:tc>
          <w:tcPr>
            <w:tcW w:w="740" w:type="dxa"/>
            <w:vAlign w:val="bottom"/>
          </w:tcPr>
          <w:p>
            <w:pPr>
              <w:jc w:val="right"/>
              <w:spacing w:after="0"/>
              <w:rPr>
                <w:sz w:val="20"/>
                <w:szCs w:val="20"/>
                <w:color w:val="auto"/>
              </w:rPr>
            </w:pPr>
            <w:r>
              <w:rPr>
                <w:rFonts w:ascii="Arial" w:cs="Arial" w:eastAsia="Arial" w:hAnsi="Arial"/>
                <w:sz w:val="12"/>
                <w:szCs w:val="12"/>
                <w:color w:val="auto"/>
              </w:rPr>
              <w:t>3M L+550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15,306,540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15,227,555</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15,383,073</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Veterinary Specialists of North America, LLC </w:t>
            </w:r>
            <w:r>
              <w:rPr>
                <w:rFonts w:ascii="Arial" w:cs="Arial" w:eastAsia="Arial" w:hAnsi="Arial"/>
                <w:sz w:val="9"/>
                <w:szCs w:val="9"/>
                <w:color w:val="auto"/>
              </w:rPr>
              <w:t>(7), (8)</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07/15/2021</w:t>
            </w:r>
          </w:p>
        </w:tc>
        <w:tc>
          <w:tcPr>
            <w:tcW w:w="12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2,225,180</w:t>
            </w: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11,126</w:t>
            </w:r>
          </w:p>
        </w:tc>
        <w:tc>
          <w:tcPr>
            <w:tcW w:w="100" w:type="dxa"/>
            <w:vAlign w:val="bottom"/>
            <w:shd w:val="clear" w:color="auto" w:fill="CCECFF"/>
          </w:tcPr>
          <w:p>
            <w:pPr>
              <w:spacing w:after="0"/>
              <w:rPr>
                <w:sz w:val="12"/>
                <w:szCs w:val="12"/>
                <w:color w:val="auto"/>
              </w:rPr>
            </w:pPr>
          </w:p>
        </w:tc>
      </w:tr>
      <w:tr>
        <w:trPr>
          <w:trHeight w:val="156"/>
        </w:trPr>
        <w:tc>
          <w:tcPr>
            <w:tcW w:w="3000" w:type="dxa"/>
            <w:vAlign w:val="bottom"/>
          </w:tcPr>
          <w:p>
            <w:pPr>
              <w:spacing w:after="0"/>
              <w:rPr>
                <w:sz w:val="20"/>
                <w:szCs w:val="20"/>
                <w:color w:val="auto"/>
              </w:rPr>
            </w:pPr>
            <w:r>
              <w:rPr>
                <w:rFonts w:ascii="Arial" w:cs="Arial" w:eastAsia="Arial" w:hAnsi="Arial"/>
                <w:sz w:val="12"/>
                <w:szCs w:val="12"/>
                <w:color w:val="auto"/>
              </w:rPr>
              <w:t>Veterinary Specialists of North America, LLC</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07/15/2021</w:t>
            </w:r>
          </w:p>
        </w:tc>
        <w:tc>
          <w:tcPr>
            <w:tcW w:w="120" w:type="dxa"/>
            <w:vAlign w:val="bottom"/>
          </w:tcPr>
          <w:p>
            <w:pPr>
              <w:spacing w:after="0"/>
              <w:rPr>
                <w:sz w:val="13"/>
                <w:szCs w:val="13"/>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880,000</w:t>
            </w:r>
          </w:p>
        </w:tc>
        <w:tc>
          <w:tcPr>
            <w:tcW w:w="2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4,400</w:t>
            </w:r>
          </w:p>
        </w:tc>
        <w:tc>
          <w:tcPr>
            <w:tcW w:w="100" w:type="dxa"/>
            <w:vAlign w:val="bottom"/>
          </w:tcPr>
          <w:p>
            <w:pPr>
              <w:spacing w:after="0"/>
              <w:rPr>
                <w:sz w:val="13"/>
                <w:szCs w:val="13"/>
                <w:color w:val="auto"/>
              </w:rPr>
            </w:pPr>
          </w:p>
        </w:tc>
      </w:tr>
      <w:tr>
        <w:trPr>
          <w:trHeight w:val="141"/>
        </w:trPr>
        <w:tc>
          <w:tcPr>
            <w:tcW w:w="3000" w:type="dxa"/>
            <w:vAlign w:val="bottom"/>
          </w:tcPr>
          <w:p>
            <w:pPr>
              <w:ind w:left="140"/>
              <w:spacing w:after="0"/>
              <w:rPr>
                <w:sz w:val="20"/>
                <w:szCs w:val="20"/>
                <w:color w:val="auto"/>
              </w:rPr>
            </w:pPr>
            <w:r>
              <w:rPr>
                <w:rFonts w:ascii="Arial" w:cs="Arial" w:eastAsia="Arial" w:hAnsi="Arial"/>
                <w:sz w:val="12"/>
                <w:szCs w:val="12"/>
                <w:color w:val="auto"/>
              </w:rPr>
              <w:t xml:space="preserve">(Revolver) </w:t>
            </w:r>
            <w:r>
              <w:rPr>
                <w:rFonts w:ascii="Arial" w:cs="Arial" w:eastAsia="Arial" w:hAnsi="Arial"/>
                <w:sz w:val="9"/>
                <w:szCs w:val="9"/>
                <w:color w:val="auto"/>
              </w:rPr>
              <w:t>(7), (8)</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VIP Cinema Holdings, Inc.</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03/01/2023</w:t>
            </w:r>
          </w:p>
        </w:tc>
        <w:tc>
          <w:tcPr>
            <w:tcW w:w="12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8"/>
              </w:rPr>
              <w:t>Consumer Goods: Durable</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8.34%</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L+600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7,031,250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7,002,063</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7,075,195</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Borders>
              <w:bottom w:val="single" w:sz="8" w:color="CCECFF"/>
            </w:tcBorders>
          </w:tcPr>
          <w:p>
            <w:pPr>
              <w:spacing w:after="0"/>
              <w:rPr>
                <w:sz w:val="20"/>
                <w:szCs w:val="20"/>
                <w:color w:val="auto"/>
              </w:rPr>
            </w:pPr>
            <w:r>
              <w:rPr>
                <w:rFonts w:ascii="Arial" w:cs="Arial" w:eastAsia="Arial" w:hAnsi="Arial"/>
                <w:sz w:val="12"/>
                <w:szCs w:val="12"/>
                <w:color w:val="auto"/>
              </w:rPr>
              <w:t>Winchester Electronics Corporation</w:t>
            </w:r>
          </w:p>
        </w:tc>
        <w:tc>
          <w:tcPr>
            <w:tcW w:w="760" w:type="dxa"/>
            <w:vAlign w:val="bottom"/>
            <w:tcBorders>
              <w:bottom w:val="single" w:sz="8" w:color="CCECFF"/>
            </w:tcBorders>
            <w:gridSpan w:val="2"/>
          </w:tcPr>
          <w:p>
            <w:pPr>
              <w:jc w:val="center"/>
              <w:ind w:left="62"/>
              <w:spacing w:after="0"/>
              <w:rPr>
                <w:sz w:val="20"/>
                <w:szCs w:val="20"/>
                <w:color w:val="auto"/>
              </w:rPr>
            </w:pPr>
            <w:r>
              <w:rPr>
                <w:rFonts w:ascii="Arial" w:cs="Arial" w:eastAsia="Arial" w:hAnsi="Arial"/>
                <w:sz w:val="12"/>
                <w:szCs w:val="12"/>
                <w:color w:val="auto"/>
                <w:w w:val="86"/>
              </w:rPr>
              <w:t>06/30/2022</w:t>
            </w:r>
          </w:p>
        </w:tc>
        <w:tc>
          <w:tcPr>
            <w:tcW w:w="120" w:type="dxa"/>
            <w:vAlign w:val="bottom"/>
            <w:tcBorders>
              <w:bottom w:val="single" w:sz="8" w:color="CCECFF"/>
            </w:tcBorders>
          </w:tcPr>
          <w:p>
            <w:pPr>
              <w:spacing w:after="0"/>
              <w:rPr>
                <w:sz w:val="12"/>
                <w:szCs w:val="12"/>
                <w:color w:val="auto"/>
              </w:rPr>
            </w:pPr>
          </w:p>
        </w:tc>
        <w:tc>
          <w:tcPr>
            <w:tcW w:w="2760" w:type="dxa"/>
            <w:vAlign w:val="bottom"/>
            <w:tcBorders>
              <w:bottom w:val="single" w:sz="8" w:color="CCECFF"/>
            </w:tcBorders>
            <w:gridSpan w:val="2"/>
          </w:tcPr>
          <w:p>
            <w:pPr>
              <w:jc w:val="center"/>
              <w:ind w:right="120"/>
              <w:spacing w:after="0"/>
              <w:rPr>
                <w:sz w:val="20"/>
                <w:szCs w:val="20"/>
                <w:color w:val="auto"/>
              </w:rPr>
            </w:pPr>
            <w:r>
              <w:rPr>
                <w:rFonts w:ascii="Arial" w:cs="Arial" w:eastAsia="Arial" w:hAnsi="Arial"/>
                <w:sz w:val="12"/>
                <w:szCs w:val="12"/>
                <w:color w:val="auto"/>
                <w:w w:val="89"/>
              </w:rPr>
              <w:t>Capital Equipment</w:t>
            </w:r>
          </w:p>
        </w:tc>
        <w:tc>
          <w:tcPr>
            <w:tcW w:w="960" w:type="dxa"/>
            <w:vAlign w:val="bottom"/>
            <w:tcBorders>
              <w:bottom w:val="single" w:sz="8" w:color="CCECFF"/>
            </w:tcBorders>
            <w:gridSpan w:val="2"/>
          </w:tcPr>
          <w:p>
            <w:pPr>
              <w:jc w:val="right"/>
              <w:ind w:right="200"/>
              <w:spacing w:after="0"/>
              <w:rPr>
                <w:sz w:val="20"/>
                <w:szCs w:val="20"/>
                <w:color w:val="auto"/>
              </w:rPr>
            </w:pPr>
            <w:r>
              <w:rPr>
                <w:rFonts w:ascii="Arial" w:cs="Arial" w:eastAsia="Arial" w:hAnsi="Arial"/>
                <w:sz w:val="12"/>
                <w:szCs w:val="12"/>
                <w:color w:val="auto"/>
              </w:rPr>
              <w:t>8.59%</w:t>
            </w:r>
          </w:p>
        </w:tc>
        <w:tc>
          <w:tcPr>
            <w:tcW w:w="74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rPr>
              <w:t>1M L+650</w:t>
            </w:r>
          </w:p>
        </w:tc>
        <w:tc>
          <w:tcPr>
            <w:tcW w:w="900" w:type="dxa"/>
            <w:vAlign w:val="bottom"/>
            <w:tcBorders>
              <w:bottom w:val="single" w:sz="8" w:color="CCECFF"/>
            </w:tcBorders>
            <w:gridSpan w:val="2"/>
          </w:tcPr>
          <w:p>
            <w:pPr>
              <w:jc w:val="right"/>
              <w:spacing w:after="0"/>
              <w:rPr>
                <w:sz w:val="20"/>
                <w:szCs w:val="20"/>
                <w:color w:val="auto"/>
              </w:rPr>
            </w:pPr>
            <w:r>
              <w:rPr>
                <w:rFonts w:ascii="Arial" w:cs="Arial" w:eastAsia="Arial" w:hAnsi="Arial"/>
                <w:sz w:val="12"/>
                <w:szCs w:val="12"/>
                <w:color w:val="auto"/>
              </w:rPr>
              <w:t>10,191,523</w:t>
            </w:r>
          </w:p>
        </w:tc>
        <w:tc>
          <w:tcPr>
            <w:tcW w:w="240" w:type="dxa"/>
            <w:vAlign w:val="bottom"/>
            <w:tcBorders>
              <w:bottom w:val="single" w:sz="8" w:color="CCECFF"/>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10,140,435</w:t>
            </w:r>
          </w:p>
        </w:tc>
        <w:tc>
          <w:tcPr>
            <w:tcW w:w="240" w:type="dxa"/>
            <w:vAlign w:val="bottom"/>
            <w:tcBorders>
              <w:bottom w:val="single" w:sz="8" w:color="CCECFF"/>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10,191,523</w:t>
            </w:r>
          </w:p>
        </w:tc>
        <w:tc>
          <w:tcPr>
            <w:tcW w:w="100" w:type="dxa"/>
            <w:vAlign w:val="bottom"/>
            <w:tcBorders>
              <w:bottom w:val="single" w:sz="8" w:color="CCECFF"/>
            </w:tcBorders>
          </w:tcPr>
          <w:p>
            <w:pPr>
              <w:spacing w:after="0"/>
              <w:rPr>
                <w:sz w:val="12"/>
                <w:szCs w:val="12"/>
                <w:color w:val="auto"/>
              </w:rPr>
            </w:pPr>
          </w:p>
        </w:tc>
      </w:tr>
      <w:tr>
        <w:trPr>
          <w:trHeight w:val="142"/>
        </w:trPr>
        <w:tc>
          <w:tcPr>
            <w:tcW w:w="300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First Lien Secured Debt</w:t>
            </w:r>
          </w:p>
        </w:tc>
        <w:tc>
          <w:tcPr>
            <w:tcW w:w="12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2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738,022,050</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737,251,004</w:t>
            </w:r>
          </w:p>
        </w:tc>
        <w:tc>
          <w:tcPr>
            <w:tcW w:w="100" w:type="dxa"/>
            <w:vAlign w:val="bottom"/>
            <w:shd w:val="clear" w:color="auto" w:fill="CCECFF"/>
          </w:tcPr>
          <w:p>
            <w:pPr>
              <w:spacing w:after="0"/>
              <w:rPr>
                <w:sz w:val="12"/>
                <w:szCs w:val="12"/>
                <w:color w:val="auto"/>
              </w:rPr>
            </w:pPr>
          </w:p>
        </w:tc>
      </w:tr>
      <w:tr>
        <w:trPr>
          <w:trHeight w:val="142"/>
        </w:trPr>
        <w:tc>
          <w:tcPr>
            <w:tcW w:w="3000" w:type="dxa"/>
            <w:vAlign w:val="bottom"/>
          </w:tcPr>
          <w:p>
            <w:pPr>
              <w:spacing w:after="0"/>
              <w:rPr>
                <w:sz w:val="20"/>
                <w:szCs w:val="20"/>
                <w:color w:val="auto"/>
              </w:rPr>
            </w:pPr>
            <w:r>
              <w:rPr>
                <w:rFonts w:ascii="Arial" w:cs="Arial" w:eastAsia="Arial" w:hAnsi="Arial"/>
                <w:sz w:val="12"/>
                <w:szCs w:val="12"/>
                <w:b w:val="1"/>
                <w:bCs w:val="1"/>
                <w:color w:val="auto"/>
              </w:rPr>
              <w:t>Second Lien Secured Debt—6.6%</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Condor Borrower, LLC </w:t>
            </w:r>
            <w:r>
              <w:rPr>
                <w:rFonts w:ascii="Arial" w:cs="Arial" w:eastAsia="Arial" w:hAnsi="Arial"/>
                <w:sz w:val="9"/>
                <w:szCs w:val="9"/>
                <w:color w:val="auto"/>
              </w:rPr>
              <w:t>(7)</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04/25/2025</w:t>
            </w:r>
          </w:p>
        </w:tc>
        <w:tc>
          <w:tcPr>
            <w:tcW w:w="12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High Tech Industries</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11.11%</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L+875</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2,000,000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1,962,503</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2,000,000</w:t>
            </w:r>
          </w:p>
        </w:tc>
        <w:tc>
          <w:tcPr>
            <w:tcW w:w="100" w:type="dxa"/>
            <w:vAlign w:val="bottom"/>
            <w:shd w:val="clear" w:color="auto" w:fill="CCECFF"/>
          </w:tcPr>
          <w:p>
            <w:pPr>
              <w:spacing w:after="0"/>
              <w:rPr>
                <w:sz w:val="12"/>
                <w:szCs w:val="12"/>
                <w:color w:val="auto"/>
              </w:rPr>
            </w:pPr>
          </w:p>
        </w:tc>
      </w:tr>
      <w:tr>
        <w:trPr>
          <w:trHeight w:val="149"/>
        </w:trPr>
        <w:tc>
          <w:tcPr>
            <w:tcW w:w="3000" w:type="dxa"/>
            <w:vAlign w:val="bottom"/>
          </w:tcPr>
          <w:p>
            <w:pPr>
              <w:spacing w:after="0"/>
              <w:rPr>
                <w:sz w:val="20"/>
                <w:szCs w:val="20"/>
                <w:color w:val="auto"/>
              </w:rPr>
            </w:pPr>
            <w:r>
              <w:rPr>
                <w:rFonts w:ascii="Arial" w:cs="Arial" w:eastAsia="Arial" w:hAnsi="Arial"/>
                <w:sz w:val="12"/>
                <w:szCs w:val="12"/>
                <w:color w:val="auto"/>
              </w:rPr>
              <w:t xml:space="preserve">DecoPac, Inc. </w:t>
            </w:r>
            <w:r>
              <w:rPr>
                <w:rFonts w:ascii="Arial" w:cs="Arial" w:eastAsia="Arial" w:hAnsi="Arial"/>
                <w:sz w:val="9"/>
                <w:szCs w:val="9"/>
                <w:color w:val="auto"/>
              </w:rPr>
              <w:t>(7)</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03/31/2025</w:t>
            </w:r>
          </w:p>
        </w:tc>
        <w:tc>
          <w:tcPr>
            <w:tcW w:w="120" w:type="dxa"/>
            <w:vAlign w:val="bottom"/>
          </w:tcPr>
          <w:p>
            <w:pPr>
              <w:spacing w:after="0"/>
              <w:rPr>
                <w:sz w:val="12"/>
                <w:szCs w:val="12"/>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10.58%</w:t>
            </w:r>
          </w:p>
        </w:tc>
        <w:tc>
          <w:tcPr>
            <w:tcW w:w="740" w:type="dxa"/>
            <w:vAlign w:val="bottom"/>
          </w:tcPr>
          <w:p>
            <w:pPr>
              <w:jc w:val="right"/>
              <w:spacing w:after="0"/>
              <w:rPr>
                <w:sz w:val="20"/>
                <w:szCs w:val="20"/>
                <w:color w:val="auto"/>
              </w:rPr>
            </w:pPr>
            <w:r>
              <w:rPr>
                <w:rFonts w:ascii="Arial" w:cs="Arial" w:eastAsia="Arial" w:hAnsi="Arial"/>
                <w:sz w:val="12"/>
                <w:szCs w:val="12"/>
                <w:color w:val="auto"/>
              </w:rPr>
              <w:t>3M L+825</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11,341,463</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11,130,636</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11,341,463</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Howard Berger Co. LLC</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09/30/2020</w:t>
            </w:r>
          </w:p>
        </w:tc>
        <w:tc>
          <w:tcPr>
            <w:tcW w:w="12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Wholesale</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12.34%</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L+1,000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11,900,000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11,598,556</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11,305,000</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2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(PIK 4.99%)</w:t>
            </w:r>
          </w:p>
        </w:tc>
        <w:tc>
          <w:tcPr>
            <w:tcW w:w="7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9"/>
        </w:trPr>
        <w:tc>
          <w:tcPr>
            <w:tcW w:w="3000" w:type="dxa"/>
            <w:vAlign w:val="bottom"/>
          </w:tcPr>
          <w:p>
            <w:pPr>
              <w:spacing w:after="0"/>
              <w:rPr>
                <w:sz w:val="20"/>
                <w:szCs w:val="20"/>
                <w:color w:val="auto"/>
              </w:rPr>
            </w:pPr>
            <w:r>
              <w:rPr>
                <w:rFonts w:ascii="Arial" w:cs="Arial" w:eastAsia="Arial" w:hAnsi="Arial"/>
                <w:sz w:val="12"/>
                <w:szCs w:val="12"/>
                <w:color w:val="auto"/>
              </w:rPr>
              <w:t>MailSouth, Inc.</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10/23/2024</w:t>
            </w:r>
          </w:p>
        </w:tc>
        <w:tc>
          <w:tcPr>
            <w:tcW w:w="120" w:type="dxa"/>
            <w:vAlign w:val="bottom"/>
          </w:tcPr>
          <w:p>
            <w:pPr>
              <w:spacing w:after="0"/>
              <w:rPr>
                <w:sz w:val="12"/>
                <w:szCs w:val="12"/>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2"/>
                <w:szCs w:val="12"/>
                <w:color w:val="auto"/>
                <w:w w:val="90"/>
              </w:rPr>
              <w:t>Media: Advertising, Printing and Publishing</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12.00%</w:t>
            </w:r>
          </w:p>
        </w:tc>
        <w:tc>
          <w:tcPr>
            <w:tcW w:w="740" w:type="dxa"/>
            <w:vAlign w:val="bottom"/>
          </w:tcPr>
          <w:p>
            <w:pPr>
              <w:jc w:val="right"/>
              <w:spacing w:after="0"/>
              <w:rPr>
                <w:sz w:val="20"/>
                <w:szCs w:val="20"/>
                <w:color w:val="auto"/>
              </w:rPr>
            </w:pPr>
            <w:r>
              <w:rPr>
                <w:rFonts w:ascii="Arial" w:cs="Arial" w:eastAsia="Arial" w:hAnsi="Arial"/>
                <w:sz w:val="12"/>
                <w:szCs w:val="12"/>
                <w:color w:val="auto"/>
              </w:rPr>
              <w:t>3M L+925</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3,775,000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3,701,228</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3,699,500</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McAfee, LLC </w:t>
            </w:r>
            <w:r>
              <w:rPr>
                <w:rFonts w:ascii="Arial" w:cs="Arial" w:eastAsia="Arial" w:hAnsi="Arial"/>
                <w:sz w:val="9"/>
                <w:szCs w:val="9"/>
                <w:color w:val="auto"/>
              </w:rPr>
              <w:t>(7)</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09/29/2025</w:t>
            </w:r>
          </w:p>
        </w:tc>
        <w:tc>
          <w:tcPr>
            <w:tcW w:w="12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High Tech Industries</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10.59%</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L+850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2,500,000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2,463,778</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2,535,000</w:t>
            </w:r>
          </w:p>
        </w:tc>
        <w:tc>
          <w:tcPr>
            <w:tcW w:w="100" w:type="dxa"/>
            <w:vAlign w:val="bottom"/>
            <w:shd w:val="clear" w:color="auto" w:fill="CCECFF"/>
          </w:tcPr>
          <w:p>
            <w:pPr>
              <w:spacing w:after="0"/>
              <w:rPr>
                <w:sz w:val="12"/>
                <w:szCs w:val="12"/>
                <w:color w:val="auto"/>
              </w:rPr>
            </w:pPr>
          </w:p>
        </w:tc>
      </w:tr>
      <w:tr>
        <w:trPr>
          <w:trHeight w:val="149"/>
        </w:trPr>
        <w:tc>
          <w:tcPr>
            <w:tcW w:w="3000" w:type="dxa"/>
            <w:vAlign w:val="bottom"/>
          </w:tcPr>
          <w:p>
            <w:pPr>
              <w:spacing w:after="0"/>
              <w:rPr>
                <w:sz w:val="20"/>
                <w:szCs w:val="20"/>
                <w:color w:val="auto"/>
              </w:rPr>
            </w:pPr>
            <w:r>
              <w:rPr>
                <w:rFonts w:ascii="Arial" w:cs="Arial" w:eastAsia="Arial" w:hAnsi="Arial"/>
                <w:sz w:val="12"/>
                <w:szCs w:val="12"/>
                <w:color w:val="auto"/>
              </w:rPr>
              <w:t xml:space="preserve">PT Network, LLC </w:t>
            </w:r>
            <w:r>
              <w:rPr>
                <w:rFonts w:ascii="Arial" w:cs="Arial" w:eastAsia="Arial" w:hAnsi="Arial"/>
                <w:sz w:val="9"/>
                <w:szCs w:val="9"/>
                <w:color w:val="auto"/>
              </w:rPr>
              <w:t>(7)</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04/12/2023</w:t>
            </w:r>
          </w:p>
        </w:tc>
        <w:tc>
          <w:tcPr>
            <w:tcW w:w="120" w:type="dxa"/>
            <w:vAlign w:val="bottom"/>
          </w:tcPr>
          <w:p>
            <w:pPr>
              <w:spacing w:after="0"/>
              <w:rPr>
                <w:sz w:val="12"/>
                <w:szCs w:val="12"/>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12.34%</w:t>
            </w:r>
          </w:p>
        </w:tc>
        <w:tc>
          <w:tcPr>
            <w:tcW w:w="740" w:type="dxa"/>
            <w:vAlign w:val="bottom"/>
          </w:tcPr>
          <w:p>
            <w:pPr>
              <w:jc w:val="right"/>
              <w:spacing w:after="0"/>
              <w:rPr>
                <w:sz w:val="20"/>
                <w:szCs w:val="20"/>
                <w:color w:val="auto"/>
              </w:rPr>
            </w:pPr>
            <w:r>
              <w:rPr>
                <w:rFonts w:ascii="Arial" w:cs="Arial" w:eastAsia="Arial" w:hAnsi="Arial"/>
                <w:sz w:val="12"/>
                <w:szCs w:val="12"/>
                <w:color w:val="auto"/>
              </w:rPr>
              <w:t>3M L+1,000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1,666,667</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1,637,517</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1,650,000</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Veritext Corp.</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01/30/2023</w:t>
            </w:r>
          </w:p>
        </w:tc>
        <w:tc>
          <w:tcPr>
            <w:tcW w:w="12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5"/>
              </w:rPr>
              <w:t>Business Services</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11.33%</w:t>
            </w:r>
          </w:p>
        </w:tc>
        <w:tc>
          <w:tcPr>
            <w:tcW w:w="7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L+900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2,690,625</w:t>
            </w:r>
          </w:p>
        </w:tc>
        <w:tc>
          <w:tcPr>
            <w:tcW w:w="240" w:type="dxa"/>
            <w:vAlign w:val="bottom"/>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2,630,876</w:t>
            </w:r>
          </w:p>
        </w:tc>
        <w:tc>
          <w:tcPr>
            <w:tcW w:w="240" w:type="dxa"/>
            <w:vAlign w:val="bottom"/>
            <w:shd w:val="clear" w:color="auto" w:fill="CCECFF"/>
          </w:tcPr>
          <w:p>
            <w:pPr>
              <w:spacing w:after="0"/>
              <w:rPr>
                <w:sz w:val="12"/>
                <w:szCs w:val="12"/>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2,690,625</w:t>
            </w:r>
          </w:p>
        </w:tc>
        <w:tc>
          <w:tcPr>
            <w:tcW w:w="100" w:type="dxa"/>
            <w:vAlign w:val="bottom"/>
            <w:shd w:val="clear" w:color="auto" w:fill="CCECFF"/>
          </w:tcPr>
          <w:p>
            <w:pPr>
              <w:spacing w:after="0"/>
              <w:rPr>
                <w:sz w:val="12"/>
                <w:szCs w:val="12"/>
                <w:color w:val="auto"/>
              </w:rPr>
            </w:pPr>
          </w:p>
        </w:tc>
      </w:tr>
      <w:tr>
        <w:trPr>
          <w:trHeight w:val="142"/>
        </w:trPr>
        <w:tc>
          <w:tcPr>
            <w:tcW w:w="3000" w:type="dxa"/>
            <w:vAlign w:val="bottom"/>
          </w:tcPr>
          <w:p>
            <w:pPr>
              <w:spacing w:after="0"/>
              <w:rPr>
                <w:sz w:val="20"/>
                <w:szCs w:val="20"/>
                <w:color w:val="auto"/>
              </w:rPr>
            </w:pPr>
            <w:r>
              <w:rPr>
                <w:rFonts w:ascii="Arial" w:cs="Arial" w:eastAsia="Arial" w:hAnsi="Arial"/>
                <w:sz w:val="12"/>
                <w:szCs w:val="12"/>
                <w:b w:val="1"/>
                <w:bCs w:val="1"/>
                <w:color w:val="auto"/>
              </w:rPr>
              <w:t>Total Second Lien Secured Debt</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35,125,094</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35,221,588</w:t>
            </w:r>
          </w:p>
        </w:tc>
        <w:tc>
          <w:tcPr>
            <w:tcW w:w="100" w:type="dxa"/>
            <w:vAlign w:val="bottom"/>
          </w:tcPr>
          <w:p>
            <w:pPr>
              <w:spacing w:after="0"/>
              <w:rPr>
                <w:sz w:val="12"/>
                <w:szCs w:val="12"/>
                <w:color w:val="auto"/>
              </w:rPr>
            </w:pPr>
          </w:p>
        </w:tc>
      </w:tr>
      <w:tr>
        <w:trPr>
          <w:trHeight w:val="142"/>
        </w:trPr>
        <w:tc>
          <w:tcPr>
            <w:tcW w:w="3000" w:type="dxa"/>
            <w:vAlign w:val="bottom"/>
            <w:tcBorders>
              <w:top w:val="single" w:sz="8" w:color="CCECFF"/>
            </w:tcBorders>
            <w:shd w:val="clear" w:color="auto" w:fill="CCECFF"/>
          </w:tcPr>
          <w:p>
            <w:pPr>
              <w:spacing w:after="0"/>
              <w:rPr>
                <w:sz w:val="20"/>
                <w:szCs w:val="20"/>
                <w:color w:val="auto"/>
              </w:rPr>
            </w:pPr>
            <w:r>
              <w:rPr>
                <w:rFonts w:ascii="Arial" w:cs="Arial" w:eastAsia="Arial" w:hAnsi="Arial"/>
                <w:sz w:val="12"/>
                <w:szCs w:val="12"/>
                <w:b w:val="1"/>
                <w:bCs w:val="1"/>
                <w:color w:val="auto"/>
              </w:rPr>
              <w:t xml:space="preserve">Subordinated Debt/Corporate Notes—0.0% </w:t>
            </w:r>
            <w:r>
              <w:rPr>
                <w:rFonts w:ascii="Arial" w:cs="Arial" w:eastAsia="Arial" w:hAnsi="Arial"/>
                <w:sz w:val="9"/>
                <w:szCs w:val="9"/>
                <w:b w:val="1"/>
                <w:bCs w:val="1"/>
                <w:color w:val="auto"/>
              </w:rPr>
              <w:t>(7)</w:t>
            </w:r>
          </w:p>
        </w:tc>
        <w:tc>
          <w:tcPr>
            <w:tcW w:w="120" w:type="dxa"/>
            <w:vAlign w:val="bottom"/>
            <w:tcBorders>
              <w:top w:val="single" w:sz="8" w:color="CCECFF"/>
            </w:tcBorders>
            <w:shd w:val="clear" w:color="auto" w:fill="CCECFF"/>
          </w:tcPr>
          <w:p>
            <w:pPr>
              <w:spacing w:after="0"/>
              <w:rPr>
                <w:sz w:val="12"/>
                <w:szCs w:val="12"/>
                <w:color w:val="auto"/>
              </w:rPr>
            </w:pPr>
          </w:p>
        </w:tc>
        <w:tc>
          <w:tcPr>
            <w:tcW w:w="640" w:type="dxa"/>
            <w:vAlign w:val="bottom"/>
            <w:tcBorders>
              <w:top w:val="single" w:sz="8" w:color="CCECFF"/>
            </w:tcBorders>
            <w:shd w:val="clear" w:color="auto" w:fill="CCECFF"/>
          </w:tcPr>
          <w:p>
            <w:pPr>
              <w:spacing w:after="0"/>
              <w:rPr>
                <w:sz w:val="12"/>
                <w:szCs w:val="12"/>
                <w:color w:val="auto"/>
              </w:rPr>
            </w:pPr>
          </w:p>
        </w:tc>
        <w:tc>
          <w:tcPr>
            <w:tcW w:w="120" w:type="dxa"/>
            <w:vAlign w:val="bottom"/>
            <w:tcBorders>
              <w:top w:val="single" w:sz="8" w:color="CCECFF"/>
            </w:tcBorders>
            <w:shd w:val="clear" w:color="auto" w:fill="CCECFF"/>
          </w:tcPr>
          <w:p>
            <w:pPr>
              <w:spacing w:after="0"/>
              <w:rPr>
                <w:sz w:val="12"/>
                <w:szCs w:val="12"/>
                <w:color w:val="auto"/>
              </w:rPr>
            </w:pPr>
          </w:p>
        </w:tc>
        <w:tc>
          <w:tcPr>
            <w:tcW w:w="2640" w:type="dxa"/>
            <w:vAlign w:val="bottom"/>
            <w:tcBorders>
              <w:top w:val="single" w:sz="8" w:color="CCECFF"/>
            </w:tcBorders>
            <w:shd w:val="clear" w:color="auto" w:fill="CCECFF"/>
          </w:tcPr>
          <w:p>
            <w:pPr>
              <w:spacing w:after="0"/>
              <w:rPr>
                <w:sz w:val="12"/>
                <w:szCs w:val="12"/>
                <w:color w:val="auto"/>
              </w:rPr>
            </w:pPr>
          </w:p>
        </w:tc>
        <w:tc>
          <w:tcPr>
            <w:tcW w:w="120" w:type="dxa"/>
            <w:vAlign w:val="bottom"/>
            <w:tcBorders>
              <w:top w:val="single" w:sz="8" w:color="CCECFF"/>
            </w:tcBorders>
            <w:shd w:val="clear" w:color="auto" w:fill="CCECFF"/>
          </w:tcPr>
          <w:p>
            <w:pPr>
              <w:spacing w:after="0"/>
              <w:rPr>
                <w:sz w:val="12"/>
                <w:szCs w:val="12"/>
                <w:color w:val="auto"/>
              </w:rPr>
            </w:pPr>
          </w:p>
        </w:tc>
        <w:tc>
          <w:tcPr>
            <w:tcW w:w="680" w:type="dxa"/>
            <w:vAlign w:val="bottom"/>
            <w:tcBorders>
              <w:top w:val="single" w:sz="8" w:color="CCECFF"/>
            </w:tcBorders>
            <w:shd w:val="clear" w:color="auto" w:fill="CCECFF"/>
          </w:tcPr>
          <w:p>
            <w:pPr>
              <w:spacing w:after="0"/>
              <w:rPr>
                <w:sz w:val="12"/>
                <w:szCs w:val="12"/>
                <w:color w:val="auto"/>
              </w:rPr>
            </w:pPr>
          </w:p>
        </w:tc>
        <w:tc>
          <w:tcPr>
            <w:tcW w:w="280" w:type="dxa"/>
            <w:vAlign w:val="bottom"/>
            <w:tcBorders>
              <w:top w:val="single" w:sz="8" w:color="CCECFF"/>
            </w:tcBorders>
            <w:shd w:val="clear" w:color="auto" w:fill="CCECFF"/>
          </w:tcPr>
          <w:p>
            <w:pPr>
              <w:spacing w:after="0"/>
              <w:rPr>
                <w:sz w:val="12"/>
                <w:szCs w:val="12"/>
                <w:color w:val="auto"/>
              </w:rPr>
            </w:pPr>
          </w:p>
        </w:tc>
        <w:tc>
          <w:tcPr>
            <w:tcW w:w="740" w:type="dxa"/>
            <w:vAlign w:val="bottom"/>
            <w:tcBorders>
              <w:top w:val="single" w:sz="8" w:color="CCECFF"/>
            </w:tcBorders>
            <w:shd w:val="clear" w:color="auto" w:fill="CCECFF"/>
          </w:tcPr>
          <w:p>
            <w:pPr>
              <w:spacing w:after="0"/>
              <w:rPr>
                <w:sz w:val="12"/>
                <w:szCs w:val="12"/>
                <w:color w:val="auto"/>
              </w:rPr>
            </w:pPr>
          </w:p>
        </w:tc>
        <w:tc>
          <w:tcPr>
            <w:tcW w:w="220" w:type="dxa"/>
            <w:vAlign w:val="bottom"/>
            <w:tcBorders>
              <w:top w:val="single" w:sz="8" w:color="CCECFF"/>
            </w:tcBorders>
            <w:shd w:val="clear" w:color="auto" w:fill="CCECFF"/>
          </w:tcPr>
          <w:p>
            <w:pPr>
              <w:spacing w:after="0"/>
              <w:rPr>
                <w:sz w:val="12"/>
                <w:szCs w:val="12"/>
                <w:color w:val="auto"/>
              </w:rPr>
            </w:pPr>
          </w:p>
        </w:tc>
        <w:tc>
          <w:tcPr>
            <w:tcW w:w="680" w:type="dxa"/>
            <w:vAlign w:val="bottom"/>
            <w:tcBorders>
              <w:top w:val="single" w:sz="8" w:color="CCECFF"/>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70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720" w:type="dxa"/>
            <w:vAlign w:val="bottom"/>
            <w:tcBorders>
              <w:top w:val="single" w:sz="8" w:color="auto"/>
            </w:tcBorders>
            <w:shd w:val="clear" w:color="auto" w:fill="CCECFF"/>
          </w:tcPr>
          <w:p>
            <w:pPr>
              <w:spacing w:after="0"/>
              <w:rPr>
                <w:sz w:val="12"/>
                <w:szCs w:val="12"/>
                <w:color w:val="auto"/>
              </w:rPr>
            </w:pPr>
          </w:p>
        </w:tc>
        <w:tc>
          <w:tcPr>
            <w:tcW w:w="100" w:type="dxa"/>
            <w:vAlign w:val="bottom"/>
            <w:tcBorders>
              <w:top w:val="single" w:sz="8" w:color="CCECFF"/>
            </w:tcBorders>
            <w:shd w:val="clear" w:color="auto" w:fill="CCECFF"/>
          </w:tcPr>
          <w:p>
            <w:pPr>
              <w:spacing w:after="0"/>
              <w:rPr>
                <w:sz w:val="12"/>
                <w:szCs w:val="12"/>
                <w:color w:val="auto"/>
              </w:rPr>
            </w:pPr>
          </w:p>
        </w:tc>
      </w:tr>
      <w:tr>
        <w:trPr>
          <w:trHeight w:val="156"/>
        </w:trPr>
        <w:tc>
          <w:tcPr>
            <w:tcW w:w="3000" w:type="dxa"/>
            <w:vAlign w:val="bottom"/>
          </w:tcPr>
          <w:p>
            <w:pPr>
              <w:spacing w:after="0"/>
              <w:rPr>
                <w:sz w:val="20"/>
                <w:szCs w:val="20"/>
                <w:color w:val="auto"/>
              </w:rPr>
            </w:pPr>
            <w:r>
              <w:rPr>
                <w:rFonts w:ascii="Arial" w:cs="Arial" w:eastAsia="Arial" w:hAnsi="Arial"/>
                <w:sz w:val="12"/>
                <w:szCs w:val="12"/>
                <w:color w:val="auto"/>
              </w:rPr>
              <w:t xml:space="preserve">UniTek Global Services, Inc. </w:t>
            </w:r>
            <w:r>
              <w:rPr>
                <w:rFonts w:ascii="Arial" w:cs="Arial" w:eastAsia="Arial" w:hAnsi="Arial"/>
                <w:sz w:val="9"/>
                <w:szCs w:val="9"/>
                <w:color w:val="auto"/>
              </w:rPr>
              <w:t>(7)</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07/15/2019</w:t>
            </w:r>
          </w:p>
        </w:tc>
        <w:tc>
          <w:tcPr>
            <w:tcW w:w="120" w:type="dxa"/>
            <w:vAlign w:val="bottom"/>
          </w:tcPr>
          <w:p>
            <w:pPr>
              <w:spacing w:after="0"/>
              <w:rPr>
                <w:sz w:val="13"/>
                <w:szCs w:val="13"/>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Telecommunications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15.00%</w:t>
            </w:r>
          </w:p>
        </w:tc>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190,664</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190,664</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196,384</w:t>
            </w:r>
          </w:p>
        </w:tc>
        <w:tc>
          <w:tcPr>
            <w:tcW w:w="100" w:type="dxa"/>
            <w:vAlign w:val="bottom"/>
          </w:tcPr>
          <w:p>
            <w:pPr>
              <w:spacing w:after="0"/>
              <w:rPr>
                <w:sz w:val="13"/>
                <w:szCs w:val="13"/>
                <w:color w:val="auto"/>
              </w:rPr>
            </w:pPr>
          </w:p>
        </w:tc>
      </w:tr>
      <w:tr>
        <w:trPr>
          <w:trHeight w:val="141"/>
        </w:trPr>
        <w:tc>
          <w:tcPr>
            <w:tcW w:w="300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4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264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960" w:type="dxa"/>
            <w:vAlign w:val="bottom"/>
            <w:tcBorders>
              <w:bottom w:val="single" w:sz="8" w:color="CCECFF"/>
            </w:tcBorders>
            <w:gridSpan w:val="2"/>
          </w:tcPr>
          <w:p>
            <w:pPr>
              <w:jc w:val="right"/>
              <w:ind w:right="160"/>
              <w:spacing w:after="0"/>
              <w:rPr>
                <w:sz w:val="20"/>
                <w:szCs w:val="20"/>
                <w:color w:val="auto"/>
              </w:rPr>
            </w:pPr>
            <w:r>
              <w:rPr>
                <w:rFonts w:ascii="Arial" w:cs="Arial" w:eastAsia="Arial" w:hAnsi="Arial"/>
                <w:sz w:val="12"/>
                <w:szCs w:val="12"/>
                <w:color w:val="auto"/>
              </w:rPr>
              <w:t>(PIK 15.00%)</w:t>
            </w:r>
          </w:p>
        </w:tc>
        <w:tc>
          <w:tcPr>
            <w:tcW w:w="74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r>
      <w:tr>
        <w:trPr>
          <w:trHeight w:val="142"/>
        </w:trPr>
        <w:tc>
          <w:tcPr>
            <w:tcW w:w="300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Subordinated Debt/Corporate Notes</w:t>
            </w:r>
          </w:p>
        </w:tc>
        <w:tc>
          <w:tcPr>
            <w:tcW w:w="12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2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190,664</w:t>
            </w:r>
          </w:p>
        </w:tc>
        <w:tc>
          <w:tcPr>
            <w:tcW w:w="240" w:type="dxa"/>
            <w:vAlign w:val="bottom"/>
            <w:shd w:val="clear" w:color="auto" w:fill="CCECFF"/>
          </w:tcPr>
          <w:p>
            <w:pPr>
              <w:spacing w:after="0"/>
              <w:rPr>
                <w:sz w:val="12"/>
                <w:szCs w:val="12"/>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196,384</w:t>
            </w:r>
          </w:p>
        </w:tc>
        <w:tc>
          <w:tcPr>
            <w:tcW w:w="100" w:type="dxa"/>
            <w:vAlign w:val="bottom"/>
            <w:shd w:val="clear" w:color="auto" w:fill="CCECFF"/>
          </w:tcPr>
          <w:p>
            <w:pPr>
              <w:spacing w:after="0"/>
              <w:rPr>
                <w:sz w:val="12"/>
                <w:szCs w:val="12"/>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line="221" w:lineRule="auto"/>
        <w:rPr>
          <w:sz w:val="20"/>
          <w:szCs w:val="20"/>
          <w:color w:val="auto"/>
        </w:rPr>
      </w:pPr>
      <w:r>
        <w:rPr>
          <w:rFonts w:ascii="Arial" w:cs="Arial" w:eastAsia="Arial" w:hAnsi="Arial"/>
          <w:sz w:val="14"/>
          <w:szCs w:val="14"/>
          <w:b w:val="1"/>
          <w:bCs w:val="1"/>
          <w:color w:val="auto"/>
        </w:rPr>
        <w:t>JUNE 30, 2018</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5"/>
              </w:rPr>
              <w:t>Basis Point</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88"/>
              </w:rPr>
              <w:t>Spread</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right"/>
              <w:ind w:right="380"/>
              <w:spacing w:after="0" w:line="135" w:lineRule="exact"/>
              <w:rPr>
                <w:sz w:val="20"/>
                <w:szCs w:val="20"/>
                <w:color w:val="auto"/>
              </w:rPr>
            </w:pPr>
            <w:r>
              <w:rPr>
                <w:rFonts w:ascii="Arial" w:cs="Arial" w:eastAsia="Arial" w:hAnsi="Arial"/>
                <w:sz w:val="12"/>
                <w:szCs w:val="12"/>
                <w:b w:val="1"/>
                <w:bCs w:val="1"/>
                <w:color w:val="auto"/>
              </w:rPr>
              <w:t>Current</w:t>
            </w:r>
          </w:p>
        </w:tc>
        <w:tc>
          <w:tcPr>
            <w:tcW w:w="90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87"/>
              </w:rPr>
              <w:t>Above</w:t>
            </w:r>
          </w:p>
        </w:tc>
        <w:tc>
          <w:tcPr>
            <w:tcW w:w="92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92"/>
              </w:rPr>
              <w:t>Par /</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3040" w:type="dxa"/>
            <w:vAlign w:val="bottom"/>
          </w:tcPr>
          <w:p>
            <w:pPr>
              <w:spacing w:after="0"/>
              <w:rPr>
                <w:sz w:val="20"/>
                <w:szCs w:val="20"/>
                <w:color w:val="auto"/>
              </w:rPr>
            </w:pPr>
            <w:r>
              <w:rPr>
                <w:rFonts w:ascii="Arial" w:cs="Arial" w:eastAsia="Arial" w:hAnsi="Arial"/>
                <w:sz w:val="12"/>
                <w:szCs w:val="12"/>
                <w:b w:val="1"/>
                <w:bCs w:val="1"/>
                <w:color w:val="auto"/>
              </w:rPr>
              <w:t>Issuer Name</w:t>
            </w:r>
          </w:p>
        </w:tc>
        <w:tc>
          <w:tcPr>
            <w:tcW w:w="120" w:type="dxa"/>
            <w:vAlign w:val="bottom"/>
          </w:tcPr>
          <w:p>
            <w:pPr>
              <w:spacing w:after="0"/>
              <w:rPr>
                <w:sz w:val="12"/>
                <w:szCs w:val="12"/>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8"/>
              </w:rPr>
              <w:t>Maturity</w:t>
            </w:r>
          </w:p>
        </w:tc>
        <w:tc>
          <w:tcPr>
            <w:tcW w:w="278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2"/>
              </w:rPr>
              <w:t>Industry</w:t>
            </w:r>
          </w:p>
        </w:tc>
        <w:tc>
          <w:tcPr>
            <w:tcW w:w="920" w:type="dxa"/>
            <w:vAlign w:val="bottom"/>
            <w:gridSpan w:val="2"/>
          </w:tcPr>
          <w:p>
            <w:pPr>
              <w:jc w:val="right"/>
              <w:ind w:right="380"/>
              <w:spacing w:after="0"/>
              <w:rPr>
                <w:sz w:val="20"/>
                <w:szCs w:val="20"/>
                <w:color w:val="auto"/>
              </w:rPr>
            </w:pPr>
            <w:r>
              <w:rPr>
                <w:rFonts w:ascii="Arial" w:cs="Arial" w:eastAsia="Arial" w:hAnsi="Arial"/>
                <w:sz w:val="12"/>
                <w:szCs w:val="12"/>
                <w:b w:val="1"/>
                <w:bCs w:val="1"/>
                <w:color w:val="auto"/>
              </w:rPr>
              <w:t>Coupon</w:t>
            </w:r>
          </w:p>
        </w:tc>
        <w:tc>
          <w:tcPr>
            <w:tcW w:w="9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(1)</w:t>
            </w:r>
          </w:p>
        </w:tc>
        <w:tc>
          <w:tcPr>
            <w:tcW w:w="92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4"/>
              </w:rPr>
              <w:t>Shares</w:t>
            </w:r>
          </w:p>
        </w:tc>
        <w:tc>
          <w:tcPr>
            <w:tcW w:w="80" w:type="dxa"/>
            <w:vAlign w:val="bottom"/>
          </w:tcPr>
          <w:p>
            <w:pPr>
              <w:spacing w:after="0"/>
              <w:rPr>
                <w:sz w:val="12"/>
                <w:szCs w:val="12"/>
                <w:color w:val="auto"/>
              </w:rPr>
            </w:pP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Cost</w:t>
            </w:r>
          </w:p>
        </w:tc>
        <w:tc>
          <w:tcPr>
            <w:tcW w:w="860" w:type="dxa"/>
            <w:vAlign w:val="bottom"/>
            <w:gridSpan w:val="3"/>
          </w:tcPr>
          <w:p>
            <w:pPr>
              <w:jc w:val="right"/>
              <w:ind w:right="160"/>
              <w:spacing w:after="0"/>
              <w:rPr>
                <w:sz w:val="20"/>
                <w:szCs w:val="20"/>
                <w:color w:val="auto"/>
              </w:rPr>
            </w:pPr>
            <w:r>
              <w:rPr>
                <w:rFonts w:ascii="Arial" w:cs="Arial" w:eastAsia="Arial" w:hAnsi="Arial"/>
                <w:sz w:val="12"/>
                <w:szCs w:val="12"/>
                <w:b w:val="1"/>
                <w:bCs w:val="1"/>
                <w:color w:val="auto"/>
                <w:w w:val="94"/>
              </w:rPr>
              <w:t xml:space="preserve">Fair Value </w:t>
            </w:r>
            <w:r>
              <w:rPr>
                <w:rFonts w:ascii="Arial" w:cs="Arial" w:eastAsia="Arial" w:hAnsi="Arial"/>
                <w:sz w:val="9"/>
                <w:szCs w:val="9"/>
                <w:b w:val="1"/>
                <w:bCs w:val="1"/>
                <w:color w:val="auto"/>
                <w:w w:val="94"/>
              </w:rPr>
              <w:t>(2)</w:t>
            </w:r>
          </w:p>
        </w:tc>
        <w:tc>
          <w:tcPr>
            <w:tcW w:w="0" w:type="dxa"/>
            <w:vAlign w:val="bottom"/>
          </w:tcPr>
          <w:p>
            <w:pPr>
              <w:spacing w:after="0"/>
              <w:rPr>
                <w:sz w:val="1"/>
                <w:szCs w:val="1"/>
                <w:color w:val="auto"/>
              </w:rPr>
            </w:pPr>
          </w:p>
        </w:tc>
      </w:tr>
      <w:tr>
        <w:trPr>
          <w:trHeight w:val="142"/>
        </w:trPr>
        <w:tc>
          <w:tcPr>
            <w:tcW w:w="3040" w:type="dxa"/>
            <w:vAlign w:val="bottom"/>
            <w:tcBorders>
              <w:top w:val="single" w:sz="8" w:color="auto"/>
            </w:tcBorders>
            <w:shd w:val="clear" w:color="auto" w:fill="CCECFF"/>
          </w:tcPr>
          <w:p>
            <w:pPr>
              <w:spacing w:after="0"/>
              <w:rPr>
                <w:sz w:val="20"/>
                <w:szCs w:val="20"/>
                <w:color w:val="auto"/>
              </w:rPr>
            </w:pPr>
            <w:r>
              <w:rPr>
                <w:rFonts w:ascii="Arial" w:cs="Arial" w:eastAsia="Arial" w:hAnsi="Arial"/>
                <w:sz w:val="12"/>
                <w:szCs w:val="12"/>
                <w:b w:val="1"/>
                <w:bCs w:val="1"/>
                <w:color w:val="auto"/>
              </w:rPr>
              <w:t xml:space="preserve">Preferred Equity—0.4% </w:t>
            </w:r>
            <w:r>
              <w:rPr>
                <w:rFonts w:ascii="Arial" w:cs="Arial" w:eastAsia="Arial" w:hAnsi="Arial"/>
                <w:sz w:val="9"/>
                <w:szCs w:val="9"/>
                <w:b w:val="1"/>
                <w:bCs w:val="1"/>
                <w:color w:val="auto"/>
              </w:rPr>
              <w:t>(6), (7)</w:t>
            </w:r>
          </w:p>
        </w:tc>
        <w:tc>
          <w:tcPr>
            <w:tcW w:w="120" w:type="dxa"/>
            <w:vAlign w:val="bottom"/>
            <w:tcBorders>
              <w:top w:val="single" w:sz="8" w:color="CCECFF"/>
            </w:tcBorders>
            <w:shd w:val="clear" w:color="auto" w:fill="CCECFF"/>
          </w:tcPr>
          <w:p>
            <w:pPr>
              <w:spacing w:after="0"/>
              <w:rPr>
                <w:sz w:val="12"/>
                <w:szCs w:val="12"/>
                <w:color w:val="auto"/>
              </w:rPr>
            </w:pPr>
          </w:p>
        </w:tc>
        <w:tc>
          <w:tcPr>
            <w:tcW w:w="540" w:type="dxa"/>
            <w:vAlign w:val="bottom"/>
            <w:tcBorders>
              <w:top w:val="single" w:sz="8" w:color="auto"/>
            </w:tcBorders>
            <w:shd w:val="clear" w:color="auto" w:fill="CCECFF"/>
          </w:tcPr>
          <w:p>
            <w:pPr>
              <w:spacing w:after="0"/>
              <w:rPr>
                <w:sz w:val="12"/>
                <w:szCs w:val="12"/>
                <w:color w:val="auto"/>
              </w:rPr>
            </w:pPr>
          </w:p>
        </w:tc>
        <w:tc>
          <w:tcPr>
            <w:tcW w:w="220" w:type="dxa"/>
            <w:vAlign w:val="bottom"/>
            <w:tcBorders>
              <w:top w:val="single" w:sz="8" w:color="CCECFF"/>
            </w:tcBorders>
            <w:shd w:val="clear" w:color="auto" w:fill="CCECFF"/>
          </w:tcPr>
          <w:p>
            <w:pPr>
              <w:spacing w:after="0"/>
              <w:rPr>
                <w:sz w:val="12"/>
                <w:szCs w:val="12"/>
                <w:color w:val="auto"/>
              </w:rPr>
            </w:pPr>
          </w:p>
        </w:tc>
        <w:tc>
          <w:tcPr>
            <w:tcW w:w="2660" w:type="dxa"/>
            <w:vAlign w:val="bottom"/>
            <w:tcBorders>
              <w:top w:val="single" w:sz="8" w:color="auto"/>
            </w:tcBorders>
            <w:shd w:val="clear" w:color="auto" w:fill="CCECFF"/>
          </w:tcPr>
          <w:p>
            <w:pPr>
              <w:spacing w:after="0"/>
              <w:rPr>
                <w:sz w:val="12"/>
                <w:szCs w:val="12"/>
                <w:color w:val="auto"/>
              </w:rPr>
            </w:pPr>
          </w:p>
        </w:tc>
        <w:tc>
          <w:tcPr>
            <w:tcW w:w="120" w:type="dxa"/>
            <w:vAlign w:val="bottom"/>
            <w:tcBorders>
              <w:top w:val="single" w:sz="8" w:color="CCECFF"/>
            </w:tcBorders>
            <w:shd w:val="clear" w:color="auto" w:fill="CCECFF"/>
          </w:tcPr>
          <w:p>
            <w:pPr>
              <w:spacing w:after="0"/>
              <w:rPr>
                <w:sz w:val="12"/>
                <w:szCs w:val="12"/>
                <w:color w:val="auto"/>
              </w:rPr>
            </w:pPr>
          </w:p>
        </w:tc>
        <w:tc>
          <w:tcPr>
            <w:tcW w:w="68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680" w:type="dxa"/>
            <w:vAlign w:val="bottom"/>
            <w:tcBorders>
              <w:top w:val="single" w:sz="8" w:color="auto"/>
            </w:tcBorders>
            <w:shd w:val="clear" w:color="auto" w:fill="CCECFF"/>
          </w:tcPr>
          <w:p>
            <w:pPr>
              <w:spacing w:after="0"/>
              <w:rPr>
                <w:sz w:val="12"/>
                <w:szCs w:val="12"/>
                <w:color w:val="auto"/>
              </w:rPr>
            </w:pPr>
          </w:p>
        </w:tc>
        <w:tc>
          <w:tcPr>
            <w:tcW w:w="220" w:type="dxa"/>
            <w:vAlign w:val="bottom"/>
            <w:tcBorders>
              <w:top w:val="single" w:sz="8" w:color="CCECFF"/>
            </w:tcBorders>
            <w:shd w:val="clear" w:color="auto" w:fill="CCECFF"/>
          </w:tcPr>
          <w:p>
            <w:pPr>
              <w:spacing w:after="0"/>
              <w:rPr>
                <w:sz w:val="12"/>
                <w:szCs w:val="12"/>
                <w:color w:val="auto"/>
              </w:rPr>
            </w:pPr>
          </w:p>
        </w:tc>
        <w:tc>
          <w:tcPr>
            <w:tcW w:w="68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tcBorders>
            <w:shd w:val="clear" w:color="auto" w:fill="CCECFF"/>
          </w:tcPr>
          <w:p>
            <w:pPr>
              <w:spacing w:after="0"/>
              <w:rPr>
                <w:sz w:val="12"/>
                <w:szCs w:val="12"/>
                <w:color w:val="auto"/>
              </w:rPr>
            </w:pPr>
          </w:p>
        </w:tc>
        <w:tc>
          <w:tcPr>
            <w:tcW w:w="62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tcBorders>
            <w:shd w:val="clear" w:color="auto" w:fill="CCECFF"/>
          </w:tcPr>
          <w:p>
            <w:pPr>
              <w:spacing w:after="0"/>
              <w:rPr>
                <w:sz w:val="12"/>
                <w:szCs w:val="12"/>
                <w:color w:val="auto"/>
              </w:rPr>
            </w:pPr>
          </w:p>
        </w:tc>
        <w:tc>
          <w:tcPr>
            <w:tcW w:w="680" w:type="dxa"/>
            <w:vAlign w:val="bottom"/>
            <w:tcBorders>
              <w:top w:val="single" w:sz="8" w:color="auto"/>
            </w:tcBorders>
            <w:shd w:val="clear" w:color="auto" w:fill="CCECFF"/>
          </w:tcPr>
          <w:p>
            <w:pPr>
              <w:spacing w:after="0"/>
              <w:rPr>
                <w:sz w:val="12"/>
                <w:szCs w:val="12"/>
                <w:color w:val="auto"/>
              </w:rPr>
            </w:pPr>
          </w:p>
        </w:tc>
        <w:tc>
          <w:tcPr>
            <w:tcW w:w="100" w:type="dxa"/>
            <w:vAlign w:val="bottom"/>
            <w:tcBorders>
              <w:top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040" w:type="dxa"/>
            <w:vAlign w:val="bottom"/>
          </w:tcPr>
          <w:p>
            <w:pPr>
              <w:spacing w:after="0"/>
              <w:rPr>
                <w:sz w:val="20"/>
                <w:szCs w:val="20"/>
                <w:color w:val="auto"/>
              </w:rPr>
            </w:pPr>
            <w:r>
              <w:rPr>
                <w:rFonts w:ascii="Arial" w:cs="Arial" w:eastAsia="Arial" w:hAnsi="Arial"/>
                <w:sz w:val="12"/>
                <w:szCs w:val="12"/>
                <w:color w:val="auto"/>
              </w:rPr>
              <w:t>CI (PTN) Investment Holdings II, LLC</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780" w:type="dxa"/>
            <w:vAlign w:val="bottom"/>
            <w:gridSpan w:val="2"/>
          </w:tcPr>
          <w:p>
            <w:pPr>
              <w:jc w:val="center"/>
              <w:ind w:right="120"/>
              <w:spacing w:after="0"/>
              <w:rPr>
                <w:sz w:val="20"/>
                <w:szCs w:val="20"/>
                <w:color w:val="auto"/>
              </w:rPr>
            </w:pPr>
            <w:r>
              <w:rPr>
                <w:rFonts w:ascii="Arial" w:cs="Arial" w:eastAsia="Arial" w:hAnsi="Arial"/>
                <w:sz w:val="12"/>
                <w:szCs w:val="12"/>
                <w:color w:val="auto"/>
                <w:w w:val="86"/>
              </w:rPr>
              <w:t>Healthcare and Pharmaceuticals</w:t>
            </w: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1,458</w:t>
            </w:r>
          </w:p>
        </w:tc>
        <w:tc>
          <w:tcPr>
            <w:tcW w:w="240" w:type="dxa"/>
            <w:vAlign w:val="bottom"/>
          </w:tcPr>
          <w:p>
            <w:pPr>
              <w:spacing w:after="0"/>
              <w:rPr>
                <w:sz w:val="13"/>
                <w:szCs w:val="13"/>
                <w:color w:val="auto"/>
              </w:rPr>
            </w:pPr>
          </w:p>
        </w:tc>
        <w:tc>
          <w:tcPr>
            <w:tcW w:w="80" w:type="dxa"/>
            <w:vAlign w:val="bottom"/>
          </w:tcPr>
          <w:p>
            <w:pPr>
              <w:jc w:val="right"/>
              <w:ind w:right="17"/>
              <w:spacing w:after="0"/>
              <w:rPr>
                <w:sz w:val="20"/>
                <w:szCs w:val="20"/>
                <w:color w:val="auto"/>
              </w:rPr>
            </w:pPr>
            <w:r>
              <w:rPr>
                <w:rFonts w:ascii="Arial" w:cs="Arial" w:eastAsia="Arial" w:hAnsi="Arial"/>
                <w:sz w:val="5"/>
                <w:szCs w:val="5"/>
                <w:color w:val="auto"/>
                <w:w w:val="70"/>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21,870</w:t>
            </w:r>
          </w:p>
        </w:tc>
        <w:tc>
          <w:tcPr>
            <w:tcW w:w="2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22,166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040" w:type="dxa"/>
            <w:vAlign w:val="bottom"/>
          </w:tcPr>
          <w:p>
            <w:pPr>
              <w:ind w:left="140"/>
              <w:spacing w:after="0"/>
              <w:rPr>
                <w:sz w:val="20"/>
                <w:szCs w:val="20"/>
                <w:color w:val="auto"/>
              </w:rPr>
            </w:pPr>
            <w:r>
              <w:rPr>
                <w:rFonts w:ascii="Arial" w:cs="Arial" w:eastAsia="Arial" w:hAnsi="Arial"/>
                <w:sz w:val="12"/>
                <w:szCs w:val="12"/>
                <w:color w:val="auto"/>
              </w:rPr>
              <w:t xml:space="preserve">(PT Network, LLC) </w:t>
            </w:r>
            <w:r>
              <w:rPr>
                <w:rFonts w:ascii="Arial" w:cs="Arial" w:eastAsia="Arial" w:hAnsi="Arial"/>
                <w:sz w:val="9"/>
                <w:szCs w:val="9"/>
                <w:color w:val="auto"/>
              </w:rPr>
              <w:t>(11)</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Condor Holdings Limited </w:t>
            </w:r>
            <w:r>
              <w:rPr>
                <w:rFonts w:ascii="Arial" w:cs="Arial" w:eastAsia="Arial" w:hAnsi="Arial"/>
                <w:sz w:val="9"/>
                <w:szCs w:val="9"/>
                <w:color w:val="auto"/>
              </w:rPr>
              <w:t>(5), (9)</w:t>
            </w:r>
          </w:p>
        </w:tc>
        <w:tc>
          <w:tcPr>
            <w:tcW w:w="120" w:type="dxa"/>
            <w:vAlign w:val="bottom"/>
            <w:shd w:val="clear" w:color="auto" w:fill="CCECFF"/>
          </w:tcPr>
          <w:p>
            <w:pPr>
              <w:spacing w:after="0"/>
              <w:rPr>
                <w:sz w:val="12"/>
                <w:szCs w:val="12"/>
                <w:color w:val="auto"/>
              </w:rPr>
            </w:pP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78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9"/>
              </w:rPr>
              <w:t>High Tech Industries</w:t>
            </w:r>
          </w:p>
        </w:tc>
        <w:tc>
          <w:tcPr>
            <w:tcW w:w="92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88,000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10,173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10,173</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 xml:space="preserve">Condor Top Holdco Limited </w:t>
            </w:r>
            <w:r>
              <w:rPr>
                <w:rFonts w:ascii="Arial" w:cs="Arial" w:eastAsia="Arial" w:hAnsi="Arial"/>
                <w:sz w:val="9"/>
                <w:szCs w:val="9"/>
                <w:color w:val="auto"/>
              </w:rPr>
              <w:t>(5), (9)</w:t>
            </w:r>
          </w:p>
        </w:tc>
        <w:tc>
          <w:tcPr>
            <w:tcW w:w="120" w:type="dxa"/>
            <w:vAlign w:val="bottom"/>
          </w:tcPr>
          <w:p>
            <w:pPr>
              <w:spacing w:after="0"/>
              <w:rPr>
                <w:sz w:val="12"/>
                <w:szCs w:val="12"/>
                <w:color w:val="auto"/>
              </w:rPr>
            </w:pPr>
          </w:p>
        </w:tc>
        <w:tc>
          <w:tcPr>
            <w:tcW w:w="76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78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High Tech Industries</w:t>
            </w: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88,000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77,827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77,827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UniTek Global Services, Inc. - Senior Preferred Equity</w:t>
            </w:r>
          </w:p>
        </w:tc>
        <w:tc>
          <w:tcPr>
            <w:tcW w:w="120" w:type="dxa"/>
            <w:vAlign w:val="bottom"/>
            <w:shd w:val="clear" w:color="auto" w:fill="CCECFF"/>
          </w:tcPr>
          <w:p>
            <w:pPr>
              <w:spacing w:after="0"/>
              <w:rPr>
                <w:sz w:val="12"/>
                <w:szCs w:val="12"/>
                <w:color w:val="auto"/>
              </w:rPr>
            </w:pP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78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9"/>
              </w:rPr>
              <w:t>Telecommunications</w:t>
            </w:r>
          </w:p>
        </w:tc>
        <w:tc>
          <w:tcPr>
            <w:tcW w:w="9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18.00%</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448,851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448,851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544,319</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40" w:type="dxa"/>
            <w:vAlign w:val="bottom"/>
            <w:tcBorders>
              <w:bottom w:val="single" w:sz="8" w:color="CCECFF"/>
            </w:tcBorders>
          </w:tcPr>
          <w:p>
            <w:pPr>
              <w:spacing w:after="0"/>
              <w:rPr>
                <w:sz w:val="20"/>
                <w:szCs w:val="20"/>
                <w:color w:val="auto"/>
              </w:rPr>
            </w:pPr>
            <w:r>
              <w:rPr>
                <w:rFonts w:ascii="Arial" w:cs="Arial" w:eastAsia="Arial" w:hAnsi="Arial"/>
                <w:sz w:val="12"/>
                <w:szCs w:val="12"/>
                <w:color w:val="auto"/>
              </w:rPr>
              <w:t>UniTek Global Services, Inc.</w:t>
            </w:r>
          </w:p>
        </w:tc>
        <w:tc>
          <w:tcPr>
            <w:tcW w:w="120" w:type="dxa"/>
            <w:vAlign w:val="bottom"/>
            <w:tcBorders>
              <w:bottom w:val="single" w:sz="8" w:color="CCECFF"/>
            </w:tcBorders>
          </w:tcPr>
          <w:p>
            <w:pPr>
              <w:spacing w:after="0"/>
              <w:rPr>
                <w:sz w:val="12"/>
                <w:szCs w:val="12"/>
                <w:color w:val="auto"/>
              </w:rPr>
            </w:pPr>
          </w:p>
        </w:tc>
        <w:tc>
          <w:tcPr>
            <w:tcW w:w="760" w:type="dxa"/>
            <w:vAlign w:val="bottom"/>
            <w:tcBorders>
              <w:bottom w:val="single" w:sz="8" w:color="CCECFF"/>
            </w:tcBorders>
            <w:gridSpan w:val="2"/>
          </w:tcPr>
          <w:p>
            <w:pPr>
              <w:ind w:left="260"/>
              <w:spacing w:after="0"/>
              <w:rPr>
                <w:sz w:val="20"/>
                <w:szCs w:val="20"/>
                <w:color w:val="auto"/>
              </w:rPr>
            </w:pPr>
            <w:r>
              <w:rPr>
                <w:rFonts w:ascii="Arial" w:cs="Arial" w:eastAsia="Arial" w:hAnsi="Arial"/>
                <w:sz w:val="12"/>
                <w:szCs w:val="12"/>
                <w:color w:val="auto"/>
              </w:rPr>
              <w:t>—</w:t>
            </w:r>
          </w:p>
        </w:tc>
        <w:tc>
          <w:tcPr>
            <w:tcW w:w="2780" w:type="dxa"/>
            <w:vAlign w:val="bottom"/>
            <w:tcBorders>
              <w:bottom w:val="single" w:sz="8" w:color="CCECFF"/>
            </w:tcBorders>
            <w:gridSpan w:val="2"/>
          </w:tcPr>
          <w:p>
            <w:pPr>
              <w:jc w:val="center"/>
              <w:ind w:right="120"/>
              <w:spacing w:after="0"/>
              <w:rPr>
                <w:sz w:val="20"/>
                <w:szCs w:val="20"/>
                <w:color w:val="auto"/>
              </w:rPr>
            </w:pPr>
            <w:r>
              <w:rPr>
                <w:rFonts w:ascii="Arial" w:cs="Arial" w:eastAsia="Arial" w:hAnsi="Arial"/>
                <w:sz w:val="12"/>
                <w:szCs w:val="12"/>
                <w:color w:val="auto"/>
                <w:w w:val="89"/>
              </w:rPr>
              <w:t>Telecommunications</w:t>
            </w:r>
          </w:p>
        </w:tc>
        <w:tc>
          <w:tcPr>
            <w:tcW w:w="920" w:type="dxa"/>
            <w:vAlign w:val="bottom"/>
            <w:tcBorders>
              <w:bottom w:val="single" w:sz="8" w:color="CCECFF"/>
            </w:tcBorders>
            <w:gridSpan w:val="2"/>
          </w:tcPr>
          <w:p>
            <w:pPr>
              <w:jc w:val="right"/>
              <w:ind w:right="140"/>
              <w:spacing w:after="0"/>
              <w:rPr>
                <w:sz w:val="20"/>
                <w:szCs w:val="20"/>
                <w:color w:val="auto"/>
              </w:rPr>
            </w:pPr>
            <w:r>
              <w:rPr>
                <w:rFonts w:ascii="Arial" w:cs="Arial" w:eastAsia="Arial" w:hAnsi="Arial"/>
                <w:sz w:val="12"/>
                <w:szCs w:val="12"/>
                <w:color w:val="auto"/>
              </w:rPr>
              <w:t>13.50%</w:t>
            </w:r>
          </w:p>
        </w:tc>
        <w:tc>
          <w:tcPr>
            <w:tcW w:w="900" w:type="dxa"/>
            <w:vAlign w:val="bottom"/>
            <w:tcBorders>
              <w:bottom w:val="single" w:sz="8" w:color="CCECFF"/>
            </w:tcBorders>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rPr>
              <w:t>1,047,317</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670,283</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1,669,307</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4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Preferred Equity</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6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1,229,004</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2,323,792</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40" w:type="dxa"/>
            <w:vAlign w:val="bottom"/>
          </w:tcPr>
          <w:p>
            <w:pPr>
              <w:spacing w:after="0"/>
              <w:rPr>
                <w:sz w:val="20"/>
                <w:szCs w:val="20"/>
                <w:color w:val="auto"/>
              </w:rPr>
            </w:pPr>
            <w:r>
              <w:rPr>
                <w:rFonts w:ascii="Arial" w:cs="Arial" w:eastAsia="Arial" w:hAnsi="Arial"/>
                <w:sz w:val="12"/>
                <w:szCs w:val="12"/>
                <w:b w:val="1"/>
                <w:bCs w:val="1"/>
                <w:color w:val="auto"/>
              </w:rPr>
              <w:t xml:space="preserve">Common Equity/Warrants—2.3% </w:t>
            </w:r>
            <w:r>
              <w:rPr>
                <w:rFonts w:ascii="Arial" w:cs="Arial" w:eastAsia="Arial" w:hAnsi="Arial"/>
                <w:sz w:val="9"/>
                <w:szCs w:val="9"/>
                <w:b w:val="1"/>
                <w:bCs w:val="1"/>
                <w:color w:val="auto"/>
              </w:rPr>
              <w:t>(6), (7)</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Affinion Group Holdings, Inc.</w:t>
            </w:r>
          </w:p>
        </w:tc>
        <w:tc>
          <w:tcPr>
            <w:tcW w:w="120" w:type="dxa"/>
            <w:vAlign w:val="bottom"/>
            <w:shd w:val="clear" w:color="auto" w:fill="CCECFF"/>
          </w:tcPr>
          <w:p>
            <w:pPr>
              <w:spacing w:after="0"/>
              <w:rPr>
                <w:sz w:val="12"/>
                <w:szCs w:val="12"/>
                <w:color w:val="auto"/>
              </w:rPr>
            </w:pP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78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8"/>
              </w:rPr>
              <w:t>Consumer Goods: Durable</w:t>
            </w:r>
          </w:p>
        </w:tc>
        <w:tc>
          <w:tcPr>
            <w:tcW w:w="92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99,029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3,514,571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1,913,805</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Affinion Group Holdings, Inc., Series C and Series D</w:t>
            </w:r>
          </w:p>
        </w:tc>
        <w:tc>
          <w:tcPr>
            <w:tcW w:w="120" w:type="dxa"/>
            <w:vAlign w:val="bottom"/>
          </w:tcPr>
          <w:p>
            <w:pPr>
              <w:spacing w:after="0"/>
              <w:rPr>
                <w:sz w:val="12"/>
                <w:szCs w:val="12"/>
                <w:color w:val="auto"/>
              </w:rPr>
            </w:pPr>
          </w:p>
        </w:tc>
        <w:tc>
          <w:tcPr>
            <w:tcW w:w="76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780" w:type="dxa"/>
            <w:vAlign w:val="bottom"/>
            <w:gridSpan w:val="2"/>
          </w:tcPr>
          <w:p>
            <w:pPr>
              <w:jc w:val="center"/>
              <w:ind w:right="120"/>
              <w:spacing w:after="0"/>
              <w:rPr>
                <w:sz w:val="20"/>
                <w:szCs w:val="20"/>
                <w:color w:val="auto"/>
              </w:rPr>
            </w:pPr>
            <w:r>
              <w:rPr>
                <w:rFonts w:ascii="Arial" w:cs="Arial" w:eastAsia="Arial" w:hAnsi="Arial"/>
                <w:sz w:val="12"/>
                <w:szCs w:val="12"/>
                <w:color w:val="auto"/>
                <w:w w:val="88"/>
              </w:rPr>
              <w:t>Consumer Goods: Durable</w:t>
            </w: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4,298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1,186,649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3,333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By Light Investco LP </w:t>
            </w:r>
            <w:r>
              <w:rPr>
                <w:rFonts w:ascii="Arial" w:cs="Arial" w:eastAsia="Arial" w:hAnsi="Arial"/>
                <w:sz w:val="9"/>
                <w:szCs w:val="9"/>
                <w:color w:val="auto"/>
              </w:rPr>
              <w:t>(11)</w:t>
            </w:r>
          </w:p>
        </w:tc>
        <w:tc>
          <w:tcPr>
            <w:tcW w:w="120" w:type="dxa"/>
            <w:vAlign w:val="bottom"/>
            <w:shd w:val="clear" w:color="auto" w:fill="CCECFF"/>
          </w:tcPr>
          <w:p>
            <w:pPr>
              <w:spacing w:after="0"/>
              <w:rPr>
                <w:sz w:val="12"/>
                <w:szCs w:val="12"/>
                <w:color w:val="auto"/>
              </w:rPr>
            </w:pP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78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9"/>
              </w:rPr>
              <w:t>High Tech Industries</w:t>
            </w:r>
          </w:p>
        </w:tc>
        <w:tc>
          <w:tcPr>
            <w:tcW w:w="92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21,908</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2,190,771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4,202,797</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 xml:space="preserve">By Light Investco LP </w:t>
            </w:r>
            <w:r>
              <w:rPr>
                <w:rFonts w:ascii="Arial" w:cs="Arial" w:eastAsia="Arial" w:hAnsi="Arial"/>
                <w:sz w:val="9"/>
                <w:szCs w:val="9"/>
                <w:color w:val="auto"/>
              </w:rPr>
              <w:t>(8), (11)</w:t>
            </w:r>
          </w:p>
        </w:tc>
        <w:tc>
          <w:tcPr>
            <w:tcW w:w="120" w:type="dxa"/>
            <w:vAlign w:val="bottom"/>
          </w:tcPr>
          <w:p>
            <w:pPr>
              <w:spacing w:after="0"/>
              <w:rPr>
                <w:sz w:val="12"/>
                <w:szCs w:val="12"/>
                <w:color w:val="auto"/>
              </w:rPr>
            </w:pPr>
          </w:p>
        </w:tc>
        <w:tc>
          <w:tcPr>
            <w:tcW w:w="76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78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High Tech Industries</w:t>
            </w: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5,592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CI (Allied) Investment Holdings, LLC</w:t>
            </w:r>
          </w:p>
        </w:tc>
        <w:tc>
          <w:tcPr>
            <w:tcW w:w="120" w:type="dxa"/>
            <w:vAlign w:val="bottom"/>
            <w:shd w:val="clear" w:color="auto" w:fill="CCECFF"/>
          </w:tcPr>
          <w:p>
            <w:pPr>
              <w:spacing w:after="0"/>
              <w:rPr>
                <w:sz w:val="12"/>
                <w:szCs w:val="12"/>
                <w:color w:val="auto"/>
              </w:rPr>
            </w:pP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7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5"/>
              </w:rPr>
              <w:t>Business Services</w:t>
            </w:r>
          </w:p>
        </w:tc>
        <w:tc>
          <w:tcPr>
            <w:tcW w:w="92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84,000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840,004</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1,089,223</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40" w:type="dxa"/>
            <w:vAlign w:val="bottom"/>
            <w:shd w:val="clear" w:color="auto" w:fill="CCECFF"/>
          </w:tcPr>
          <w:p>
            <w:pPr>
              <w:ind w:left="140"/>
              <w:spacing w:after="0"/>
              <w:rPr>
                <w:sz w:val="20"/>
                <w:szCs w:val="20"/>
                <w:color w:val="auto"/>
              </w:rPr>
            </w:pPr>
            <w:r>
              <w:rPr>
                <w:rFonts w:ascii="Arial" w:cs="Arial" w:eastAsia="Arial" w:hAnsi="Arial"/>
                <w:sz w:val="12"/>
                <w:szCs w:val="12"/>
                <w:color w:val="auto"/>
              </w:rPr>
              <w:t xml:space="preserve">(Allied America, Inc.) </w:t>
            </w:r>
            <w:r>
              <w:rPr>
                <w:rFonts w:ascii="Arial" w:cs="Arial" w:eastAsia="Arial" w:hAnsi="Arial"/>
                <w:sz w:val="9"/>
                <w:szCs w:val="9"/>
                <w:color w:val="auto"/>
              </w:rPr>
              <w:t>(11)</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6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040" w:type="dxa"/>
            <w:vAlign w:val="bottom"/>
          </w:tcPr>
          <w:p>
            <w:pPr>
              <w:spacing w:after="0"/>
              <w:rPr>
                <w:sz w:val="20"/>
                <w:szCs w:val="20"/>
                <w:color w:val="auto"/>
              </w:rPr>
            </w:pPr>
            <w:r>
              <w:rPr>
                <w:rFonts w:ascii="Arial" w:cs="Arial" w:eastAsia="Arial" w:hAnsi="Arial"/>
                <w:sz w:val="12"/>
                <w:szCs w:val="12"/>
                <w:color w:val="auto"/>
              </w:rPr>
              <w:t>CI (PTN) Investment Holdings II, LLC</w:t>
            </w:r>
          </w:p>
        </w:tc>
        <w:tc>
          <w:tcPr>
            <w:tcW w:w="120" w:type="dxa"/>
            <w:vAlign w:val="bottom"/>
          </w:tcPr>
          <w:p>
            <w:pPr>
              <w:spacing w:after="0"/>
              <w:rPr>
                <w:sz w:val="13"/>
                <w:szCs w:val="13"/>
                <w:color w:val="auto"/>
              </w:rPr>
            </w:pPr>
          </w:p>
        </w:tc>
        <w:tc>
          <w:tcPr>
            <w:tcW w:w="76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780" w:type="dxa"/>
            <w:vAlign w:val="bottom"/>
            <w:gridSpan w:val="2"/>
          </w:tcPr>
          <w:p>
            <w:pPr>
              <w:jc w:val="center"/>
              <w:ind w:right="120"/>
              <w:spacing w:after="0"/>
              <w:rPr>
                <w:sz w:val="20"/>
                <w:szCs w:val="20"/>
                <w:color w:val="auto"/>
              </w:rPr>
            </w:pPr>
            <w:r>
              <w:rPr>
                <w:rFonts w:ascii="Arial" w:cs="Arial" w:eastAsia="Arial" w:hAnsi="Arial"/>
                <w:sz w:val="12"/>
                <w:szCs w:val="12"/>
                <w:color w:val="auto"/>
                <w:w w:val="86"/>
              </w:rPr>
              <w:t>Healthcare and Pharmaceuticals</w:t>
            </w: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13,333</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200,000</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200,000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040" w:type="dxa"/>
            <w:vAlign w:val="bottom"/>
          </w:tcPr>
          <w:p>
            <w:pPr>
              <w:ind w:left="140"/>
              <w:spacing w:after="0"/>
              <w:rPr>
                <w:sz w:val="20"/>
                <w:szCs w:val="20"/>
                <w:color w:val="auto"/>
              </w:rPr>
            </w:pPr>
            <w:r>
              <w:rPr>
                <w:rFonts w:ascii="Arial" w:cs="Arial" w:eastAsia="Arial" w:hAnsi="Arial"/>
                <w:sz w:val="12"/>
                <w:szCs w:val="12"/>
                <w:color w:val="auto"/>
              </w:rPr>
              <w:t xml:space="preserve">(PT Network, LLC) </w:t>
            </w:r>
            <w:r>
              <w:rPr>
                <w:rFonts w:ascii="Arial" w:cs="Arial" w:eastAsia="Arial" w:hAnsi="Arial"/>
                <w:sz w:val="9"/>
                <w:szCs w:val="9"/>
                <w:color w:val="auto"/>
              </w:rPr>
              <w:t>(11)</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DecoPac Holdings Inc.</w:t>
            </w:r>
          </w:p>
        </w:tc>
        <w:tc>
          <w:tcPr>
            <w:tcW w:w="120" w:type="dxa"/>
            <w:vAlign w:val="bottom"/>
            <w:shd w:val="clear" w:color="auto" w:fill="CCECFF"/>
          </w:tcPr>
          <w:p>
            <w:pPr>
              <w:spacing w:after="0"/>
              <w:rPr>
                <w:sz w:val="12"/>
                <w:szCs w:val="12"/>
                <w:color w:val="auto"/>
              </w:rPr>
            </w:pP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7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5"/>
              </w:rPr>
              <w:t>Beverage, Food and Tobacco</w:t>
            </w:r>
          </w:p>
        </w:tc>
        <w:tc>
          <w:tcPr>
            <w:tcW w:w="92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1,633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1,632,744</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1,871,662</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Faraday Holdings, LLC</w:t>
            </w:r>
          </w:p>
        </w:tc>
        <w:tc>
          <w:tcPr>
            <w:tcW w:w="120" w:type="dxa"/>
            <w:vAlign w:val="bottom"/>
          </w:tcPr>
          <w:p>
            <w:pPr>
              <w:spacing w:after="0"/>
              <w:rPr>
                <w:sz w:val="12"/>
                <w:szCs w:val="12"/>
                <w:color w:val="auto"/>
              </w:rPr>
            </w:pPr>
          </w:p>
        </w:tc>
        <w:tc>
          <w:tcPr>
            <w:tcW w:w="76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780" w:type="dxa"/>
            <w:vAlign w:val="bottom"/>
            <w:gridSpan w:val="2"/>
          </w:tcPr>
          <w:p>
            <w:pPr>
              <w:jc w:val="center"/>
              <w:ind w:right="140"/>
              <w:spacing w:after="0"/>
              <w:rPr>
                <w:sz w:val="20"/>
                <w:szCs w:val="20"/>
                <w:color w:val="auto"/>
              </w:rPr>
            </w:pPr>
            <w:r>
              <w:rPr>
                <w:rFonts w:ascii="Arial" w:cs="Arial" w:eastAsia="Arial" w:hAnsi="Arial"/>
                <w:sz w:val="12"/>
                <w:szCs w:val="12"/>
                <w:color w:val="auto"/>
                <w:w w:val="90"/>
              </w:rPr>
              <w:t>Construction and Building</w:t>
            </w: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1,141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58,045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339,576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Gauge InfosoftCoInvest, LLC</w:t>
            </w:r>
          </w:p>
        </w:tc>
        <w:tc>
          <w:tcPr>
            <w:tcW w:w="120" w:type="dxa"/>
            <w:vAlign w:val="bottom"/>
            <w:shd w:val="clear" w:color="auto" w:fill="CCECFF"/>
          </w:tcPr>
          <w:p>
            <w:pPr>
              <w:spacing w:after="0"/>
              <w:rPr>
                <w:sz w:val="12"/>
                <w:szCs w:val="12"/>
                <w:color w:val="auto"/>
              </w:rPr>
            </w:pP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7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Media: Broadcasting and Subscription</w:t>
            </w:r>
          </w:p>
        </w:tc>
        <w:tc>
          <w:tcPr>
            <w:tcW w:w="92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692,846</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40" w:type="dxa"/>
            <w:vAlign w:val="bottom"/>
            <w:shd w:val="clear" w:color="auto" w:fill="CCECFF"/>
          </w:tcPr>
          <w:p>
            <w:pPr>
              <w:ind w:left="140"/>
              <w:spacing w:after="0"/>
              <w:rPr>
                <w:sz w:val="20"/>
                <w:szCs w:val="20"/>
                <w:color w:val="auto"/>
              </w:rPr>
            </w:pPr>
            <w:r>
              <w:rPr>
                <w:rFonts w:ascii="Arial" w:cs="Arial" w:eastAsia="Arial" w:hAnsi="Arial"/>
                <w:sz w:val="12"/>
                <w:szCs w:val="12"/>
                <w:color w:val="auto"/>
              </w:rPr>
              <w:t>(The Infosoft Group, LLC)</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6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 xml:space="preserve">GCOM InvestCo LP </w:t>
            </w:r>
            <w:r>
              <w:rPr>
                <w:rFonts w:ascii="Arial" w:cs="Arial" w:eastAsia="Arial" w:hAnsi="Arial"/>
                <w:sz w:val="9"/>
                <w:szCs w:val="9"/>
                <w:color w:val="auto"/>
              </w:rPr>
              <w:t>(11)</w:t>
            </w:r>
          </w:p>
        </w:tc>
        <w:tc>
          <w:tcPr>
            <w:tcW w:w="120" w:type="dxa"/>
            <w:vAlign w:val="bottom"/>
          </w:tcPr>
          <w:p>
            <w:pPr>
              <w:spacing w:after="0"/>
              <w:rPr>
                <w:sz w:val="12"/>
                <w:szCs w:val="12"/>
                <w:color w:val="auto"/>
              </w:rPr>
            </w:pPr>
          </w:p>
        </w:tc>
        <w:tc>
          <w:tcPr>
            <w:tcW w:w="76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78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High Tech Industries</w:t>
            </w: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1,281,433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1,281,433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1,096,760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GCOM InvestCo LP </w:t>
            </w:r>
            <w:r>
              <w:rPr>
                <w:rFonts w:ascii="Arial" w:cs="Arial" w:eastAsia="Arial" w:hAnsi="Arial"/>
                <w:sz w:val="9"/>
                <w:szCs w:val="9"/>
                <w:color w:val="auto"/>
              </w:rPr>
              <w:t>(8), (11)</w:t>
            </w:r>
          </w:p>
        </w:tc>
        <w:tc>
          <w:tcPr>
            <w:tcW w:w="120" w:type="dxa"/>
            <w:vAlign w:val="bottom"/>
            <w:shd w:val="clear" w:color="auto" w:fill="CCECFF"/>
          </w:tcPr>
          <w:p>
            <w:pPr>
              <w:spacing w:after="0"/>
              <w:rPr>
                <w:sz w:val="12"/>
                <w:szCs w:val="12"/>
                <w:color w:val="auto"/>
              </w:rPr>
            </w:pP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78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9"/>
              </w:rPr>
              <w:t>High Tech Industries</w:t>
            </w:r>
          </w:p>
        </w:tc>
        <w:tc>
          <w:tcPr>
            <w:tcW w:w="92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718,567</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86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CFF"/>
          </w:tcPr>
          <w:p>
            <w:pPr>
              <w:spacing w:after="0"/>
              <w:rPr>
                <w:sz w:val="12"/>
                <w:szCs w:val="12"/>
                <w:color w:val="auto"/>
              </w:rPr>
            </w:pPr>
          </w:p>
        </w:tc>
        <w:tc>
          <w:tcPr>
            <w:tcW w:w="780" w:type="dxa"/>
            <w:vAlign w:val="bottom"/>
            <w:gridSpan w:val="2"/>
            <w:shd w:val="clear" w:color="auto" w:fill="CCECFF"/>
          </w:tcPr>
          <w:p>
            <w:pPr>
              <w:jc w:val="right"/>
              <w:ind w:right="60"/>
              <w:spacing w:after="0"/>
              <w:rPr>
                <w:sz w:val="20"/>
                <w:szCs w:val="20"/>
                <w:color w:val="auto"/>
              </w:rPr>
            </w:pPr>
            <w:r>
              <w:rPr>
                <w:rFonts w:ascii="Arial" w:cs="Arial" w:eastAsia="Arial" w:hAnsi="Arial"/>
                <w:sz w:val="12"/>
                <w:szCs w:val="12"/>
                <w:color w:val="auto"/>
              </w:rPr>
              <w:t>(103,556)</w:t>
            </w:r>
          </w:p>
        </w:tc>
        <w:tc>
          <w:tcPr>
            <w:tcW w:w="0" w:type="dxa"/>
            <w:vAlign w:val="bottom"/>
          </w:tcPr>
          <w:p>
            <w:pPr>
              <w:spacing w:after="0"/>
              <w:rPr>
                <w:sz w:val="1"/>
                <w:szCs w:val="1"/>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 xml:space="preserve">Patriot National, Inc. </w:t>
            </w:r>
            <w:r>
              <w:rPr>
                <w:rFonts w:ascii="Arial" w:cs="Arial" w:eastAsia="Arial" w:hAnsi="Arial"/>
                <w:sz w:val="9"/>
                <w:szCs w:val="9"/>
                <w:color w:val="auto"/>
              </w:rPr>
              <w:t>(12)</w:t>
            </w:r>
          </w:p>
        </w:tc>
        <w:tc>
          <w:tcPr>
            <w:tcW w:w="120" w:type="dxa"/>
            <w:vAlign w:val="bottom"/>
          </w:tcPr>
          <w:p>
            <w:pPr>
              <w:spacing w:after="0"/>
              <w:rPr>
                <w:sz w:val="12"/>
                <w:szCs w:val="12"/>
                <w:color w:val="auto"/>
              </w:rPr>
            </w:pPr>
          </w:p>
        </w:tc>
        <w:tc>
          <w:tcPr>
            <w:tcW w:w="76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780" w:type="dxa"/>
            <w:vAlign w:val="bottom"/>
            <w:gridSpan w:val="2"/>
          </w:tcPr>
          <w:p>
            <w:pPr>
              <w:jc w:val="center"/>
              <w:ind w:right="120"/>
              <w:spacing w:after="0"/>
              <w:rPr>
                <w:sz w:val="20"/>
                <w:szCs w:val="20"/>
                <w:color w:val="auto"/>
              </w:rPr>
            </w:pPr>
            <w:r>
              <w:rPr>
                <w:rFonts w:ascii="Arial" w:cs="Arial" w:eastAsia="Arial" w:hAnsi="Arial"/>
                <w:sz w:val="12"/>
                <w:szCs w:val="12"/>
                <w:color w:val="auto"/>
                <w:w w:val="87"/>
              </w:rPr>
              <w:t>Banking, Finance, Insurance and Real Estate</w:t>
            </w: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11,867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27,995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398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TPC Broadband Investors, LP </w:t>
            </w:r>
            <w:r>
              <w:rPr>
                <w:rFonts w:ascii="Arial" w:cs="Arial" w:eastAsia="Arial" w:hAnsi="Arial"/>
                <w:sz w:val="9"/>
                <w:szCs w:val="9"/>
                <w:color w:val="auto"/>
              </w:rPr>
              <w:t>(11)</w:t>
            </w:r>
          </w:p>
        </w:tc>
        <w:tc>
          <w:tcPr>
            <w:tcW w:w="120" w:type="dxa"/>
            <w:vAlign w:val="bottom"/>
            <w:shd w:val="clear" w:color="auto" w:fill="CCECFF"/>
          </w:tcPr>
          <w:p>
            <w:pPr>
              <w:spacing w:after="0"/>
              <w:rPr>
                <w:sz w:val="12"/>
                <w:szCs w:val="12"/>
                <w:color w:val="auto"/>
              </w:rPr>
            </w:pP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78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9"/>
              </w:rPr>
              <w:t>Telecommunications</w:t>
            </w:r>
          </w:p>
        </w:tc>
        <w:tc>
          <w:tcPr>
            <w:tcW w:w="92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742,692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742,692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788,995</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 xml:space="preserve">TPC Broadband Investors, LP </w:t>
            </w:r>
            <w:r>
              <w:rPr>
                <w:rFonts w:ascii="Arial" w:cs="Arial" w:eastAsia="Arial" w:hAnsi="Arial"/>
                <w:sz w:val="9"/>
                <w:szCs w:val="9"/>
                <w:color w:val="auto"/>
              </w:rPr>
              <w:t>(8), (11)</w:t>
            </w:r>
          </w:p>
        </w:tc>
        <w:tc>
          <w:tcPr>
            <w:tcW w:w="120" w:type="dxa"/>
            <w:vAlign w:val="bottom"/>
          </w:tcPr>
          <w:p>
            <w:pPr>
              <w:spacing w:after="0"/>
              <w:rPr>
                <w:sz w:val="12"/>
                <w:szCs w:val="12"/>
                <w:color w:val="auto"/>
              </w:rPr>
            </w:pPr>
          </w:p>
        </w:tc>
        <w:tc>
          <w:tcPr>
            <w:tcW w:w="76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78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Telecommunications</w:t>
            </w: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257,308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9"/>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UniTek Global Services, Inc.</w:t>
            </w:r>
          </w:p>
        </w:tc>
        <w:tc>
          <w:tcPr>
            <w:tcW w:w="120" w:type="dxa"/>
            <w:vAlign w:val="bottom"/>
            <w:shd w:val="clear" w:color="auto" w:fill="CCECFF"/>
          </w:tcPr>
          <w:p>
            <w:pPr>
              <w:spacing w:after="0"/>
              <w:rPr>
                <w:sz w:val="12"/>
                <w:szCs w:val="12"/>
                <w:color w:val="auto"/>
              </w:rPr>
            </w:pP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78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9"/>
              </w:rPr>
              <w:t>Telecommunications</w:t>
            </w:r>
          </w:p>
        </w:tc>
        <w:tc>
          <w:tcPr>
            <w:tcW w:w="92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213,739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86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276,279</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UniTek Global Services, Inc. (Warrants)</w:t>
            </w:r>
          </w:p>
        </w:tc>
        <w:tc>
          <w:tcPr>
            <w:tcW w:w="120" w:type="dxa"/>
            <w:vAlign w:val="bottom"/>
          </w:tcPr>
          <w:p>
            <w:pPr>
              <w:spacing w:after="0"/>
              <w:rPr>
                <w:sz w:val="12"/>
                <w:szCs w:val="12"/>
                <w:color w:val="auto"/>
              </w:rPr>
            </w:pPr>
          </w:p>
        </w:tc>
        <w:tc>
          <w:tcPr>
            <w:tcW w:w="76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78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Telecommunications</w:t>
            </w: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23,889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WBB Equity, LLC </w:t>
            </w:r>
            <w:r>
              <w:rPr>
                <w:rFonts w:ascii="Arial" w:cs="Arial" w:eastAsia="Arial" w:hAnsi="Arial"/>
                <w:sz w:val="9"/>
                <w:szCs w:val="9"/>
                <w:color w:val="auto"/>
              </w:rPr>
              <w:t>(11)</w:t>
            </w:r>
          </w:p>
        </w:tc>
        <w:tc>
          <w:tcPr>
            <w:tcW w:w="120" w:type="dxa"/>
            <w:vAlign w:val="bottom"/>
            <w:shd w:val="clear" w:color="auto" w:fill="CCECFF"/>
          </w:tcPr>
          <w:p>
            <w:pPr>
              <w:spacing w:after="0"/>
              <w:rPr>
                <w:sz w:val="12"/>
                <w:szCs w:val="12"/>
                <w:color w:val="auto"/>
              </w:rPr>
            </w:pP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78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5"/>
              </w:rPr>
              <w:t>Aerospace and Defense</w:t>
            </w:r>
          </w:p>
        </w:tc>
        <w:tc>
          <w:tcPr>
            <w:tcW w:w="92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142,857</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142,857</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201,429</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4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Common Equity/Warrants</w:t>
            </w:r>
          </w:p>
        </w:tc>
        <w:tc>
          <w:tcPr>
            <w:tcW w:w="120" w:type="dxa"/>
            <w:vAlign w:val="bottom"/>
            <w:tcBorders>
              <w:bottom w:val="single" w:sz="8" w:color="CCECFF"/>
            </w:tcBorders>
          </w:tcPr>
          <w:p>
            <w:pPr>
              <w:spacing w:after="0"/>
              <w:rPr>
                <w:sz w:val="12"/>
                <w:szCs w:val="12"/>
                <w:color w:val="auto"/>
              </w:rPr>
            </w:pPr>
          </w:p>
        </w:tc>
        <w:tc>
          <w:tcPr>
            <w:tcW w:w="54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266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12,317,761</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12,573,547</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20" w:type="dxa"/>
            <w:vAlign w:val="bottom"/>
            <w:gridSpan w:val="4"/>
            <w:shd w:val="clear" w:color="auto" w:fill="CCECFF"/>
          </w:tcPr>
          <w:p>
            <w:pPr>
              <w:spacing w:after="0"/>
              <w:rPr>
                <w:sz w:val="20"/>
                <w:szCs w:val="20"/>
                <w:color w:val="auto"/>
              </w:rPr>
            </w:pPr>
            <w:r>
              <w:rPr>
                <w:rFonts w:ascii="Arial" w:cs="Arial" w:eastAsia="Arial" w:hAnsi="Arial"/>
                <w:sz w:val="12"/>
                <w:szCs w:val="12"/>
                <w:b w:val="1"/>
                <w:bCs w:val="1"/>
                <w:color w:val="auto"/>
                <w:w w:val="94"/>
              </w:rPr>
              <w:t>Total Investments in Non-Controlled, Non-Affiliated Portfolio Companies</w:t>
            </w:r>
          </w:p>
        </w:tc>
        <w:tc>
          <w:tcPr>
            <w:tcW w:w="26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89"/>
              </w:rPr>
              <w:t>786,884,573</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5"/>
              </w:rPr>
              <w:t>787,566,315</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20" w:type="dxa"/>
            <w:vAlign w:val="bottom"/>
            <w:gridSpan w:val="4"/>
          </w:tcPr>
          <w:p>
            <w:pPr>
              <w:spacing w:after="0"/>
              <w:rPr>
                <w:sz w:val="20"/>
                <w:szCs w:val="20"/>
                <w:color w:val="auto"/>
              </w:rPr>
            </w:pPr>
            <w:r>
              <w:rPr>
                <w:rFonts w:ascii="Arial" w:cs="Arial" w:eastAsia="Arial" w:hAnsi="Arial"/>
                <w:sz w:val="12"/>
                <w:szCs w:val="12"/>
                <w:b w:val="1"/>
                <w:bCs w:val="1"/>
                <w:color w:val="auto"/>
                <w:w w:val="96"/>
              </w:rPr>
              <w:t xml:space="preserve">Investments in Controlled, Affiliated Portfolio Companies—22.3% </w:t>
            </w:r>
            <w:r>
              <w:rPr>
                <w:rFonts w:ascii="Arial" w:cs="Arial" w:eastAsia="Arial" w:hAnsi="Arial"/>
                <w:sz w:val="9"/>
                <w:szCs w:val="9"/>
                <w:b w:val="1"/>
                <w:bCs w:val="1"/>
                <w:color w:val="auto"/>
                <w:w w:val="96"/>
              </w:rPr>
              <w:t>(3), (4)</w:t>
            </w:r>
          </w:p>
        </w:tc>
        <w:tc>
          <w:tcPr>
            <w:tcW w:w="2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4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First Lien Secured Debt—15.4%</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6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40" w:type="dxa"/>
            <w:vAlign w:val="bottom"/>
            <w:tcBorders>
              <w:bottom w:val="single" w:sz="8" w:color="CCECFF"/>
            </w:tcBorders>
          </w:tcPr>
          <w:p>
            <w:pPr>
              <w:spacing w:after="0"/>
              <w:rPr>
                <w:sz w:val="20"/>
                <w:szCs w:val="20"/>
                <w:color w:val="auto"/>
              </w:rPr>
            </w:pPr>
            <w:r>
              <w:rPr>
                <w:rFonts w:ascii="Arial" w:cs="Arial" w:eastAsia="Arial" w:hAnsi="Arial"/>
                <w:sz w:val="12"/>
                <w:szCs w:val="12"/>
                <w:color w:val="auto"/>
              </w:rPr>
              <w:t xml:space="preserve">PennantPark Senior Secured Loan Fund I LLC </w:t>
            </w:r>
            <w:r>
              <w:rPr>
                <w:rFonts w:ascii="Arial" w:cs="Arial" w:eastAsia="Arial" w:hAnsi="Arial"/>
                <w:sz w:val="9"/>
                <w:szCs w:val="9"/>
                <w:color w:val="auto"/>
              </w:rPr>
              <w:t>(7), (9)</w:t>
            </w:r>
          </w:p>
        </w:tc>
        <w:tc>
          <w:tcPr>
            <w:tcW w:w="660" w:type="dxa"/>
            <w:vAlign w:val="bottom"/>
            <w:tcBorders>
              <w:bottom w:val="single" w:sz="8" w:color="CCECFF"/>
            </w:tcBorders>
            <w:gridSpan w:val="2"/>
          </w:tcPr>
          <w:p>
            <w:pPr>
              <w:jc w:val="right"/>
              <w:spacing w:after="0"/>
              <w:rPr>
                <w:sz w:val="20"/>
                <w:szCs w:val="20"/>
                <w:color w:val="auto"/>
              </w:rPr>
            </w:pPr>
            <w:r>
              <w:rPr>
                <w:rFonts w:ascii="Arial" w:cs="Arial" w:eastAsia="Arial" w:hAnsi="Arial"/>
                <w:sz w:val="12"/>
                <w:szCs w:val="12"/>
                <w:color w:val="auto"/>
              </w:rPr>
              <w:t>05/06/2024</w:t>
            </w:r>
          </w:p>
        </w:tc>
        <w:tc>
          <w:tcPr>
            <w:tcW w:w="220" w:type="dxa"/>
            <w:vAlign w:val="bottom"/>
            <w:tcBorders>
              <w:bottom w:val="single" w:sz="8" w:color="CCECFF"/>
            </w:tcBorders>
          </w:tcPr>
          <w:p>
            <w:pPr>
              <w:spacing w:after="0"/>
              <w:rPr>
                <w:sz w:val="12"/>
                <w:szCs w:val="12"/>
                <w:color w:val="auto"/>
              </w:rPr>
            </w:pPr>
          </w:p>
        </w:tc>
        <w:tc>
          <w:tcPr>
            <w:tcW w:w="2780" w:type="dxa"/>
            <w:vAlign w:val="bottom"/>
            <w:tcBorders>
              <w:bottom w:val="single" w:sz="8" w:color="CCECFF"/>
            </w:tcBorders>
            <w:gridSpan w:val="2"/>
          </w:tcPr>
          <w:p>
            <w:pPr>
              <w:jc w:val="center"/>
              <w:ind w:right="120"/>
              <w:spacing w:after="0"/>
              <w:rPr>
                <w:sz w:val="20"/>
                <w:szCs w:val="20"/>
                <w:color w:val="auto"/>
              </w:rPr>
            </w:pPr>
            <w:r>
              <w:rPr>
                <w:rFonts w:ascii="Arial" w:cs="Arial" w:eastAsia="Arial" w:hAnsi="Arial"/>
                <w:sz w:val="12"/>
                <w:szCs w:val="12"/>
                <w:color w:val="auto"/>
                <w:w w:val="88"/>
              </w:rPr>
              <w:t>Financial Services</w:t>
            </w:r>
          </w:p>
        </w:tc>
        <w:tc>
          <w:tcPr>
            <w:tcW w:w="920" w:type="dxa"/>
            <w:vAlign w:val="bottom"/>
            <w:tcBorders>
              <w:bottom w:val="single" w:sz="8" w:color="CCECFF"/>
            </w:tcBorders>
            <w:gridSpan w:val="2"/>
          </w:tcPr>
          <w:p>
            <w:pPr>
              <w:jc w:val="right"/>
              <w:ind w:right="140"/>
              <w:spacing w:after="0"/>
              <w:rPr>
                <w:sz w:val="20"/>
                <w:szCs w:val="20"/>
                <w:color w:val="auto"/>
              </w:rPr>
            </w:pPr>
            <w:r>
              <w:rPr>
                <w:rFonts w:ascii="Arial" w:cs="Arial" w:eastAsia="Arial" w:hAnsi="Arial"/>
                <w:sz w:val="12"/>
                <w:szCs w:val="12"/>
                <w:color w:val="auto"/>
              </w:rPr>
              <w:t>8.83%</w:t>
            </w:r>
          </w:p>
        </w:tc>
        <w:tc>
          <w:tcPr>
            <w:tcW w:w="900" w:type="dxa"/>
            <w:vAlign w:val="bottom"/>
            <w:tcBorders>
              <w:bottom w:val="single" w:sz="8" w:color="CCECFF"/>
            </w:tcBorders>
            <w:gridSpan w:val="2"/>
          </w:tcPr>
          <w:p>
            <w:pPr>
              <w:jc w:val="right"/>
              <w:ind w:right="240"/>
              <w:spacing w:after="0"/>
              <w:rPr>
                <w:sz w:val="20"/>
                <w:szCs w:val="20"/>
                <w:color w:val="auto"/>
              </w:rPr>
            </w:pPr>
            <w:r>
              <w:rPr>
                <w:rFonts w:ascii="Arial" w:cs="Arial" w:eastAsia="Arial" w:hAnsi="Arial"/>
                <w:sz w:val="12"/>
                <w:szCs w:val="12"/>
                <w:color w:val="auto"/>
              </w:rPr>
              <w:t>3M L+650</w:t>
            </w:r>
          </w:p>
        </w:tc>
        <w:tc>
          <w:tcPr>
            <w:tcW w:w="68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rPr>
              <w:t>82,687,500</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82,687,500</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82,687,500</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4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Equity Interests—6.9%</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6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40" w:type="dxa"/>
            <w:vAlign w:val="bottom"/>
            <w:tcBorders>
              <w:bottom w:val="single" w:sz="8" w:color="CCECFF"/>
            </w:tcBorders>
          </w:tcPr>
          <w:p>
            <w:pPr>
              <w:spacing w:after="0"/>
              <w:rPr>
                <w:sz w:val="20"/>
                <w:szCs w:val="20"/>
                <w:color w:val="auto"/>
              </w:rPr>
            </w:pPr>
            <w:r>
              <w:rPr>
                <w:rFonts w:ascii="Arial" w:cs="Arial" w:eastAsia="Arial" w:hAnsi="Arial"/>
                <w:sz w:val="12"/>
                <w:szCs w:val="12"/>
                <w:color w:val="auto"/>
              </w:rPr>
              <w:t xml:space="preserve">PennantPark Senior Secured Loan Fund I LLC </w:t>
            </w:r>
            <w:r>
              <w:rPr>
                <w:rFonts w:ascii="Arial" w:cs="Arial" w:eastAsia="Arial" w:hAnsi="Arial"/>
                <w:sz w:val="9"/>
                <w:szCs w:val="9"/>
                <w:color w:val="auto"/>
              </w:rPr>
              <w:t>(7), (9)</w:t>
            </w:r>
          </w:p>
        </w:tc>
        <w:tc>
          <w:tcPr>
            <w:tcW w:w="120" w:type="dxa"/>
            <w:vAlign w:val="bottom"/>
            <w:tcBorders>
              <w:bottom w:val="single" w:sz="8" w:color="CCECFF"/>
            </w:tcBorders>
          </w:tcPr>
          <w:p>
            <w:pPr>
              <w:spacing w:after="0"/>
              <w:rPr>
                <w:sz w:val="12"/>
                <w:szCs w:val="12"/>
                <w:color w:val="auto"/>
              </w:rPr>
            </w:pPr>
          </w:p>
        </w:tc>
        <w:tc>
          <w:tcPr>
            <w:tcW w:w="760" w:type="dxa"/>
            <w:vAlign w:val="bottom"/>
            <w:tcBorders>
              <w:bottom w:val="single" w:sz="8" w:color="CCECFF"/>
            </w:tcBorders>
            <w:gridSpan w:val="2"/>
          </w:tcPr>
          <w:p>
            <w:pPr>
              <w:ind w:left="260"/>
              <w:spacing w:after="0"/>
              <w:rPr>
                <w:sz w:val="20"/>
                <w:szCs w:val="20"/>
                <w:color w:val="auto"/>
              </w:rPr>
            </w:pPr>
            <w:r>
              <w:rPr>
                <w:rFonts w:ascii="Arial" w:cs="Arial" w:eastAsia="Arial" w:hAnsi="Arial"/>
                <w:sz w:val="12"/>
                <w:szCs w:val="12"/>
                <w:color w:val="auto"/>
              </w:rPr>
              <w:t>—</w:t>
            </w:r>
          </w:p>
        </w:tc>
        <w:tc>
          <w:tcPr>
            <w:tcW w:w="2780" w:type="dxa"/>
            <w:vAlign w:val="bottom"/>
            <w:tcBorders>
              <w:bottom w:val="single" w:sz="8" w:color="CCECFF"/>
            </w:tcBorders>
            <w:gridSpan w:val="2"/>
          </w:tcPr>
          <w:p>
            <w:pPr>
              <w:jc w:val="center"/>
              <w:ind w:right="120"/>
              <w:spacing w:after="0"/>
              <w:rPr>
                <w:sz w:val="20"/>
                <w:szCs w:val="20"/>
                <w:color w:val="auto"/>
              </w:rPr>
            </w:pPr>
            <w:r>
              <w:rPr>
                <w:rFonts w:ascii="Arial" w:cs="Arial" w:eastAsia="Arial" w:hAnsi="Arial"/>
                <w:sz w:val="12"/>
                <w:szCs w:val="12"/>
                <w:color w:val="auto"/>
                <w:w w:val="88"/>
              </w:rPr>
              <w:t>Financial Services</w:t>
            </w:r>
          </w:p>
        </w:tc>
        <w:tc>
          <w:tcPr>
            <w:tcW w:w="920" w:type="dxa"/>
            <w:vAlign w:val="bottom"/>
            <w:tcBorders>
              <w:bottom w:val="single" w:sz="8" w:color="CCECFF"/>
            </w:tcBorders>
            <w:gridSpan w:val="2"/>
          </w:tcPr>
          <w:p>
            <w:pPr>
              <w:jc w:val="right"/>
              <w:ind w:right="260"/>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CCECFF"/>
            </w:tcBorders>
            <w:gridSpan w:val="2"/>
          </w:tcPr>
          <w:p>
            <w:pPr>
              <w:jc w:val="right"/>
              <w:ind w:right="240"/>
              <w:spacing w:after="0"/>
              <w:rPr>
                <w:sz w:val="20"/>
                <w:szCs w:val="20"/>
                <w:color w:val="auto"/>
              </w:rPr>
            </w:pPr>
            <w:r>
              <w:rPr>
                <w:rFonts w:ascii="Arial" w:cs="Arial" w:eastAsia="Arial" w:hAnsi="Arial"/>
                <w:sz w:val="12"/>
                <w:szCs w:val="12"/>
                <w:color w:val="auto"/>
              </w:rPr>
              <w:t>—</w:t>
            </w:r>
          </w:p>
        </w:tc>
        <w:tc>
          <w:tcPr>
            <w:tcW w:w="920" w:type="dxa"/>
            <w:vAlign w:val="bottom"/>
            <w:tcBorders>
              <w:bottom w:val="single" w:sz="8" w:color="CCECFF"/>
            </w:tcBorders>
            <w:gridSpan w:val="2"/>
          </w:tcPr>
          <w:p>
            <w:pPr>
              <w:jc w:val="right"/>
              <w:ind w:right="260"/>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35,437,500</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36,898,972</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20" w:type="dxa"/>
            <w:vAlign w:val="bottom"/>
            <w:gridSpan w:val="4"/>
            <w:shd w:val="clear" w:color="auto" w:fill="CCECFF"/>
          </w:tcPr>
          <w:p>
            <w:pPr>
              <w:spacing w:after="0"/>
              <w:rPr>
                <w:sz w:val="20"/>
                <w:szCs w:val="20"/>
                <w:color w:val="auto"/>
              </w:rPr>
            </w:pPr>
            <w:r>
              <w:rPr>
                <w:rFonts w:ascii="Arial" w:cs="Arial" w:eastAsia="Arial" w:hAnsi="Arial"/>
                <w:sz w:val="12"/>
                <w:szCs w:val="12"/>
                <w:b w:val="1"/>
                <w:bCs w:val="1"/>
                <w:color w:val="auto"/>
              </w:rPr>
              <w:t>Total Investments in Controlled, Affiliated Portfolio Companies</w:t>
            </w:r>
          </w:p>
        </w:tc>
        <w:tc>
          <w:tcPr>
            <w:tcW w:w="26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89"/>
              </w:rPr>
              <w:t>118,125,000</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5"/>
              </w:rPr>
              <w:t>119,586,472</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4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Investments—169.3%</w:t>
            </w:r>
          </w:p>
        </w:tc>
        <w:tc>
          <w:tcPr>
            <w:tcW w:w="120" w:type="dxa"/>
            <w:vAlign w:val="bottom"/>
            <w:tcBorders>
              <w:bottom w:val="single" w:sz="8" w:color="CCECFF"/>
            </w:tcBorders>
          </w:tcPr>
          <w:p>
            <w:pPr>
              <w:spacing w:after="0"/>
              <w:rPr>
                <w:sz w:val="12"/>
                <w:szCs w:val="12"/>
                <w:color w:val="auto"/>
              </w:rPr>
            </w:pPr>
          </w:p>
        </w:tc>
        <w:tc>
          <w:tcPr>
            <w:tcW w:w="54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266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905,009,573</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5"/>
              </w:rPr>
              <w:t>907,152,787</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4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Cash and Cash Equivalents—5.8%</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6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BlackRock Federal FD Institutional 30</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18,609,590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18,609,590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BNY Mellon Cash</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26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12,694,107</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12,568,480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4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Cash and Cash Equivalents</w:t>
            </w:r>
          </w:p>
        </w:tc>
        <w:tc>
          <w:tcPr>
            <w:tcW w:w="120" w:type="dxa"/>
            <w:vAlign w:val="bottom"/>
            <w:tcBorders>
              <w:bottom w:val="single" w:sz="8" w:color="CCECFF"/>
            </w:tcBorders>
          </w:tcPr>
          <w:p>
            <w:pPr>
              <w:spacing w:after="0"/>
              <w:rPr>
                <w:sz w:val="12"/>
                <w:szCs w:val="12"/>
                <w:color w:val="auto"/>
              </w:rPr>
            </w:pPr>
          </w:p>
        </w:tc>
        <w:tc>
          <w:tcPr>
            <w:tcW w:w="54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266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31,303,697</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31,178,070</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40" w:type="dxa"/>
            <w:vAlign w:val="bottom"/>
            <w:tcBorders>
              <w:bottom w:val="single" w:sz="8" w:color="CCECFF"/>
            </w:tcBorders>
            <w:shd w:val="clear" w:color="auto" w:fill="CCECFF"/>
          </w:tcPr>
          <w:p>
            <w:pPr>
              <w:spacing w:after="0"/>
              <w:rPr>
                <w:sz w:val="20"/>
                <w:szCs w:val="20"/>
                <w:color w:val="auto"/>
              </w:rPr>
            </w:pPr>
            <w:r>
              <w:rPr>
                <w:rFonts w:ascii="Arial" w:cs="Arial" w:eastAsia="Arial" w:hAnsi="Arial"/>
                <w:sz w:val="12"/>
                <w:szCs w:val="12"/>
                <w:b w:val="1"/>
                <w:bCs w:val="1"/>
                <w:color w:val="auto"/>
              </w:rPr>
              <w:t>Total Investments and Cash Equivalents—175.1%</w:t>
            </w:r>
          </w:p>
        </w:tc>
        <w:tc>
          <w:tcPr>
            <w:tcW w:w="120" w:type="dxa"/>
            <w:vAlign w:val="bottom"/>
            <w:tcBorders>
              <w:bottom w:val="single" w:sz="8" w:color="CCECFF"/>
            </w:tcBorders>
            <w:shd w:val="clear" w:color="auto" w:fill="CCECFF"/>
          </w:tcPr>
          <w:p>
            <w:pPr>
              <w:spacing w:after="0"/>
              <w:rPr>
                <w:sz w:val="12"/>
                <w:szCs w:val="12"/>
                <w:color w:val="auto"/>
              </w:rPr>
            </w:pPr>
          </w:p>
        </w:tc>
        <w:tc>
          <w:tcPr>
            <w:tcW w:w="540" w:type="dxa"/>
            <w:vAlign w:val="bottom"/>
            <w:tcBorders>
              <w:bottom w:val="single" w:sz="8" w:color="CCECFF"/>
            </w:tcBorders>
            <w:shd w:val="clear" w:color="auto" w:fill="CCECFF"/>
          </w:tcPr>
          <w:p>
            <w:pPr>
              <w:spacing w:after="0"/>
              <w:rPr>
                <w:sz w:val="12"/>
                <w:szCs w:val="12"/>
                <w:color w:val="auto"/>
              </w:rPr>
            </w:pPr>
          </w:p>
        </w:tc>
        <w:tc>
          <w:tcPr>
            <w:tcW w:w="220" w:type="dxa"/>
            <w:vAlign w:val="bottom"/>
            <w:tcBorders>
              <w:bottom w:val="single" w:sz="8" w:color="CCECFF"/>
            </w:tcBorders>
            <w:shd w:val="clear" w:color="auto" w:fill="CCECFF"/>
          </w:tcPr>
          <w:p>
            <w:pPr>
              <w:spacing w:after="0"/>
              <w:rPr>
                <w:sz w:val="12"/>
                <w:szCs w:val="12"/>
                <w:color w:val="auto"/>
              </w:rPr>
            </w:pPr>
          </w:p>
        </w:tc>
        <w:tc>
          <w:tcPr>
            <w:tcW w:w="266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68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CCECFF"/>
            </w:tcBorders>
            <w:shd w:val="clear" w:color="auto" w:fill="CCECFF"/>
          </w:tcPr>
          <w:p>
            <w:pPr>
              <w:spacing w:after="0"/>
              <w:rPr>
                <w:sz w:val="12"/>
                <w:szCs w:val="12"/>
                <w:color w:val="auto"/>
              </w:rPr>
            </w:pPr>
          </w:p>
        </w:tc>
        <w:tc>
          <w:tcPr>
            <w:tcW w:w="680" w:type="dxa"/>
            <w:vAlign w:val="bottom"/>
            <w:tcBorders>
              <w:bottom w:val="single" w:sz="8" w:color="CCECFF"/>
            </w:tcBorders>
            <w:shd w:val="clear" w:color="auto" w:fill="CCECFF"/>
          </w:tcPr>
          <w:p>
            <w:pPr>
              <w:spacing w:after="0"/>
              <w:rPr>
                <w:sz w:val="12"/>
                <w:szCs w:val="12"/>
                <w:color w:val="auto"/>
              </w:rPr>
            </w:pPr>
          </w:p>
        </w:tc>
        <w:tc>
          <w:tcPr>
            <w:tcW w:w="220" w:type="dxa"/>
            <w:vAlign w:val="bottom"/>
            <w:tcBorders>
              <w:bottom w:val="single" w:sz="8" w:color="CCECFF"/>
            </w:tcBorders>
            <w:shd w:val="clear" w:color="auto" w:fill="CCECFF"/>
          </w:tcPr>
          <w:p>
            <w:pPr>
              <w:spacing w:after="0"/>
              <w:rPr>
                <w:sz w:val="12"/>
                <w:szCs w:val="12"/>
                <w:color w:val="auto"/>
              </w:rPr>
            </w:pPr>
          </w:p>
        </w:tc>
        <w:tc>
          <w:tcPr>
            <w:tcW w:w="68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CCECFF"/>
            </w:tcBorders>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jc w:val="right"/>
              <w:ind w:right="17"/>
              <w:spacing w:after="0"/>
              <w:rPr>
                <w:sz w:val="20"/>
                <w:szCs w:val="20"/>
                <w:color w:val="auto"/>
              </w:rPr>
            </w:pPr>
            <w:r>
              <w:rPr>
                <w:rFonts w:ascii="Arial" w:cs="Arial" w:eastAsia="Arial" w:hAnsi="Arial"/>
                <w:sz w:val="5"/>
                <w:szCs w:val="5"/>
                <w:color w:val="auto"/>
                <w:w w:val="70"/>
              </w:rPr>
              <w:t>$</w:t>
            </w: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89"/>
              </w:rPr>
              <w:t>936,313,270</w:t>
            </w:r>
          </w:p>
        </w:tc>
        <w:tc>
          <w:tcPr>
            <w:tcW w:w="240" w:type="dxa"/>
            <w:vAlign w:val="bottom"/>
            <w:tcBorders>
              <w:bottom w:val="single" w:sz="8" w:color="CCECFF"/>
            </w:tcBorders>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5"/>
              </w:rPr>
              <w:t>938,330,857</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40" w:type="dxa"/>
            <w:vAlign w:val="bottom"/>
            <w:vMerge w:val="restart"/>
          </w:tcPr>
          <w:p>
            <w:pPr>
              <w:spacing w:after="0"/>
              <w:rPr>
                <w:sz w:val="20"/>
                <w:szCs w:val="20"/>
                <w:color w:val="auto"/>
              </w:rPr>
            </w:pPr>
            <w:r>
              <w:rPr>
                <w:rFonts w:ascii="Arial" w:cs="Arial" w:eastAsia="Arial" w:hAnsi="Arial"/>
                <w:sz w:val="12"/>
                <w:szCs w:val="12"/>
                <w:b w:val="1"/>
                <w:bCs w:val="1"/>
                <w:color w:val="auto"/>
              </w:rPr>
              <w:t>Liabilities in Excess of Other Assets—(75.1)%</w:t>
            </w: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0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60"/>
              <w:spacing w:after="0" w:line="129" w:lineRule="exact"/>
              <w:rPr>
                <w:sz w:val="20"/>
                <w:szCs w:val="20"/>
                <w:color w:val="auto"/>
              </w:rPr>
            </w:pPr>
            <w:r>
              <w:rPr>
                <w:rFonts w:ascii="Arial" w:cs="Arial" w:eastAsia="Arial" w:hAnsi="Arial"/>
                <w:sz w:val="12"/>
                <w:szCs w:val="12"/>
                <w:color w:val="auto"/>
                <w:w w:val="93"/>
              </w:rPr>
              <w:t>(402,452,541)</w:t>
            </w:r>
          </w:p>
        </w:tc>
        <w:tc>
          <w:tcPr>
            <w:tcW w:w="0" w:type="dxa"/>
            <w:vAlign w:val="bottom"/>
          </w:tcPr>
          <w:p>
            <w:pPr>
              <w:spacing w:after="0"/>
              <w:rPr>
                <w:sz w:val="1"/>
                <w:szCs w:val="1"/>
                <w:color w:val="auto"/>
              </w:rPr>
            </w:pPr>
          </w:p>
        </w:tc>
      </w:tr>
      <w:tr>
        <w:trPr>
          <w:trHeight w:val="149"/>
        </w:trPr>
        <w:tc>
          <w:tcPr>
            <w:tcW w:w="3040" w:type="dxa"/>
            <w:vAlign w:val="bottom"/>
            <w:tcBorders>
              <w:bottom w:val="single" w:sz="8" w:color="CCECFF"/>
            </w:tcBorders>
            <w:shd w:val="clear" w:color="auto" w:fill="CCECFF"/>
          </w:tcPr>
          <w:p>
            <w:pPr>
              <w:spacing w:after="0"/>
              <w:rPr>
                <w:sz w:val="20"/>
                <w:szCs w:val="20"/>
                <w:color w:val="auto"/>
              </w:rPr>
            </w:pPr>
            <w:r>
              <w:rPr>
                <w:rFonts w:ascii="Arial" w:cs="Arial" w:eastAsia="Arial" w:hAnsi="Arial"/>
                <w:sz w:val="12"/>
                <w:szCs w:val="12"/>
                <w:b w:val="1"/>
                <w:bCs w:val="1"/>
                <w:color w:val="auto"/>
              </w:rPr>
              <w:t>Net Assets—100.0%</w:t>
            </w:r>
          </w:p>
        </w:tc>
        <w:tc>
          <w:tcPr>
            <w:tcW w:w="120" w:type="dxa"/>
            <w:vAlign w:val="bottom"/>
            <w:tcBorders>
              <w:bottom w:val="single" w:sz="8" w:color="CCECFF"/>
            </w:tcBorders>
            <w:shd w:val="clear" w:color="auto" w:fill="CCECFF"/>
          </w:tcPr>
          <w:p>
            <w:pPr>
              <w:spacing w:after="0"/>
              <w:rPr>
                <w:sz w:val="12"/>
                <w:szCs w:val="12"/>
                <w:color w:val="auto"/>
              </w:rPr>
            </w:pPr>
          </w:p>
        </w:tc>
        <w:tc>
          <w:tcPr>
            <w:tcW w:w="540" w:type="dxa"/>
            <w:vAlign w:val="bottom"/>
            <w:tcBorders>
              <w:bottom w:val="single" w:sz="8" w:color="CCECFF"/>
            </w:tcBorders>
            <w:shd w:val="clear" w:color="auto" w:fill="CCECFF"/>
          </w:tcPr>
          <w:p>
            <w:pPr>
              <w:spacing w:after="0"/>
              <w:rPr>
                <w:sz w:val="12"/>
                <w:szCs w:val="12"/>
                <w:color w:val="auto"/>
              </w:rPr>
            </w:pPr>
          </w:p>
        </w:tc>
        <w:tc>
          <w:tcPr>
            <w:tcW w:w="220" w:type="dxa"/>
            <w:vAlign w:val="bottom"/>
            <w:tcBorders>
              <w:bottom w:val="single" w:sz="8" w:color="CCECFF"/>
            </w:tcBorders>
            <w:shd w:val="clear" w:color="auto" w:fill="CCECFF"/>
          </w:tcPr>
          <w:p>
            <w:pPr>
              <w:spacing w:after="0"/>
              <w:rPr>
                <w:sz w:val="12"/>
                <w:szCs w:val="12"/>
                <w:color w:val="auto"/>
              </w:rPr>
            </w:pPr>
          </w:p>
        </w:tc>
        <w:tc>
          <w:tcPr>
            <w:tcW w:w="266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68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CCECFF"/>
            </w:tcBorders>
            <w:shd w:val="clear" w:color="auto" w:fill="CCECFF"/>
          </w:tcPr>
          <w:p>
            <w:pPr>
              <w:spacing w:after="0"/>
              <w:rPr>
                <w:sz w:val="12"/>
                <w:szCs w:val="12"/>
                <w:color w:val="auto"/>
              </w:rPr>
            </w:pPr>
          </w:p>
        </w:tc>
        <w:tc>
          <w:tcPr>
            <w:tcW w:w="680" w:type="dxa"/>
            <w:vAlign w:val="bottom"/>
            <w:tcBorders>
              <w:bottom w:val="single" w:sz="8" w:color="CCECFF"/>
            </w:tcBorders>
            <w:shd w:val="clear" w:color="auto" w:fill="CCECFF"/>
          </w:tcPr>
          <w:p>
            <w:pPr>
              <w:spacing w:after="0"/>
              <w:rPr>
                <w:sz w:val="12"/>
                <w:szCs w:val="12"/>
                <w:color w:val="auto"/>
              </w:rPr>
            </w:pPr>
          </w:p>
        </w:tc>
        <w:tc>
          <w:tcPr>
            <w:tcW w:w="220" w:type="dxa"/>
            <w:vAlign w:val="bottom"/>
            <w:tcBorders>
              <w:bottom w:val="single" w:sz="8" w:color="CCECFF"/>
            </w:tcBorders>
            <w:shd w:val="clear" w:color="auto" w:fill="CCECFF"/>
          </w:tcPr>
          <w:p>
            <w:pPr>
              <w:spacing w:after="0"/>
              <w:rPr>
                <w:sz w:val="12"/>
                <w:szCs w:val="12"/>
                <w:color w:val="auto"/>
              </w:rPr>
            </w:pPr>
          </w:p>
        </w:tc>
        <w:tc>
          <w:tcPr>
            <w:tcW w:w="68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CCECFF"/>
            </w:tcBorders>
            <w:shd w:val="clear" w:color="auto" w:fill="CCECFF"/>
          </w:tcPr>
          <w:p>
            <w:pPr>
              <w:spacing w:after="0"/>
              <w:rPr>
                <w:sz w:val="12"/>
                <w:szCs w:val="12"/>
                <w:color w:val="auto"/>
              </w:rPr>
            </w:pPr>
          </w:p>
        </w:tc>
        <w:tc>
          <w:tcPr>
            <w:tcW w:w="80" w:type="dxa"/>
            <w:vAlign w:val="bottom"/>
            <w:tcBorders>
              <w:bottom w:val="single" w:sz="8" w:color="CCECFF"/>
            </w:tcBorders>
            <w:shd w:val="clear" w:color="auto" w:fill="CCECFF"/>
          </w:tcPr>
          <w:p>
            <w:pPr>
              <w:spacing w:after="0"/>
              <w:rPr>
                <w:sz w:val="12"/>
                <w:szCs w:val="12"/>
                <w:color w:val="auto"/>
              </w:rPr>
            </w:pPr>
          </w:p>
        </w:tc>
        <w:tc>
          <w:tcPr>
            <w:tcW w:w="62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CCECFF"/>
            </w:tcBorders>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5"/>
              </w:rPr>
              <w:t>535,878,316</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8599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163" w:lineRule="exact"/>
        <w:rPr>
          <w:sz w:val="20"/>
          <w:szCs w:val="20"/>
          <w:color w:val="auto"/>
        </w:rPr>
      </w:pPr>
    </w:p>
    <w:p>
      <w:pPr>
        <w:ind w:left="380" w:right="120" w:hanging="372"/>
        <w:spacing w:after="0" w:line="269" w:lineRule="auto"/>
        <w:tabs>
          <w:tab w:leader="none" w:pos="380" w:val="left"/>
        </w:tabs>
        <w:numPr>
          <w:ilvl w:val="0"/>
          <w:numId w:val="3"/>
        </w:numPr>
        <w:rPr>
          <w:rFonts w:ascii="Arial" w:cs="Arial" w:eastAsia="Arial" w:hAnsi="Arial"/>
          <w:sz w:val="11"/>
          <w:szCs w:val="11"/>
          <w:color w:val="auto"/>
        </w:rPr>
      </w:pPr>
      <w:r>
        <w:rPr>
          <w:rFonts w:ascii="Arial" w:cs="Arial" w:eastAsia="Arial" w:hAnsi="Arial"/>
          <w:sz w:val="11"/>
          <w:szCs w:val="11"/>
          <w:color w:val="auto"/>
        </w:rPr>
        <w:t>Represents floating rate instruments that accrue interest at a predetermined spread relative to an index, typically the applicable London Interbank Offered Rate, or LIBOR or “L,” the Euro Interbank Offered Rate, or EURIBOR or “E,”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and EURIBOR loans are typically indexed to a 90-day EURIBOR rate (3M E), at the borrower’s option. All securities are subject to a LIBOR or Prime rate floor where a spread is provided, unless noted. The spread provided includes payment-in-kind, or PIK, interest and other fee rates, if any.</w:t>
      </w:r>
    </w:p>
    <w:p>
      <w:pPr>
        <w:spacing w:after="0" w:line="13" w:lineRule="exact"/>
        <w:rPr>
          <w:rFonts w:ascii="Arial" w:cs="Arial" w:eastAsia="Arial" w:hAnsi="Arial"/>
          <w:sz w:val="11"/>
          <w:szCs w:val="11"/>
          <w:color w:val="auto"/>
        </w:rPr>
      </w:pPr>
    </w:p>
    <w:p>
      <w:pPr>
        <w:ind w:left="380" w:hanging="372"/>
        <w:spacing w:after="0"/>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Valued based on our accounting policy (See Note 2).</w:t>
      </w:r>
    </w:p>
    <w:p>
      <w:pPr>
        <w:spacing w:after="0" w:line="37" w:lineRule="exact"/>
        <w:rPr>
          <w:rFonts w:ascii="Arial" w:cs="Arial" w:eastAsia="Arial" w:hAnsi="Arial"/>
          <w:sz w:val="12"/>
          <w:szCs w:val="12"/>
          <w:color w:val="auto"/>
        </w:rPr>
      </w:pPr>
    </w:p>
    <w:p>
      <w:pPr>
        <w:ind w:left="380" w:hanging="372"/>
        <w:spacing w:after="0" w:line="252" w:lineRule="auto"/>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spacing w:after="0" w:line="20" w:lineRule="exact"/>
        <w:rPr>
          <w:rFonts w:ascii="Arial" w:cs="Arial" w:eastAsia="Arial" w:hAnsi="Arial"/>
          <w:sz w:val="12"/>
          <w:szCs w:val="12"/>
          <w:color w:val="auto"/>
        </w:rPr>
      </w:pPr>
    </w:p>
    <w:p>
      <w:pPr>
        <w:ind w:left="380" w:hanging="372"/>
        <w:spacing w:after="0" w:line="252" w:lineRule="auto"/>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w:t>
      </w:r>
    </w:p>
    <w:p>
      <w:pPr>
        <w:spacing w:after="0" w:line="20" w:lineRule="exact"/>
        <w:rPr>
          <w:rFonts w:ascii="Arial" w:cs="Arial" w:eastAsia="Arial" w:hAnsi="Arial"/>
          <w:sz w:val="12"/>
          <w:szCs w:val="12"/>
          <w:color w:val="auto"/>
        </w:rPr>
      </w:pPr>
    </w:p>
    <w:p>
      <w:pPr>
        <w:ind w:left="380" w:hanging="372"/>
        <w:spacing w:after="0"/>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Non-income producing securities.</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securities, or a portion thereof, are not pledged as collateral under the Credit Facility. All other securities are pledged as collateral under the Credit Facility and held through Funding I.</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3"/>
        </w:numPr>
        <w:rPr>
          <w:rFonts w:ascii="Arial" w:cs="Arial" w:eastAsia="Arial" w:hAnsi="Arial"/>
          <w:sz w:val="11"/>
          <w:szCs w:val="11"/>
          <w:color w:val="auto"/>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49" w:lineRule="exact"/>
        <w:rPr>
          <w:rFonts w:ascii="Arial" w:cs="Arial" w:eastAsia="Arial" w:hAnsi="Arial"/>
          <w:sz w:val="11"/>
          <w:szCs w:val="11"/>
          <w:color w:val="auto"/>
        </w:rPr>
      </w:pPr>
    </w:p>
    <w:p>
      <w:pPr>
        <w:ind w:left="380" w:right="20" w:hanging="372"/>
        <w:spacing w:after="0" w:line="252" w:lineRule="auto"/>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June 30, 2018, qualifying assets represent 83% of our total assets and non-qualifying assets represent 17% of our total assets.</w:t>
      </w:r>
    </w:p>
    <w:p>
      <w:pPr>
        <w:spacing w:after="0" w:line="20" w:lineRule="exact"/>
        <w:rPr>
          <w:rFonts w:ascii="Arial" w:cs="Arial" w:eastAsia="Arial" w:hAnsi="Arial"/>
          <w:sz w:val="12"/>
          <w:szCs w:val="12"/>
          <w:color w:val="auto"/>
        </w:rPr>
      </w:pPr>
    </w:p>
    <w:p>
      <w:pPr>
        <w:ind w:left="380" w:hanging="372"/>
        <w:spacing w:after="0"/>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Par amount is denominated in Australian Dollars (A$), Canadian Dollars (C$) or in Euros (€) as denoted.</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Investment is held through our Taxable Subsidiary (See Note 1).</w:t>
      </w:r>
    </w:p>
    <w:p>
      <w:pPr>
        <w:spacing w:after="0" w:line="37" w:lineRule="exact"/>
        <w:rPr>
          <w:rFonts w:ascii="Arial" w:cs="Arial" w:eastAsia="Arial" w:hAnsi="Arial"/>
          <w:sz w:val="12"/>
          <w:szCs w:val="12"/>
          <w:color w:val="auto"/>
        </w:rPr>
      </w:pPr>
    </w:p>
    <w:p>
      <w:pPr>
        <w:ind w:left="340" w:hanging="320"/>
        <w:spacing w:after="0"/>
        <w:tabs>
          <w:tab w:leader="none" w:pos="340" w:val="left"/>
        </w:tabs>
        <w:numPr>
          <w:ilvl w:val="1"/>
          <w:numId w:val="3"/>
        </w:numPr>
        <w:rPr>
          <w:rFonts w:ascii="Arial" w:cs="Arial" w:eastAsia="Arial" w:hAnsi="Arial"/>
          <w:sz w:val="12"/>
          <w:szCs w:val="12"/>
          <w:color w:val="auto"/>
        </w:rPr>
      </w:pPr>
      <w:r>
        <w:rPr>
          <w:rFonts w:ascii="Arial" w:cs="Arial" w:eastAsia="Arial" w:hAnsi="Arial"/>
          <w:sz w:val="12"/>
          <w:szCs w:val="12"/>
          <w:color w:val="auto"/>
        </w:rPr>
        <w:t>The security was not valued using significant unobservable inputs. The value of all other securities was determined using significant unobservable inputs (See Note 5).</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w:t>
      </w:r>
    </w:p>
    <w:p>
      <w:pPr>
        <w:jc w:val="center"/>
        <w:spacing w:after="0"/>
        <w:rPr>
          <w:sz w:val="20"/>
          <w:szCs w:val="20"/>
          <w:color w:val="auto"/>
        </w:rPr>
      </w:pPr>
      <w:r>
        <w:rPr>
          <w:rFonts w:ascii="Arial" w:cs="Arial" w:eastAsia="Arial" w:hAnsi="Arial"/>
          <w:sz w:val="14"/>
          <w:szCs w:val="14"/>
          <w:b w:val="1"/>
          <w:bCs w:val="1"/>
          <w:color w:val="auto"/>
        </w:rPr>
        <w:t>SEPTEMBER 30, 2017</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0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2"/>
                <w:szCs w:val="12"/>
                <w:b w:val="1"/>
                <w:bCs w:val="1"/>
                <w:color w:val="auto"/>
                <w:w w:val="85"/>
              </w:rPr>
              <w:t>Basis Point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5"/>
        </w:trPr>
        <w:tc>
          <w:tcPr>
            <w:tcW w:w="3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8"/>
              </w:rPr>
              <w:t>Spread</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right"/>
              <w:ind w:right="420"/>
              <w:spacing w:after="0" w:line="135" w:lineRule="exact"/>
              <w:rPr>
                <w:sz w:val="20"/>
                <w:szCs w:val="20"/>
                <w:color w:val="auto"/>
              </w:rPr>
            </w:pPr>
            <w:r>
              <w:rPr>
                <w:rFonts w:ascii="Arial" w:cs="Arial" w:eastAsia="Arial" w:hAnsi="Arial"/>
                <w:sz w:val="12"/>
                <w:szCs w:val="12"/>
                <w:b w:val="1"/>
                <w:bCs w:val="1"/>
                <w:color w:val="auto"/>
              </w:rPr>
              <w:t>Current</w:t>
            </w:r>
          </w:p>
        </w:tc>
        <w:tc>
          <w:tcPr>
            <w:tcW w:w="6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7"/>
              </w:rPr>
              <w:t>Above</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ind w:right="162"/>
              <w:spacing w:after="0" w:line="135" w:lineRule="exact"/>
              <w:rPr>
                <w:sz w:val="20"/>
                <w:szCs w:val="20"/>
                <w:color w:val="auto"/>
              </w:rPr>
            </w:pPr>
            <w:r>
              <w:rPr>
                <w:rFonts w:ascii="Arial" w:cs="Arial" w:eastAsia="Arial" w:hAnsi="Arial"/>
                <w:sz w:val="12"/>
                <w:szCs w:val="12"/>
                <w:b w:val="1"/>
                <w:bCs w:val="1"/>
                <w:color w:val="auto"/>
              </w:rPr>
              <w:t>Par /</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3"/>
        </w:trPr>
        <w:tc>
          <w:tcPr>
            <w:tcW w:w="3040" w:type="dxa"/>
            <w:vAlign w:val="bottom"/>
          </w:tcPr>
          <w:p>
            <w:pPr>
              <w:spacing w:after="0"/>
              <w:rPr>
                <w:sz w:val="20"/>
                <w:szCs w:val="20"/>
                <w:color w:val="auto"/>
              </w:rPr>
            </w:pPr>
            <w:r>
              <w:rPr>
                <w:rFonts w:ascii="Arial" w:cs="Arial" w:eastAsia="Arial" w:hAnsi="Arial"/>
                <w:sz w:val="12"/>
                <w:szCs w:val="12"/>
                <w:b w:val="1"/>
                <w:bCs w:val="1"/>
                <w:color w:val="auto"/>
              </w:rPr>
              <w:t>Issuer Name</w:t>
            </w:r>
          </w:p>
        </w:tc>
        <w:tc>
          <w:tcPr>
            <w:tcW w:w="1160" w:type="dxa"/>
            <w:vAlign w:val="bottom"/>
          </w:tcPr>
          <w:p>
            <w:pPr>
              <w:jc w:val="center"/>
              <w:ind w:right="202"/>
              <w:spacing w:after="0"/>
              <w:rPr>
                <w:sz w:val="20"/>
                <w:szCs w:val="20"/>
                <w:color w:val="auto"/>
              </w:rPr>
            </w:pPr>
            <w:r>
              <w:rPr>
                <w:rFonts w:ascii="Arial" w:cs="Arial" w:eastAsia="Arial" w:hAnsi="Arial"/>
                <w:sz w:val="12"/>
                <w:szCs w:val="12"/>
                <w:b w:val="1"/>
                <w:bCs w:val="1"/>
                <w:color w:val="auto"/>
                <w:w w:val="98"/>
              </w:rPr>
              <w:t>Maturity</w:t>
            </w:r>
          </w:p>
        </w:tc>
        <w:tc>
          <w:tcPr>
            <w:tcW w:w="2540" w:type="dxa"/>
            <w:vAlign w:val="bottom"/>
            <w:gridSpan w:val="2"/>
          </w:tcPr>
          <w:p>
            <w:pPr>
              <w:jc w:val="center"/>
              <w:ind w:right="420"/>
              <w:spacing w:after="0"/>
              <w:rPr>
                <w:sz w:val="20"/>
                <w:szCs w:val="20"/>
                <w:color w:val="auto"/>
              </w:rPr>
            </w:pPr>
            <w:r>
              <w:rPr>
                <w:rFonts w:ascii="Arial" w:cs="Arial" w:eastAsia="Arial" w:hAnsi="Arial"/>
                <w:sz w:val="12"/>
                <w:szCs w:val="12"/>
                <w:b w:val="1"/>
                <w:bCs w:val="1"/>
                <w:color w:val="auto"/>
                <w:w w:val="92"/>
              </w:rPr>
              <w:t>Industry</w:t>
            </w:r>
          </w:p>
        </w:tc>
        <w:tc>
          <w:tcPr>
            <w:tcW w:w="940" w:type="dxa"/>
            <w:vAlign w:val="bottom"/>
            <w:gridSpan w:val="2"/>
          </w:tcPr>
          <w:p>
            <w:pPr>
              <w:jc w:val="right"/>
              <w:ind w:right="420"/>
              <w:spacing w:after="0"/>
              <w:rPr>
                <w:sz w:val="20"/>
                <w:szCs w:val="20"/>
                <w:color w:val="auto"/>
              </w:rPr>
            </w:pPr>
            <w:r>
              <w:rPr>
                <w:rFonts w:ascii="Arial" w:cs="Arial" w:eastAsia="Arial" w:hAnsi="Arial"/>
                <w:sz w:val="12"/>
                <w:szCs w:val="12"/>
                <w:b w:val="1"/>
                <w:bCs w:val="1"/>
                <w:color w:val="auto"/>
              </w:rPr>
              <w:t>Coupon</w:t>
            </w:r>
          </w:p>
        </w:tc>
        <w:tc>
          <w:tcPr>
            <w:tcW w:w="680" w:type="dxa"/>
            <w:vAlign w:val="bottom"/>
          </w:tcPr>
          <w:p>
            <w:pPr>
              <w:jc w:val="center"/>
              <w:spacing w:after="0"/>
              <w:rPr>
                <w:sz w:val="20"/>
                <w:szCs w:val="20"/>
                <w:color w:val="auto"/>
              </w:rPr>
            </w:pPr>
            <w:r>
              <w:rPr>
                <w:rFonts w:ascii="Arial" w:cs="Arial" w:eastAsia="Arial" w:hAnsi="Arial"/>
                <w:sz w:val="12"/>
                <w:szCs w:val="12"/>
                <w:b w:val="1"/>
                <w:bCs w:val="1"/>
                <w:color w:val="auto"/>
                <w:w w:val="96"/>
              </w:rPr>
              <w:t xml:space="preserve">Index </w:t>
            </w:r>
            <w:r>
              <w:rPr>
                <w:rFonts w:ascii="Arial" w:cs="Arial" w:eastAsia="Arial" w:hAnsi="Arial"/>
                <w:sz w:val="9"/>
                <w:szCs w:val="9"/>
                <w:b w:val="1"/>
                <w:bCs w:val="1"/>
                <w:color w:val="auto"/>
                <w:w w:val="96"/>
              </w:rPr>
              <w:t>(1)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102"/>
              <w:spacing w:after="0"/>
              <w:rPr>
                <w:sz w:val="20"/>
                <w:szCs w:val="20"/>
                <w:color w:val="auto"/>
              </w:rPr>
            </w:pPr>
            <w:r>
              <w:rPr>
                <w:rFonts w:ascii="Arial" w:cs="Arial" w:eastAsia="Arial" w:hAnsi="Arial"/>
                <w:sz w:val="12"/>
                <w:szCs w:val="12"/>
                <w:b w:val="1"/>
                <w:bCs w:val="1"/>
                <w:color w:val="auto"/>
                <w:w w:val="94"/>
              </w:rPr>
              <w:t>Shares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82"/>
              <w:spacing w:after="0"/>
              <w:rPr>
                <w:sz w:val="20"/>
                <w:szCs w:val="20"/>
                <w:color w:val="auto"/>
              </w:rPr>
            </w:pPr>
            <w:r>
              <w:rPr>
                <w:rFonts w:ascii="Arial" w:cs="Arial" w:eastAsia="Arial" w:hAnsi="Arial"/>
                <w:sz w:val="12"/>
                <w:szCs w:val="12"/>
                <w:b w:val="1"/>
                <w:bCs w:val="1"/>
                <w:color w:val="auto"/>
              </w:rPr>
              <w:t>Cost</w:t>
            </w:r>
          </w:p>
        </w:tc>
        <w:tc>
          <w:tcPr>
            <w:tcW w:w="240" w:type="dxa"/>
            <w:vAlign w:val="bottom"/>
          </w:tcPr>
          <w:p>
            <w:pPr>
              <w:spacing w:after="0"/>
              <w:rPr>
                <w:sz w:val="12"/>
                <w:szCs w:val="12"/>
                <w:color w:val="auto"/>
              </w:rPr>
            </w:pP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 xml:space="preserve">Fair Value </w:t>
            </w:r>
            <w:r>
              <w:rPr>
                <w:rFonts w:ascii="Arial" w:cs="Arial" w:eastAsia="Arial" w:hAnsi="Arial"/>
                <w:sz w:val="9"/>
                <w:szCs w:val="9"/>
                <w:b w:val="1"/>
                <w:bCs w:val="1"/>
                <w:color w:val="auto"/>
              </w:rPr>
              <w:t>(2)</w:t>
            </w:r>
          </w:p>
        </w:tc>
      </w:tr>
      <w:tr>
        <w:trPr>
          <w:trHeight w:val="142"/>
        </w:trPr>
        <w:tc>
          <w:tcPr>
            <w:tcW w:w="4200" w:type="dxa"/>
            <w:vAlign w:val="bottom"/>
            <w:tcBorders>
              <w:top w:val="single" w:sz="8" w:color="auto"/>
            </w:tcBorders>
            <w:gridSpan w:val="2"/>
            <w:shd w:val="clear" w:color="auto" w:fill="CCECFF"/>
          </w:tcPr>
          <w:p>
            <w:pPr>
              <w:spacing w:after="0"/>
              <w:rPr>
                <w:sz w:val="20"/>
                <w:szCs w:val="20"/>
                <w:color w:val="auto"/>
              </w:rPr>
            </w:pPr>
            <w:r>
              <w:rPr>
                <w:rFonts w:ascii="Arial" w:cs="Arial" w:eastAsia="Arial" w:hAnsi="Arial"/>
                <w:sz w:val="12"/>
                <w:szCs w:val="12"/>
                <w:b w:val="1"/>
                <w:bCs w:val="1"/>
                <w:color w:val="auto"/>
                <w:w w:val="90"/>
              </w:rPr>
              <w:t xml:space="preserve">Investments in Non-Controlled, Non-Affiliated Portfolio Companies—145.7% </w:t>
            </w:r>
            <w:r>
              <w:rPr>
                <w:rFonts w:ascii="Arial" w:cs="Arial" w:eastAsia="Arial" w:hAnsi="Arial"/>
                <w:sz w:val="9"/>
                <w:szCs w:val="9"/>
                <w:b w:val="1"/>
                <w:bCs w:val="1"/>
                <w:color w:val="auto"/>
                <w:w w:val="90"/>
              </w:rPr>
              <w:t>(3), (4)</w:t>
            </w:r>
          </w:p>
        </w:tc>
        <w:tc>
          <w:tcPr>
            <w:tcW w:w="2400" w:type="dxa"/>
            <w:vAlign w:val="bottom"/>
            <w:tcBorders>
              <w:top w:val="single" w:sz="8" w:color="auto"/>
            </w:tcBorders>
            <w:shd w:val="clear" w:color="auto" w:fill="CCECFF"/>
          </w:tcPr>
          <w:p>
            <w:pPr>
              <w:spacing w:after="0"/>
              <w:rPr>
                <w:sz w:val="12"/>
                <w:szCs w:val="12"/>
                <w:color w:val="auto"/>
              </w:rPr>
            </w:pPr>
          </w:p>
        </w:tc>
        <w:tc>
          <w:tcPr>
            <w:tcW w:w="140" w:type="dxa"/>
            <w:vAlign w:val="bottom"/>
            <w:tcBorders>
              <w:top w:val="single" w:sz="8" w:color="CCECFF"/>
            </w:tcBorders>
            <w:shd w:val="clear" w:color="auto" w:fill="CCECFF"/>
          </w:tcPr>
          <w:p>
            <w:pPr>
              <w:spacing w:after="0"/>
              <w:rPr>
                <w:sz w:val="12"/>
                <w:szCs w:val="12"/>
                <w:color w:val="auto"/>
              </w:rPr>
            </w:pPr>
          </w:p>
        </w:tc>
        <w:tc>
          <w:tcPr>
            <w:tcW w:w="660" w:type="dxa"/>
            <w:vAlign w:val="bottom"/>
            <w:tcBorders>
              <w:top w:val="single" w:sz="8" w:color="auto"/>
            </w:tcBorders>
            <w:shd w:val="clear" w:color="auto" w:fill="CCECFF"/>
          </w:tcPr>
          <w:p>
            <w:pPr>
              <w:spacing w:after="0"/>
              <w:rPr>
                <w:sz w:val="12"/>
                <w:szCs w:val="12"/>
                <w:color w:val="auto"/>
              </w:rPr>
            </w:pPr>
          </w:p>
        </w:tc>
        <w:tc>
          <w:tcPr>
            <w:tcW w:w="280" w:type="dxa"/>
            <w:vAlign w:val="bottom"/>
            <w:tcBorders>
              <w:top w:val="single" w:sz="8" w:color="CCECFF"/>
            </w:tcBorders>
            <w:shd w:val="clear" w:color="auto" w:fill="CCECFF"/>
          </w:tcPr>
          <w:p>
            <w:pPr>
              <w:spacing w:after="0"/>
              <w:rPr>
                <w:sz w:val="12"/>
                <w:szCs w:val="12"/>
                <w:color w:val="auto"/>
              </w:rPr>
            </w:pPr>
          </w:p>
        </w:tc>
        <w:tc>
          <w:tcPr>
            <w:tcW w:w="68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100" w:type="dxa"/>
            <w:vAlign w:val="bottom"/>
            <w:tcBorders>
              <w:top w:val="single" w:sz="8" w:color="auto"/>
            </w:tcBorders>
            <w:shd w:val="clear" w:color="auto" w:fill="CCECFF"/>
          </w:tcPr>
          <w:p>
            <w:pPr>
              <w:spacing w:after="0"/>
              <w:rPr>
                <w:sz w:val="12"/>
                <w:szCs w:val="12"/>
                <w:color w:val="auto"/>
              </w:rPr>
            </w:pPr>
          </w:p>
        </w:tc>
        <w:tc>
          <w:tcPr>
            <w:tcW w:w="56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100" w:type="dxa"/>
            <w:vAlign w:val="bottom"/>
            <w:tcBorders>
              <w:top w:val="single" w:sz="8" w:color="auto"/>
            </w:tcBorders>
            <w:shd w:val="clear" w:color="auto" w:fill="CCECFF"/>
          </w:tcPr>
          <w:p>
            <w:pPr>
              <w:spacing w:after="0"/>
              <w:rPr>
                <w:sz w:val="12"/>
                <w:szCs w:val="12"/>
                <w:color w:val="auto"/>
              </w:rPr>
            </w:pPr>
          </w:p>
        </w:tc>
        <w:tc>
          <w:tcPr>
            <w:tcW w:w="58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100" w:type="dxa"/>
            <w:vAlign w:val="bottom"/>
            <w:tcBorders>
              <w:top w:val="single" w:sz="8" w:color="auto"/>
            </w:tcBorders>
            <w:shd w:val="clear" w:color="auto" w:fill="CCECFF"/>
          </w:tcPr>
          <w:p>
            <w:pPr>
              <w:spacing w:after="0"/>
              <w:rPr>
                <w:sz w:val="12"/>
                <w:szCs w:val="12"/>
                <w:color w:val="auto"/>
              </w:rPr>
            </w:pPr>
          </w:p>
        </w:tc>
        <w:tc>
          <w:tcPr>
            <w:tcW w:w="600" w:type="dxa"/>
            <w:vAlign w:val="bottom"/>
            <w:tcBorders>
              <w:top w:val="single" w:sz="8" w:color="auto"/>
            </w:tcBorders>
            <w:shd w:val="clear" w:color="auto" w:fill="CCECFF"/>
          </w:tcPr>
          <w:p>
            <w:pPr>
              <w:spacing w:after="0"/>
              <w:rPr>
                <w:sz w:val="12"/>
                <w:szCs w:val="12"/>
                <w:color w:val="auto"/>
              </w:rPr>
            </w:pPr>
          </w:p>
        </w:tc>
        <w:tc>
          <w:tcPr>
            <w:tcW w:w="120" w:type="dxa"/>
            <w:vAlign w:val="bottom"/>
            <w:tcBorders>
              <w:top w:val="single" w:sz="8" w:color="CCECFF"/>
            </w:tcBorders>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b w:val="1"/>
                <w:bCs w:val="1"/>
                <w:color w:val="auto"/>
              </w:rPr>
              <w:t>First Lien Secured Debt—133.1%</w:t>
            </w:r>
          </w:p>
        </w:tc>
        <w:tc>
          <w:tcPr>
            <w:tcW w:w="11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Advanced Cable Communications, LLC</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08/09/2021</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9"/>
              </w:rPr>
              <w:t>Telecommunications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7.08%</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L+575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16,225,000</w:t>
            </w:r>
          </w:p>
        </w:tc>
        <w:tc>
          <w:tcPr>
            <w:tcW w:w="340" w:type="dxa"/>
            <w:vAlign w:val="bottom"/>
            <w:gridSpan w:val="2"/>
            <w:shd w:val="clear" w:color="auto" w:fill="CCECFF"/>
          </w:tcPr>
          <w:p>
            <w:pPr>
              <w:jc w:val="right"/>
              <w:ind w:right="4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16,029,514</w:t>
            </w:r>
          </w:p>
        </w:tc>
        <w:tc>
          <w:tcPr>
            <w:tcW w:w="340" w:type="dxa"/>
            <w:vAlign w:val="bottom"/>
            <w:gridSpan w:val="2"/>
            <w:shd w:val="clear" w:color="auto" w:fill="CCECFF"/>
          </w:tcPr>
          <w:p>
            <w:pPr>
              <w:ind w:left="240"/>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16,225,000</w:t>
            </w:r>
          </w:p>
        </w:tc>
        <w:tc>
          <w:tcPr>
            <w:tcW w:w="120" w:type="dxa"/>
            <w:vAlign w:val="bottom"/>
            <w:shd w:val="clear" w:color="auto" w:fill="CCECFF"/>
          </w:tcPr>
          <w:p>
            <w:pPr>
              <w:spacing w:after="0"/>
              <w:rPr>
                <w:sz w:val="12"/>
                <w:szCs w:val="12"/>
                <w:color w:val="auto"/>
              </w:rPr>
            </w:pPr>
          </w:p>
        </w:tc>
      </w:tr>
      <w:tr>
        <w:trPr>
          <w:trHeight w:val="149"/>
        </w:trPr>
        <w:tc>
          <w:tcPr>
            <w:tcW w:w="3040" w:type="dxa"/>
            <w:vAlign w:val="bottom"/>
          </w:tcPr>
          <w:p>
            <w:pPr>
              <w:spacing w:after="0"/>
              <w:rPr>
                <w:sz w:val="20"/>
                <w:szCs w:val="20"/>
                <w:color w:val="auto"/>
              </w:rPr>
            </w:pPr>
            <w:r>
              <w:rPr>
                <w:rFonts w:ascii="Arial" w:cs="Arial" w:eastAsia="Arial" w:hAnsi="Arial"/>
                <w:sz w:val="12"/>
                <w:szCs w:val="12"/>
                <w:color w:val="auto"/>
              </w:rPr>
              <w:t>Alera Group Holdings, Inc.</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12/30/2022</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7"/>
              </w:rPr>
              <w:t>Banking, Finance, Insurance and Real Estate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6.74%</w:t>
            </w:r>
          </w:p>
        </w:tc>
        <w:tc>
          <w:tcPr>
            <w:tcW w:w="680" w:type="dxa"/>
            <w:vAlign w:val="bottom"/>
          </w:tcPr>
          <w:p>
            <w:pPr>
              <w:jc w:val="right"/>
              <w:spacing w:after="0"/>
              <w:rPr>
                <w:sz w:val="20"/>
                <w:szCs w:val="20"/>
                <w:color w:val="auto"/>
              </w:rPr>
            </w:pPr>
            <w:r>
              <w:rPr>
                <w:rFonts w:ascii="Arial" w:cs="Arial" w:eastAsia="Arial" w:hAnsi="Arial"/>
                <w:sz w:val="12"/>
                <w:szCs w:val="12"/>
                <w:color w:val="auto"/>
              </w:rPr>
              <w:t>L+550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9,177,637</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9,098,312</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9,177,637</w:t>
            </w:r>
          </w:p>
        </w:tc>
        <w:tc>
          <w:tcPr>
            <w:tcW w:w="12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Alera Group Holdings, Inc. (Revolver) </w:t>
            </w:r>
            <w:r>
              <w:rPr>
                <w:rFonts w:ascii="Arial" w:cs="Arial" w:eastAsia="Arial" w:hAnsi="Arial"/>
                <w:sz w:val="9"/>
                <w:szCs w:val="9"/>
                <w:color w:val="auto"/>
              </w:rPr>
              <w:t>(8), (9)</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12/30/2021</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7"/>
              </w:rPr>
              <w:t>Banking, Finance, Insurance and Real Estate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1,771,962</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w:t>
            </w: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 xml:space="preserve">Alera Group Holdings, Inc. </w:t>
            </w:r>
            <w:r>
              <w:rPr>
                <w:rFonts w:ascii="Arial" w:cs="Arial" w:eastAsia="Arial" w:hAnsi="Arial"/>
                <w:sz w:val="9"/>
                <w:szCs w:val="9"/>
                <w:color w:val="auto"/>
              </w:rPr>
              <w:t>(8), (9)</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12/30/2022</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7"/>
              </w:rPr>
              <w:t>Banking, Finance, Insurance and Real Estate</w:t>
            </w:r>
          </w:p>
        </w:tc>
        <w:tc>
          <w:tcPr>
            <w:tcW w:w="94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2,983,500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American Auto Auction Group, LLC</w:t>
            </w:r>
          </w:p>
        </w:tc>
        <w:tc>
          <w:tcPr>
            <w:tcW w:w="1160" w:type="dxa"/>
            <w:vAlign w:val="bottom"/>
            <w:shd w:val="clear" w:color="auto" w:fill="CCECFF"/>
          </w:tcPr>
          <w:p>
            <w:pPr>
              <w:jc w:val="center"/>
              <w:ind w:right="222"/>
              <w:spacing w:after="0"/>
              <w:rPr>
                <w:sz w:val="20"/>
                <w:szCs w:val="20"/>
                <w:color w:val="auto"/>
              </w:rPr>
            </w:pPr>
            <w:r>
              <w:rPr>
                <w:rFonts w:ascii="Arial" w:cs="Arial" w:eastAsia="Arial" w:hAnsi="Arial"/>
                <w:sz w:val="12"/>
                <w:szCs w:val="12"/>
                <w:color w:val="auto"/>
                <w:w w:val="86"/>
              </w:rPr>
              <w:t>11/30/2021</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7"/>
              </w:rPr>
              <w:t>Transportation: Consumer</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6.48%</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L+525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10,945,000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10,805,812</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10,780,825</w:t>
            </w:r>
          </w:p>
        </w:tc>
        <w:tc>
          <w:tcPr>
            <w:tcW w:w="120" w:type="dxa"/>
            <w:vAlign w:val="bottom"/>
            <w:shd w:val="clear" w:color="auto" w:fill="CCECFF"/>
          </w:tcPr>
          <w:p>
            <w:pPr>
              <w:spacing w:after="0"/>
              <w:rPr>
                <w:sz w:val="12"/>
                <w:szCs w:val="12"/>
                <w:color w:val="auto"/>
              </w:rPr>
            </w:pPr>
          </w:p>
        </w:tc>
      </w:tr>
      <w:tr>
        <w:trPr>
          <w:trHeight w:val="156"/>
        </w:trPr>
        <w:tc>
          <w:tcPr>
            <w:tcW w:w="3040" w:type="dxa"/>
            <w:vAlign w:val="bottom"/>
          </w:tcPr>
          <w:p>
            <w:pPr>
              <w:spacing w:after="0"/>
              <w:rPr>
                <w:sz w:val="20"/>
                <w:szCs w:val="20"/>
                <w:color w:val="auto"/>
              </w:rPr>
            </w:pPr>
            <w:r>
              <w:rPr>
                <w:rFonts w:ascii="Arial" w:cs="Arial" w:eastAsia="Arial" w:hAnsi="Arial"/>
                <w:sz w:val="12"/>
                <w:szCs w:val="12"/>
                <w:color w:val="auto"/>
              </w:rPr>
              <w:t xml:space="preserve">American Gilsonite Company </w:t>
            </w:r>
            <w:r>
              <w:rPr>
                <w:rFonts w:ascii="Arial" w:cs="Arial" w:eastAsia="Arial" w:hAnsi="Arial"/>
                <w:sz w:val="9"/>
                <w:szCs w:val="9"/>
                <w:color w:val="auto"/>
              </w:rPr>
              <w:t>(8)</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12/31/2021</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92"/>
              </w:rPr>
              <w:t>Metals and Mining</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15.00%</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128,248</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124,746</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141,073</w:t>
            </w:r>
          </w:p>
        </w:tc>
        <w:tc>
          <w:tcPr>
            <w:tcW w:w="120" w:type="dxa"/>
            <w:vAlign w:val="bottom"/>
          </w:tcPr>
          <w:p>
            <w:pPr>
              <w:spacing w:after="0"/>
              <w:rPr>
                <w:sz w:val="13"/>
                <w:szCs w:val="13"/>
                <w:color w:val="auto"/>
              </w:rPr>
            </w:pPr>
          </w:p>
        </w:tc>
      </w:tr>
      <w:tr>
        <w:trPr>
          <w:trHeight w:val="141"/>
        </w:trPr>
        <w:tc>
          <w:tcPr>
            <w:tcW w:w="30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(PIK 5.00%)</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American Scaffold</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03/31/2022</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5"/>
              </w:rPr>
              <w:t>Aerospace and Defense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7.83%</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L+650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4,750,000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4,691,657</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4,702,500</w:t>
            </w:r>
          </w:p>
        </w:tc>
        <w:tc>
          <w:tcPr>
            <w:tcW w:w="12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American Teleconferencing Services, Ltd.</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12/08/2021</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9"/>
              </w:rPr>
              <w:t>Telecommunications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7.78%</w:t>
            </w:r>
          </w:p>
        </w:tc>
        <w:tc>
          <w:tcPr>
            <w:tcW w:w="680" w:type="dxa"/>
            <w:vAlign w:val="bottom"/>
          </w:tcPr>
          <w:p>
            <w:pPr>
              <w:jc w:val="right"/>
              <w:spacing w:after="0"/>
              <w:rPr>
                <w:sz w:val="20"/>
                <w:szCs w:val="20"/>
                <w:color w:val="auto"/>
              </w:rPr>
            </w:pPr>
            <w:r>
              <w:rPr>
                <w:rFonts w:ascii="Arial" w:cs="Arial" w:eastAsia="Arial" w:hAnsi="Arial"/>
                <w:sz w:val="12"/>
                <w:szCs w:val="12"/>
                <w:color w:val="auto"/>
              </w:rPr>
              <w:t>L+650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9"/>
              </w:rPr>
              <w:t>10,741,453</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93"/>
              </w:rPr>
              <w:t>10,574,347</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w w:val="93"/>
              </w:rPr>
              <w:t>10,338,648</w:t>
            </w:r>
          </w:p>
        </w:tc>
        <w:tc>
          <w:tcPr>
            <w:tcW w:w="12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Anesthesia Consulting &amp; Management, LP</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10/31/2022</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6"/>
              </w:rPr>
              <w:t>Healthcare and Pharmaceuticals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6.58%</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L+525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3,970,000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3,935,087</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3,890,600</w:t>
            </w:r>
          </w:p>
        </w:tc>
        <w:tc>
          <w:tcPr>
            <w:tcW w:w="12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 xml:space="preserve">Anesthesia Consulting &amp; Management, LP </w:t>
            </w:r>
            <w:r>
              <w:rPr>
                <w:rFonts w:ascii="Arial" w:cs="Arial" w:eastAsia="Arial" w:hAnsi="Arial"/>
                <w:sz w:val="9"/>
                <w:szCs w:val="9"/>
                <w:color w:val="auto"/>
              </w:rPr>
              <w:t>(8), (9)</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10/31/2022</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6"/>
              </w:rPr>
              <w:t>Healthcare and Pharmaceuticals</w:t>
            </w:r>
          </w:p>
        </w:tc>
        <w:tc>
          <w:tcPr>
            <w:tcW w:w="94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1,000,000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2"/>
                <w:szCs w:val="12"/>
                <w:color w:val="auto"/>
              </w:rPr>
              <w:t>(20,000)</w:t>
            </w: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API Technologies Corp.</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04/22/2022</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5"/>
              </w:rPr>
              <w:t>Aerospace and Defense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7.83%</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L+650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4,881,581</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4,803,856</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4,832,765</w:t>
            </w:r>
          </w:p>
        </w:tc>
        <w:tc>
          <w:tcPr>
            <w:tcW w:w="120" w:type="dxa"/>
            <w:vAlign w:val="bottom"/>
            <w:shd w:val="clear" w:color="auto" w:fill="CCECFF"/>
          </w:tcPr>
          <w:p>
            <w:pPr>
              <w:spacing w:after="0"/>
              <w:rPr>
                <w:sz w:val="12"/>
                <w:szCs w:val="12"/>
                <w:color w:val="auto"/>
              </w:rPr>
            </w:pPr>
          </w:p>
        </w:tc>
      </w:tr>
      <w:tr>
        <w:trPr>
          <w:trHeight w:val="149"/>
        </w:trPr>
        <w:tc>
          <w:tcPr>
            <w:tcW w:w="3040" w:type="dxa"/>
            <w:vAlign w:val="bottom"/>
          </w:tcPr>
          <w:p>
            <w:pPr>
              <w:spacing w:after="0"/>
              <w:rPr>
                <w:sz w:val="20"/>
                <w:szCs w:val="20"/>
                <w:color w:val="auto"/>
              </w:rPr>
            </w:pPr>
            <w:r>
              <w:rPr>
                <w:rFonts w:ascii="Arial" w:cs="Arial" w:eastAsia="Arial" w:hAnsi="Arial"/>
                <w:sz w:val="12"/>
                <w:szCs w:val="12"/>
                <w:color w:val="auto"/>
              </w:rPr>
              <w:t>BEI Precision Systems &amp; Space Company, Inc.</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04/28/2023</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5"/>
              </w:rPr>
              <w:t>Aerospace and Defense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6.84%</w:t>
            </w:r>
          </w:p>
        </w:tc>
        <w:tc>
          <w:tcPr>
            <w:tcW w:w="680" w:type="dxa"/>
            <w:vAlign w:val="bottom"/>
          </w:tcPr>
          <w:p>
            <w:pPr>
              <w:jc w:val="right"/>
              <w:spacing w:after="0"/>
              <w:rPr>
                <w:sz w:val="20"/>
                <w:szCs w:val="20"/>
                <w:color w:val="auto"/>
              </w:rPr>
            </w:pPr>
            <w:r>
              <w:rPr>
                <w:rFonts w:ascii="Arial" w:cs="Arial" w:eastAsia="Arial" w:hAnsi="Arial"/>
                <w:sz w:val="12"/>
                <w:szCs w:val="12"/>
                <w:color w:val="auto"/>
              </w:rPr>
              <w:t>L+550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9"/>
              </w:rPr>
              <w:t>11,970,000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93"/>
              </w:rPr>
              <w:t>11,854,093</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w w:val="93"/>
              </w:rPr>
              <w:t>11,850,300</w:t>
            </w:r>
          </w:p>
        </w:tc>
        <w:tc>
          <w:tcPr>
            <w:tcW w:w="12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Broder Bros., Co., Tranche A</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06/03/2021</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8"/>
              </w:rPr>
              <w:t>Consumer Goods: Non-Durable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7.08%</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L+575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2,239,494</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2,207,741</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2,239,494</w:t>
            </w:r>
          </w:p>
        </w:tc>
        <w:tc>
          <w:tcPr>
            <w:tcW w:w="12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Broder Bros., Co., Tranche B</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06/03/2021</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8"/>
              </w:rPr>
              <w:t>Consumer Goods: Non-Durable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13.58%</w:t>
            </w:r>
          </w:p>
        </w:tc>
        <w:tc>
          <w:tcPr>
            <w:tcW w:w="680" w:type="dxa"/>
            <w:vAlign w:val="bottom"/>
          </w:tcPr>
          <w:p>
            <w:pPr>
              <w:jc w:val="right"/>
              <w:spacing w:after="0"/>
              <w:rPr>
                <w:sz w:val="20"/>
                <w:szCs w:val="20"/>
                <w:color w:val="auto"/>
              </w:rPr>
            </w:pPr>
            <w:r>
              <w:rPr>
                <w:rFonts w:ascii="Arial" w:cs="Arial" w:eastAsia="Arial" w:hAnsi="Arial"/>
                <w:sz w:val="12"/>
                <w:szCs w:val="12"/>
                <w:color w:val="auto"/>
              </w:rPr>
              <w:t>L+1,225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2,326,329</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2,291,698</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2,326,329</w:t>
            </w:r>
          </w:p>
        </w:tc>
        <w:tc>
          <w:tcPr>
            <w:tcW w:w="12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By Light Professional IT Services, LLC</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05/16/2022</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9"/>
              </w:rPr>
              <w:t>High Tech Industries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8.57%</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L+725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15,630,360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15,263,130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15,630,360</w:t>
            </w:r>
          </w:p>
        </w:tc>
        <w:tc>
          <w:tcPr>
            <w:tcW w:w="12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 xml:space="preserve">By Light Professional IT Services, LLC (Revolver) </w:t>
            </w:r>
            <w:r>
              <w:rPr>
                <w:rFonts w:ascii="Arial" w:cs="Arial" w:eastAsia="Arial" w:hAnsi="Arial"/>
                <w:sz w:val="9"/>
                <w:szCs w:val="9"/>
                <w:color w:val="auto"/>
              </w:rPr>
              <w:t>(8), (9)</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05/16/2022</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9"/>
              </w:rPr>
              <w:t>High Tech Industries</w:t>
            </w:r>
          </w:p>
        </w:tc>
        <w:tc>
          <w:tcPr>
            <w:tcW w:w="94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2,311,784</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49"/>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Camin Cargo Control, Inc.</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06/30/2021</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7"/>
              </w:rPr>
              <w:t>Transportation: Cargo</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6.08%</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L+475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2,443,750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2,427,358</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2,346,000</w:t>
            </w:r>
          </w:p>
        </w:tc>
        <w:tc>
          <w:tcPr>
            <w:tcW w:w="12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 xml:space="preserve">Canyon Valor Companies, Inc. </w:t>
            </w:r>
            <w:r>
              <w:rPr>
                <w:rFonts w:ascii="Arial" w:cs="Arial" w:eastAsia="Arial" w:hAnsi="Arial"/>
                <w:sz w:val="9"/>
                <w:szCs w:val="9"/>
                <w:color w:val="auto"/>
              </w:rPr>
              <w:t>(10)</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06/16/2023</w:t>
            </w:r>
          </w:p>
        </w:tc>
        <w:tc>
          <w:tcPr>
            <w:tcW w:w="2540" w:type="dxa"/>
            <w:vAlign w:val="bottom"/>
            <w:gridSpan w:val="2"/>
          </w:tcPr>
          <w:p>
            <w:pPr>
              <w:jc w:val="center"/>
              <w:ind w:right="420"/>
              <w:spacing w:after="0"/>
              <w:rPr>
                <w:sz w:val="20"/>
                <w:szCs w:val="20"/>
                <w:color w:val="auto"/>
              </w:rPr>
            </w:pPr>
            <w:r>
              <w:rPr>
                <w:rFonts w:ascii="Arial" w:cs="Arial" w:eastAsia="Arial" w:hAnsi="Arial"/>
                <w:sz w:val="12"/>
                <w:szCs w:val="12"/>
                <w:color w:val="auto"/>
                <w:w w:val="89"/>
              </w:rPr>
              <w:t>Media: Broadcasting and Subscription</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5.58%</w:t>
            </w:r>
          </w:p>
        </w:tc>
        <w:tc>
          <w:tcPr>
            <w:tcW w:w="680" w:type="dxa"/>
            <w:vAlign w:val="bottom"/>
          </w:tcPr>
          <w:p>
            <w:pPr>
              <w:jc w:val="right"/>
              <w:spacing w:after="0"/>
              <w:rPr>
                <w:sz w:val="20"/>
                <w:szCs w:val="20"/>
                <w:color w:val="auto"/>
              </w:rPr>
            </w:pPr>
            <w:r>
              <w:rPr>
                <w:rFonts w:ascii="Arial" w:cs="Arial" w:eastAsia="Arial" w:hAnsi="Arial"/>
                <w:sz w:val="12"/>
                <w:szCs w:val="12"/>
                <w:color w:val="auto"/>
              </w:rPr>
              <w:t>L+425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7,000,000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6,982,500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7,084,560</w:t>
            </w:r>
          </w:p>
        </w:tc>
        <w:tc>
          <w:tcPr>
            <w:tcW w:w="12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Cardenas Markets LLC</w:t>
            </w:r>
          </w:p>
        </w:tc>
        <w:tc>
          <w:tcPr>
            <w:tcW w:w="1160" w:type="dxa"/>
            <w:vAlign w:val="bottom"/>
            <w:shd w:val="clear" w:color="auto" w:fill="CCECFF"/>
          </w:tcPr>
          <w:p>
            <w:pPr>
              <w:jc w:val="center"/>
              <w:ind w:right="222"/>
              <w:spacing w:after="0"/>
              <w:rPr>
                <w:sz w:val="20"/>
                <w:szCs w:val="20"/>
                <w:color w:val="auto"/>
              </w:rPr>
            </w:pPr>
            <w:r>
              <w:rPr>
                <w:rFonts w:ascii="Arial" w:cs="Arial" w:eastAsia="Arial" w:hAnsi="Arial"/>
                <w:sz w:val="12"/>
                <w:szCs w:val="12"/>
                <w:color w:val="auto"/>
                <w:w w:val="86"/>
              </w:rPr>
              <w:t>11/29/2023</w:t>
            </w:r>
          </w:p>
        </w:tc>
        <w:tc>
          <w:tcPr>
            <w:tcW w:w="2540" w:type="dxa"/>
            <w:vAlign w:val="bottom"/>
            <w:gridSpan w:val="2"/>
            <w:shd w:val="clear" w:color="auto" w:fill="CCECFF"/>
          </w:tcPr>
          <w:p>
            <w:pPr>
              <w:jc w:val="center"/>
              <w:ind w:right="420"/>
              <w:spacing w:after="0"/>
              <w:rPr>
                <w:sz w:val="20"/>
                <w:szCs w:val="20"/>
                <w:color w:val="auto"/>
              </w:rPr>
            </w:pPr>
            <w:r>
              <w:rPr>
                <w:rFonts w:ascii="Arial" w:cs="Arial" w:eastAsia="Arial" w:hAnsi="Arial"/>
                <w:sz w:val="12"/>
                <w:szCs w:val="12"/>
                <w:color w:val="auto"/>
                <w:w w:val="85"/>
              </w:rPr>
              <w:t>Beverage, Food and Tobacco</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7.08%</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L+575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3,913,750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3,923,223</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3,874,613</w:t>
            </w:r>
          </w:p>
        </w:tc>
        <w:tc>
          <w:tcPr>
            <w:tcW w:w="12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CD&amp;R TZ Purchaser, Inc.</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07/21/2023</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8"/>
              </w:rPr>
              <w:t>Consumer Goods: Durable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7.33%</w:t>
            </w:r>
          </w:p>
        </w:tc>
        <w:tc>
          <w:tcPr>
            <w:tcW w:w="680" w:type="dxa"/>
            <w:vAlign w:val="bottom"/>
          </w:tcPr>
          <w:p>
            <w:pPr>
              <w:jc w:val="right"/>
              <w:spacing w:after="0"/>
              <w:rPr>
                <w:sz w:val="20"/>
                <w:szCs w:val="20"/>
                <w:color w:val="auto"/>
              </w:rPr>
            </w:pPr>
            <w:r>
              <w:rPr>
                <w:rFonts w:ascii="Arial" w:cs="Arial" w:eastAsia="Arial" w:hAnsi="Arial"/>
                <w:sz w:val="12"/>
                <w:szCs w:val="12"/>
                <w:color w:val="auto"/>
              </w:rPr>
              <w:t>L+600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9"/>
              </w:rPr>
              <w:t>12,375,000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93"/>
              </w:rPr>
              <w:t>12,094,894</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w w:val="93"/>
              </w:rPr>
              <w:t>12,359,531</w:t>
            </w:r>
          </w:p>
        </w:tc>
        <w:tc>
          <w:tcPr>
            <w:tcW w:w="12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Charming Charlie LLC</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12/24/2019</w:t>
            </w:r>
          </w:p>
        </w:tc>
        <w:tc>
          <w:tcPr>
            <w:tcW w:w="2540" w:type="dxa"/>
            <w:vAlign w:val="bottom"/>
            <w:gridSpan w:val="2"/>
            <w:shd w:val="clear" w:color="auto" w:fill="CCECFF"/>
          </w:tcPr>
          <w:p>
            <w:pPr>
              <w:jc w:val="center"/>
              <w:ind w:right="420"/>
              <w:spacing w:after="0"/>
              <w:rPr>
                <w:sz w:val="20"/>
                <w:szCs w:val="20"/>
                <w:color w:val="auto"/>
              </w:rPr>
            </w:pPr>
            <w:r>
              <w:rPr>
                <w:rFonts w:ascii="Arial" w:cs="Arial" w:eastAsia="Arial" w:hAnsi="Arial"/>
                <w:sz w:val="12"/>
                <w:szCs w:val="12"/>
                <w:color w:val="auto"/>
                <w:w w:val="91"/>
              </w:rPr>
              <w:t>Retail</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12.33%</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L+800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3,961,544</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3,935,418</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3,367,313</w:t>
            </w:r>
          </w:p>
        </w:tc>
        <w:tc>
          <w:tcPr>
            <w:tcW w:w="120" w:type="dxa"/>
            <w:vAlign w:val="bottom"/>
            <w:shd w:val="clear" w:color="auto" w:fill="CCECFF"/>
          </w:tcPr>
          <w:p>
            <w:pPr>
              <w:spacing w:after="0"/>
              <w:rPr>
                <w:sz w:val="12"/>
                <w:szCs w:val="12"/>
                <w:color w:val="auto"/>
              </w:rPr>
            </w:pPr>
          </w:p>
        </w:tc>
      </w:tr>
      <w:tr>
        <w:trPr>
          <w:trHeight w:val="148"/>
        </w:trPr>
        <w:tc>
          <w:tcPr>
            <w:tcW w:w="3040" w:type="dxa"/>
            <w:vAlign w:val="bottom"/>
            <w:shd w:val="clear" w:color="auto" w:fill="CCECFF"/>
          </w:tcPr>
          <w:p>
            <w:pPr>
              <w:spacing w:after="0"/>
              <w:rPr>
                <w:sz w:val="12"/>
                <w:szCs w:val="12"/>
                <w:color w:val="auto"/>
              </w:rPr>
            </w:pPr>
          </w:p>
        </w:tc>
        <w:tc>
          <w:tcPr>
            <w:tcW w:w="1160" w:type="dxa"/>
            <w:vAlign w:val="bottom"/>
            <w:shd w:val="clear" w:color="auto" w:fill="CCECFF"/>
          </w:tcPr>
          <w:p>
            <w:pPr>
              <w:spacing w:after="0"/>
              <w:rPr>
                <w:sz w:val="12"/>
                <w:szCs w:val="12"/>
                <w:color w:val="auto"/>
              </w:rPr>
            </w:pPr>
          </w:p>
        </w:tc>
        <w:tc>
          <w:tcPr>
            <w:tcW w:w="24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94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(PIK 3.00%)</w:t>
            </w: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r>
      <w:tr>
        <w:trPr>
          <w:trHeight w:val="149"/>
        </w:trPr>
        <w:tc>
          <w:tcPr>
            <w:tcW w:w="3040" w:type="dxa"/>
            <w:vAlign w:val="bottom"/>
          </w:tcPr>
          <w:p>
            <w:pPr>
              <w:spacing w:after="0"/>
              <w:rPr>
                <w:sz w:val="20"/>
                <w:szCs w:val="20"/>
                <w:color w:val="auto"/>
              </w:rPr>
            </w:pPr>
            <w:r>
              <w:rPr>
                <w:rFonts w:ascii="Arial" w:cs="Arial" w:eastAsia="Arial" w:hAnsi="Arial"/>
                <w:sz w:val="12"/>
                <w:szCs w:val="12"/>
                <w:color w:val="auto"/>
              </w:rPr>
              <w:t>Chicken Soup for the Soul Publishing, LLC</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01/08/2019</w:t>
            </w:r>
          </w:p>
        </w:tc>
        <w:tc>
          <w:tcPr>
            <w:tcW w:w="2540" w:type="dxa"/>
            <w:vAlign w:val="bottom"/>
            <w:gridSpan w:val="2"/>
          </w:tcPr>
          <w:p>
            <w:pPr>
              <w:jc w:val="center"/>
              <w:ind w:right="420"/>
              <w:spacing w:after="0"/>
              <w:rPr>
                <w:sz w:val="20"/>
                <w:szCs w:val="20"/>
                <w:color w:val="auto"/>
              </w:rPr>
            </w:pPr>
            <w:r>
              <w:rPr>
                <w:rFonts w:ascii="Arial" w:cs="Arial" w:eastAsia="Arial" w:hAnsi="Arial"/>
                <w:sz w:val="12"/>
                <w:szCs w:val="12"/>
                <w:color w:val="auto"/>
                <w:w w:val="91"/>
              </w:rPr>
              <w:t>Media: Advertising, Printing and Publishing</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7.50%</w:t>
            </w:r>
          </w:p>
        </w:tc>
        <w:tc>
          <w:tcPr>
            <w:tcW w:w="680" w:type="dxa"/>
            <w:vAlign w:val="bottom"/>
          </w:tcPr>
          <w:p>
            <w:pPr>
              <w:jc w:val="right"/>
              <w:spacing w:after="0"/>
              <w:rPr>
                <w:sz w:val="20"/>
                <w:szCs w:val="20"/>
                <w:color w:val="auto"/>
              </w:rPr>
            </w:pPr>
            <w:r>
              <w:rPr>
                <w:rFonts w:ascii="Arial" w:cs="Arial" w:eastAsia="Arial" w:hAnsi="Arial"/>
                <w:sz w:val="12"/>
                <w:szCs w:val="12"/>
                <w:color w:val="auto"/>
              </w:rPr>
              <w:t>L+625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4,589,286</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4,573,873</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4,313,929</w:t>
            </w:r>
          </w:p>
        </w:tc>
        <w:tc>
          <w:tcPr>
            <w:tcW w:w="12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Clarus Glassboards LLC</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03/16/2023</w:t>
            </w:r>
          </w:p>
        </w:tc>
        <w:tc>
          <w:tcPr>
            <w:tcW w:w="2540" w:type="dxa"/>
            <w:vAlign w:val="bottom"/>
            <w:gridSpan w:val="2"/>
            <w:shd w:val="clear" w:color="auto" w:fill="CCECFF"/>
          </w:tcPr>
          <w:p>
            <w:pPr>
              <w:jc w:val="center"/>
              <w:ind w:right="420"/>
              <w:spacing w:after="0"/>
              <w:rPr>
                <w:sz w:val="20"/>
                <w:szCs w:val="20"/>
                <w:color w:val="auto"/>
              </w:rPr>
            </w:pPr>
            <w:r>
              <w:rPr>
                <w:rFonts w:ascii="Arial" w:cs="Arial" w:eastAsia="Arial" w:hAnsi="Arial"/>
                <w:sz w:val="12"/>
                <w:szCs w:val="12"/>
                <w:color w:val="auto"/>
                <w:w w:val="90"/>
              </w:rPr>
              <w:t>Construction and Building</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6.49%</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L+525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4,845,000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4,799,506</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4,820,775</w:t>
            </w:r>
          </w:p>
        </w:tc>
        <w:tc>
          <w:tcPr>
            <w:tcW w:w="12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Corfin Industries LLC</w:t>
            </w:r>
          </w:p>
        </w:tc>
        <w:tc>
          <w:tcPr>
            <w:tcW w:w="1160" w:type="dxa"/>
            <w:vAlign w:val="bottom"/>
          </w:tcPr>
          <w:p>
            <w:pPr>
              <w:jc w:val="center"/>
              <w:ind w:right="222"/>
              <w:spacing w:after="0"/>
              <w:rPr>
                <w:sz w:val="20"/>
                <w:szCs w:val="20"/>
                <w:color w:val="auto"/>
              </w:rPr>
            </w:pPr>
            <w:r>
              <w:rPr>
                <w:rFonts w:ascii="Arial" w:cs="Arial" w:eastAsia="Arial" w:hAnsi="Arial"/>
                <w:sz w:val="12"/>
                <w:szCs w:val="12"/>
                <w:color w:val="auto"/>
                <w:w w:val="86"/>
              </w:rPr>
              <w:t>11/25/2020</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5"/>
              </w:rPr>
              <w:t>Aerospace and Defense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10.99%</w:t>
            </w:r>
          </w:p>
        </w:tc>
        <w:tc>
          <w:tcPr>
            <w:tcW w:w="680" w:type="dxa"/>
            <w:vAlign w:val="bottom"/>
          </w:tcPr>
          <w:p>
            <w:pPr>
              <w:jc w:val="right"/>
              <w:spacing w:after="0"/>
              <w:rPr>
                <w:sz w:val="20"/>
                <w:szCs w:val="20"/>
                <w:color w:val="auto"/>
              </w:rPr>
            </w:pPr>
            <w:r>
              <w:rPr>
                <w:rFonts w:ascii="Arial" w:cs="Arial" w:eastAsia="Arial" w:hAnsi="Arial"/>
                <w:sz w:val="12"/>
                <w:szCs w:val="12"/>
                <w:color w:val="auto"/>
              </w:rPr>
              <w:t>L+975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6,024,894</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5,941,505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5,994,770</w:t>
            </w:r>
          </w:p>
        </w:tc>
        <w:tc>
          <w:tcPr>
            <w:tcW w:w="12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Corfin Industries LLC (Revolver) </w:t>
            </w:r>
            <w:r>
              <w:rPr>
                <w:rFonts w:ascii="Arial" w:cs="Arial" w:eastAsia="Arial" w:hAnsi="Arial"/>
                <w:sz w:val="9"/>
                <w:szCs w:val="9"/>
                <w:color w:val="auto"/>
              </w:rPr>
              <w:t>(8), (9)</w:t>
            </w:r>
          </w:p>
        </w:tc>
        <w:tc>
          <w:tcPr>
            <w:tcW w:w="1160" w:type="dxa"/>
            <w:vAlign w:val="bottom"/>
            <w:shd w:val="clear" w:color="auto" w:fill="CCECFF"/>
          </w:tcPr>
          <w:p>
            <w:pPr>
              <w:jc w:val="center"/>
              <w:ind w:right="222"/>
              <w:spacing w:after="0"/>
              <w:rPr>
                <w:sz w:val="20"/>
                <w:szCs w:val="20"/>
                <w:color w:val="auto"/>
              </w:rPr>
            </w:pPr>
            <w:r>
              <w:rPr>
                <w:rFonts w:ascii="Arial" w:cs="Arial" w:eastAsia="Arial" w:hAnsi="Arial"/>
                <w:sz w:val="12"/>
                <w:szCs w:val="12"/>
                <w:color w:val="auto"/>
                <w:w w:val="86"/>
              </w:rPr>
              <w:t>11/25/2020</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5"/>
              </w:rPr>
              <w:t>Aerospace and Defense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518,033</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w:t>
            </w: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Country Fresh Holdings, LLC</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03/31/2023</w:t>
            </w:r>
          </w:p>
        </w:tc>
        <w:tc>
          <w:tcPr>
            <w:tcW w:w="2540" w:type="dxa"/>
            <w:vAlign w:val="bottom"/>
            <w:gridSpan w:val="2"/>
          </w:tcPr>
          <w:p>
            <w:pPr>
              <w:jc w:val="center"/>
              <w:ind w:right="420"/>
              <w:spacing w:after="0"/>
              <w:rPr>
                <w:sz w:val="20"/>
                <w:szCs w:val="20"/>
                <w:color w:val="auto"/>
              </w:rPr>
            </w:pPr>
            <w:r>
              <w:rPr>
                <w:rFonts w:ascii="Arial" w:cs="Arial" w:eastAsia="Arial" w:hAnsi="Arial"/>
                <w:sz w:val="12"/>
                <w:szCs w:val="12"/>
                <w:color w:val="auto"/>
                <w:w w:val="85"/>
              </w:rPr>
              <w:t>Beverage, Food and Tobacco</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6.24%</w:t>
            </w:r>
          </w:p>
        </w:tc>
        <w:tc>
          <w:tcPr>
            <w:tcW w:w="680" w:type="dxa"/>
            <w:vAlign w:val="bottom"/>
          </w:tcPr>
          <w:p>
            <w:pPr>
              <w:jc w:val="right"/>
              <w:spacing w:after="0"/>
              <w:rPr>
                <w:sz w:val="20"/>
                <w:szCs w:val="20"/>
                <w:color w:val="auto"/>
              </w:rPr>
            </w:pPr>
            <w:r>
              <w:rPr>
                <w:rFonts w:ascii="Arial" w:cs="Arial" w:eastAsia="Arial" w:hAnsi="Arial"/>
                <w:sz w:val="12"/>
                <w:szCs w:val="12"/>
                <w:color w:val="auto"/>
              </w:rPr>
              <w:t>L+500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9"/>
              </w:rPr>
              <w:t>19,874,245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93"/>
              </w:rPr>
              <w:t>19,826,088</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w w:val="93"/>
              </w:rPr>
              <w:t>19,598,775</w:t>
            </w:r>
          </w:p>
        </w:tc>
        <w:tc>
          <w:tcPr>
            <w:tcW w:w="120" w:type="dxa"/>
            <w:vAlign w:val="bottom"/>
          </w:tcPr>
          <w:p>
            <w:pPr>
              <w:spacing w:after="0"/>
              <w:rPr>
                <w:sz w:val="12"/>
                <w:szCs w:val="12"/>
                <w:color w:val="auto"/>
              </w:rPr>
            </w:pPr>
          </w:p>
        </w:tc>
      </w:tr>
      <w:tr>
        <w:trPr>
          <w:trHeight w:val="149"/>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DBI Holding, LLC</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08/02/2021</w:t>
            </w:r>
          </w:p>
        </w:tc>
        <w:tc>
          <w:tcPr>
            <w:tcW w:w="2540" w:type="dxa"/>
            <w:vAlign w:val="bottom"/>
            <w:gridSpan w:val="2"/>
            <w:shd w:val="clear" w:color="auto" w:fill="CCECFF"/>
          </w:tcPr>
          <w:p>
            <w:pPr>
              <w:jc w:val="center"/>
              <w:ind w:right="420"/>
              <w:spacing w:after="0"/>
              <w:rPr>
                <w:sz w:val="20"/>
                <w:szCs w:val="20"/>
                <w:color w:val="auto"/>
              </w:rPr>
            </w:pPr>
            <w:r>
              <w:rPr>
                <w:rFonts w:ascii="Arial" w:cs="Arial" w:eastAsia="Arial" w:hAnsi="Arial"/>
                <w:sz w:val="12"/>
                <w:szCs w:val="12"/>
                <w:color w:val="auto"/>
                <w:w w:val="85"/>
              </w:rPr>
              <w:t>Business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6.49%</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L+525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9,900,075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9,817,138</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9,900,075</w:t>
            </w:r>
          </w:p>
        </w:tc>
        <w:tc>
          <w:tcPr>
            <w:tcW w:w="12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Digital Room LLC</w:t>
            </w:r>
          </w:p>
        </w:tc>
        <w:tc>
          <w:tcPr>
            <w:tcW w:w="1160" w:type="dxa"/>
            <w:vAlign w:val="bottom"/>
          </w:tcPr>
          <w:p>
            <w:pPr>
              <w:jc w:val="center"/>
              <w:ind w:right="222"/>
              <w:spacing w:after="0"/>
              <w:rPr>
                <w:sz w:val="20"/>
                <w:szCs w:val="20"/>
                <w:color w:val="auto"/>
              </w:rPr>
            </w:pPr>
            <w:r>
              <w:rPr>
                <w:rFonts w:ascii="Arial" w:cs="Arial" w:eastAsia="Arial" w:hAnsi="Arial"/>
                <w:sz w:val="12"/>
                <w:szCs w:val="12"/>
                <w:color w:val="auto"/>
                <w:w w:val="86"/>
              </w:rPr>
              <w:t>11/21/2022</w:t>
            </w:r>
          </w:p>
        </w:tc>
        <w:tc>
          <w:tcPr>
            <w:tcW w:w="2540" w:type="dxa"/>
            <w:vAlign w:val="bottom"/>
            <w:gridSpan w:val="2"/>
          </w:tcPr>
          <w:p>
            <w:pPr>
              <w:jc w:val="center"/>
              <w:ind w:right="420"/>
              <w:spacing w:after="0"/>
              <w:rPr>
                <w:sz w:val="20"/>
                <w:szCs w:val="20"/>
                <w:color w:val="auto"/>
              </w:rPr>
            </w:pPr>
            <w:r>
              <w:rPr>
                <w:rFonts w:ascii="Arial" w:cs="Arial" w:eastAsia="Arial" w:hAnsi="Arial"/>
                <w:sz w:val="12"/>
                <w:szCs w:val="12"/>
                <w:color w:val="auto"/>
                <w:w w:val="91"/>
              </w:rPr>
              <w:t>Media: Advertising, Printing and Publishing</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7.24%</w:t>
            </w:r>
          </w:p>
        </w:tc>
        <w:tc>
          <w:tcPr>
            <w:tcW w:w="680" w:type="dxa"/>
            <w:vAlign w:val="bottom"/>
          </w:tcPr>
          <w:p>
            <w:pPr>
              <w:jc w:val="right"/>
              <w:spacing w:after="0"/>
              <w:rPr>
                <w:sz w:val="20"/>
                <w:szCs w:val="20"/>
                <w:color w:val="auto"/>
              </w:rPr>
            </w:pPr>
            <w:r>
              <w:rPr>
                <w:rFonts w:ascii="Arial" w:cs="Arial" w:eastAsia="Arial" w:hAnsi="Arial"/>
                <w:sz w:val="12"/>
                <w:szCs w:val="12"/>
                <w:color w:val="auto"/>
              </w:rPr>
              <w:t>L+600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6,737,500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6,618,201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6,670,125</w:t>
            </w:r>
          </w:p>
        </w:tc>
        <w:tc>
          <w:tcPr>
            <w:tcW w:w="12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Douglas Products and Packaging Company LLC</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06/30/2020</w:t>
            </w:r>
          </w:p>
        </w:tc>
        <w:tc>
          <w:tcPr>
            <w:tcW w:w="2540" w:type="dxa"/>
            <w:vAlign w:val="bottom"/>
            <w:gridSpan w:val="2"/>
            <w:shd w:val="clear" w:color="auto" w:fill="CCECFF"/>
          </w:tcPr>
          <w:p>
            <w:pPr>
              <w:jc w:val="center"/>
              <w:ind w:right="420"/>
              <w:spacing w:after="0"/>
              <w:rPr>
                <w:sz w:val="20"/>
                <w:szCs w:val="20"/>
                <w:color w:val="auto"/>
              </w:rPr>
            </w:pPr>
            <w:r>
              <w:rPr>
                <w:rFonts w:ascii="Arial" w:cs="Arial" w:eastAsia="Arial" w:hAnsi="Arial"/>
                <w:sz w:val="12"/>
                <w:szCs w:val="12"/>
                <w:color w:val="auto"/>
                <w:w w:val="87"/>
              </w:rPr>
              <w:t>Chemicals, Plastics and Rubber</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6.09%</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L+475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4,373,643</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4,353,783</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4,373,643</w:t>
            </w:r>
          </w:p>
        </w:tc>
        <w:tc>
          <w:tcPr>
            <w:tcW w:w="12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Driven Performance Brands, Inc.</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09/30/2022</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8"/>
              </w:rPr>
              <w:t>Consumer Goods: Durable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6.01%</w:t>
            </w:r>
          </w:p>
        </w:tc>
        <w:tc>
          <w:tcPr>
            <w:tcW w:w="680" w:type="dxa"/>
            <w:vAlign w:val="bottom"/>
          </w:tcPr>
          <w:p>
            <w:pPr>
              <w:jc w:val="right"/>
              <w:spacing w:after="0"/>
              <w:rPr>
                <w:sz w:val="20"/>
                <w:szCs w:val="20"/>
                <w:color w:val="auto"/>
              </w:rPr>
            </w:pPr>
            <w:r>
              <w:rPr>
                <w:rFonts w:ascii="Arial" w:cs="Arial" w:eastAsia="Arial" w:hAnsi="Arial"/>
                <w:sz w:val="12"/>
                <w:szCs w:val="12"/>
                <w:color w:val="auto"/>
              </w:rPr>
              <w:t>L+475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9"/>
              </w:rPr>
              <w:t>10,621,111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93"/>
              </w:rPr>
              <w:t>10,592,972</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w w:val="93"/>
              </w:rPr>
              <w:t>10,621,111</w:t>
            </w:r>
          </w:p>
        </w:tc>
        <w:tc>
          <w:tcPr>
            <w:tcW w:w="120" w:type="dxa"/>
            <w:vAlign w:val="bottom"/>
          </w:tcPr>
          <w:p>
            <w:pPr>
              <w:spacing w:after="0"/>
              <w:rPr>
                <w:sz w:val="12"/>
                <w:szCs w:val="12"/>
                <w:color w:val="auto"/>
              </w:rPr>
            </w:pPr>
          </w:p>
        </w:tc>
      </w:tr>
      <w:tr>
        <w:trPr>
          <w:trHeight w:val="149"/>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Driven Performance Brands, Inc. (Revolver) </w:t>
            </w:r>
            <w:r>
              <w:rPr>
                <w:rFonts w:ascii="Arial" w:cs="Arial" w:eastAsia="Arial" w:hAnsi="Arial"/>
                <w:sz w:val="9"/>
                <w:szCs w:val="9"/>
                <w:color w:val="auto"/>
              </w:rPr>
              <w:t>(8), (9)</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09/30/2022</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8"/>
              </w:rPr>
              <w:t>Consumer Goods: Durable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1,000,000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w:t>
            </w: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East Valley Tourist Development Authority</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03/07/2022</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8"/>
              </w:rPr>
              <w:t>Hotel, Gaming and Leisure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9.33%</w:t>
            </w:r>
          </w:p>
        </w:tc>
        <w:tc>
          <w:tcPr>
            <w:tcW w:w="680" w:type="dxa"/>
            <w:vAlign w:val="bottom"/>
          </w:tcPr>
          <w:p>
            <w:pPr>
              <w:jc w:val="right"/>
              <w:spacing w:after="0"/>
              <w:rPr>
                <w:sz w:val="20"/>
                <w:szCs w:val="20"/>
                <w:color w:val="auto"/>
              </w:rPr>
            </w:pPr>
            <w:r>
              <w:rPr>
                <w:rFonts w:ascii="Arial" w:cs="Arial" w:eastAsia="Arial" w:hAnsi="Arial"/>
                <w:sz w:val="12"/>
                <w:szCs w:val="12"/>
                <w:color w:val="auto"/>
              </w:rPr>
              <w:t>L+800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9"/>
              </w:rPr>
              <w:t>16,743,500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93"/>
              </w:rPr>
              <w:t>16,527,764</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w w:val="93"/>
              </w:rPr>
              <w:t>16,827,218</w:t>
            </w:r>
          </w:p>
        </w:tc>
        <w:tc>
          <w:tcPr>
            <w:tcW w:w="12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Education Networks of America, Inc.</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05/06/2021</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9"/>
              </w:rPr>
              <w:t>Telecommunications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8.33%</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L+700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7,657,615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7,627,450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7,581,039</w:t>
            </w:r>
          </w:p>
        </w:tc>
        <w:tc>
          <w:tcPr>
            <w:tcW w:w="120" w:type="dxa"/>
            <w:vAlign w:val="bottom"/>
            <w:shd w:val="clear" w:color="auto" w:fill="CCECFF"/>
          </w:tcPr>
          <w:p>
            <w:pPr>
              <w:spacing w:after="0"/>
              <w:rPr>
                <w:sz w:val="12"/>
                <w:szCs w:val="12"/>
                <w:color w:val="auto"/>
              </w:rPr>
            </w:pPr>
          </w:p>
        </w:tc>
      </w:tr>
      <w:tr>
        <w:trPr>
          <w:trHeight w:val="149"/>
        </w:trPr>
        <w:tc>
          <w:tcPr>
            <w:tcW w:w="3040" w:type="dxa"/>
            <w:vAlign w:val="bottom"/>
          </w:tcPr>
          <w:p>
            <w:pPr>
              <w:spacing w:after="0"/>
              <w:rPr>
                <w:sz w:val="20"/>
                <w:szCs w:val="20"/>
                <w:color w:val="auto"/>
              </w:rPr>
            </w:pPr>
            <w:r>
              <w:rPr>
                <w:rFonts w:ascii="Arial" w:cs="Arial" w:eastAsia="Arial" w:hAnsi="Arial"/>
                <w:sz w:val="12"/>
                <w:szCs w:val="12"/>
                <w:color w:val="auto"/>
              </w:rPr>
              <w:t xml:space="preserve">Education Networks of America, Inc. (Revolver) </w:t>
            </w:r>
            <w:r>
              <w:rPr>
                <w:rFonts w:ascii="Arial" w:cs="Arial" w:eastAsia="Arial" w:hAnsi="Arial"/>
                <w:sz w:val="9"/>
                <w:szCs w:val="9"/>
                <w:color w:val="auto"/>
              </w:rPr>
              <w:t>(8), (9)</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05/06/2021</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9"/>
              </w:rPr>
              <w:t>Telecommunications</w:t>
            </w:r>
          </w:p>
        </w:tc>
        <w:tc>
          <w:tcPr>
            <w:tcW w:w="94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1,304,348</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Efficient Collaborative Retail Marketing Company, LLC</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06/15/2022</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90"/>
              </w:rPr>
              <w:t>Media: Diversified and Production</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8.08%</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L+675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10,265,559</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10,180,889</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10,265,559</w:t>
            </w:r>
          </w:p>
        </w:tc>
        <w:tc>
          <w:tcPr>
            <w:tcW w:w="120" w:type="dxa"/>
            <w:vAlign w:val="bottom"/>
            <w:shd w:val="clear" w:color="auto" w:fill="CCECFF"/>
          </w:tcPr>
          <w:p>
            <w:pPr>
              <w:spacing w:after="0"/>
              <w:rPr>
                <w:sz w:val="12"/>
                <w:szCs w:val="12"/>
                <w:color w:val="auto"/>
              </w:rPr>
            </w:pPr>
          </w:p>
        </w:tc>
      </w:tr>
      <w:tr>
        <w:trPr>
          <w:trHeight w:val="149"/>
        </w:trPr>
        <w:tc>
          <w:tcPr>
            <w:tcW w:w="3040" w:type="dxa"/>
            <w:vAlign w:val="bottom"/>
          </w:tcPr>
          <w:p>
            <w:pPr>
              <w:spacing w:after="0"/>
              <w:rPr>
                <w:sz w:val="20"/>
                <w:szCs w:val="20"/>
                <w:color w:val="auto"/>
              </w:rPr>
            </w:pPr>
            <w:r>
              <w:rPr>
                <w:rFonts w:ascii="Arial" w:cs="Arial" w:eastAsia="Arial" w:hAnsi="Arial"/>
                <w:sz w:val="12"/>
                <w:szCs w:val="12"/>
                <w:color w:val="auto"/>
              </w:rPr>
              <w:t>Hollander Sleep Products, LLC</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06/09/2023</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8"/>
              </w:rPr>
              <w:t>Consumer Goods: Non-Durable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9.30%</w:t>
            </w:r>
          </w:p>
        </w:tc>
        <w:tc>
          <w:tcPr>
            <w:tcW w:w="680" w:type="dxa"/>
            <w:vAlign w:val="bottom"/>
          </w:tcPr>
          <w:p>
            <w:pPr>
              <w:jc w:val="right"/>
              <w:spacing w:after="0"/>
              <w:rPr>
                <w:sz w:val="20"/>
                <w:szCs w:val="20"/>
                <w:color w:val="auto"/>
              </w:rPr>
            </w:pPr>
            <w:r>
              <w:rPr>
                <w:rFonts w:ascii="Arial" w:cs="Arial" w:eastAsia="Arial" w:hAnsi="Arial"/>
                <w:sz w:val="12"/>
                <w:szCs w:val="12"/>
                <w:color w:val="auto"/>
              </w:rPr>
              <w:t>L+800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9"/>
              </w:rPr>
              <w:t>12,468,750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93"/>
              </w:rPr>
              <w:t>12,228,162</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w w:val="93"/>
              </w:rPr>
              <w:t>12,344,063</w:t>
            </w:r>
          </w:p>
        </w:tc>
        <w:tc>
          <w:tcPr>
            <w:tcW w:w="12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Hunter Defense Technologies, Inc. </w:t>
            </w:r>
            <w:r>
              <w:rPr>
                <w:rFonts w:ascii="Arial" w:cs="Arial" w:eastAsia="Arial" w:hAnsi="Arial"/>
                <w:sz w:val="9"/>
                <w:szCs w:val="9"/>
                <w:color w:val="auto"/>
              </w:rPr>
              <w:t>(8)</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08/05/2019</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5"/>
              </w:rPr>
              <w:t>Aerospace and Defense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7.31%</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L+600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5,862,500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5,846,053</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5,386,172</w:t>
            </w:r>
          </w:p>
        </w:tc>
        <w:tc>
          <w:tcPr>
            <w:tcW w:w="12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 xml:space="preserve">Icynene U.S. Acquisition Corp. </w:t>
            </w:r>
            <w:r>
              <w:rPr>
                <w:rFonts w:ascii="Arial" w:cs="Arial" w:eastAsia="Arial" w:hAnsi="Arial"/>
                <w:sz w:val="9"/>
                <w:szCs w:val="9"/>
                <w:color w:val="auto"/>
              </w:rPr>
              <w:t>(6), (10)</w:t>
            </w:r>
          </w:p>
        </w:tc>
        <w:tc>
          <w:tcPr>
            <w:tcW w:w="1160" w:type="dxa"/>
            <w:vAlign w:val="bottom"/>
          </w:tcPr>
          <w:p>
            <w:pPr>
              <w:jc w:val="center"/>
              <w:ind w:right="222"/>
              <w:spacing w:after="0"/>
              <w:rPr>
                <w:sz w:val="20"/>
                <w:szCs w:val="20"/>
                <w:color w:val="auto"/>
              </w:rPr>
            </w:pPr>
            <w:r>
              <w:rPr>
                <w:rFonts w:ascii="Arial" w:cs="Arial" w:eastAsia="Arial" w:hAnsi="Arial"/>
                <w:sz w:val="12"/>
                <w:szCs w:val="12"/>
                <w:color w:val="auto"/>
                <w:w w:val="86"/>
              </w:rPr>
              <w:t>11/04/2020</w:t>
            </w:r>
          </w:p>
        </w:tc>
        <w:tc>
          <w:tcPr>
            <w:tcW w:w="2540" w:type="dxa"/>
            <w:vAlign w:val="bottom"/>
            <w:gridSpan w:val="2"/>
          </w:tcPr>
          <w:p>
            <w:pPr>
              <w:jc w:val="center"/>
              <w:ind w:right="420"/>
              <w:spacing w:after="0"/>
              <w:rPr>
                <w:sz w:val="20"/>
                <w:szCs w:val="20"/>
                <w:color w:val="auto"/>
              </w:rPr>
            </w:pPr>
            <w:r>
              <w:rPr>
                <w:rFonts w:ascii="Arial" w:cs="Arial" w:eastAsia="Arial" w:hAnsi="Arial"/>
                <w:sz w:val="12"/>
                <w:szCs w:val="12"/>
                <w:color w:val="auto"/>
                <w:w w:val="90"/>
              </w:rPr>
              <w:t>Construction and Building</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7.56%</w:t>
            </w:r>
          </w:p>
        </w:tc>
        <w:tc>
          <w:tcPr>
            <w:tcW w:w="680" w:type="dxa"/>
            <w:vAlign w:val="bottom"/>
          </w:tcPr>
          <w:p>
            <w:pPr>
              <w:jc w:val="right"/>
              <w:spacing w:after="0"/>
              <w:rPr>
                <w:sz w:val="20"/>
                <w:szCs w:val="20"/>
                <w:color w:val="auto"/>
              </w:rPr>
            </w:pPr>
            <w:r>
              <w:rPr>
                <w:rFonts w:ascii="Arial" w:cs="Arial" w:eastAsia="Arial" w:hAnsi="Arial"/>
                <w:sz w:val="12"/>
                <w:szCs w:val="12"/>
                <w:color w:val="auto"/>
              </w:rPr>
              <w:t>L+625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5,918,532</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5,850,581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5,740,976</w:t>
            </w:r>
          </w:p>
        </w:tc>
        <w:tc>
          <w:tcPr>
            <w:tcW w:w="120" w:type="dxa"/>
            <w:vAlign w:val="bottom"/>
          </w:tcPr>
          <w:p>
            <w:pPr>
              <w:spacing w:after="0"/>
              <w:rPr>
                <w:sz w:val="12"/>
                <w:szCs w:val="12"/>
                <w:color w:val="auto"/>
              </w:rPr>
            </w:pPr>
          </w:p>
        </w:tc>
      </w:tr>
      <w:tr>
        <w:trPr>
          <w:trHeight w:val="149"/>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iEnergizer Limited and Aptara, Inc. </w:t>
            </w:r>
            <w:r>
              <w:rPr>
                <w:rFonts w:ascii="Arial" w:cs="Arial" w:eastAsia="Arial" w:hAnsi="Arial"/>
                <w:sz w:val="9"/>
                <w:szCs w:val="9"/>
                <w:color w:val="auto"/>
              </w:rPr>
              <w:t>(6), (10)</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05/01/2019</w:t>
            </w:r>
          </w:p>
        </w:tc>
        <w:tc>
          <w:tcPr>
            <w:tcW w:w="2540" w:type="dxa"/>
            <w:vAlign w:val="bottom"/>
            <w:gridSpan w:val="2"/>
            <w:shd w:val="clear" w:color="auto" w:fill="CCECFF"/>
          </w:tcPr>
          <w:p>
            <w:pPr>
              <w:jc w:val="center"/>
              <w:ind w:right="420"/>
              <w:spacing w:after="0"/>
              <w:rPr>
                <w:sz w:val="20"/>
                <w:szCs w:val="20"/>
                <w:color w:val="auto"/>
              </w:rPr>
            </w:pPr>
            <w:r>
              <w:rPr>
                <w:rFonts w:ascii="Arial" w:cs="Arial" w:eastAsia="Arial" w:hAnsi="Arial"/>
                <w:sz w:val="12"/>
                <w:szCs w:val="12"/>
                <w:color w:val="auto"/>
                <w:w w:val="85"/>
              </w:rPr>
              <w:t>Business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7.25%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L+600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7,032,993</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6,999,227</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6,962,663</w:t>
            </w:r>
          </w:p>
        </w:tc>
        <w:tc>
          <w:tcPr>
            <w:tcW w:w="12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 xml:space="preserve">IGM RFE1 B.V. </w:t>
            </w:r>
            <w:r>
              <w:rPr>
                <w:rFonts w:ascii="Arial" w:cs="Arial" w:eastAsia="Arial" w:hAnsi="Arial"/>
                <w:sz w:val="9"/>
                <w:szCs w:val="9"/>
                <w:color w:val="auto"/>
              </w:rPr>
              <w:t>(6), (10), (11)</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10/12/2021</w:t>
            </w:r>
          </w:p>
        </w:tc>
        <w:tc>
          <w:tcPr>
            <w:tcW w:w="2540" w:type="dxa"/>
            <w:vAlign w:val="bottom"/>
            <w:gridSpan w:val="2"/>
          </w:tcPr>
          <w:p>
            <w:pPr>
              <w:jc w:val="center"/>
              <w:ind w:right="420"/>
              <w:spacing w:after="0"/>
              <w:rPr>
                <w:sz w:val="20"/>
                <w:szCs w:val="20"/>
                <w:color w:val="auto"/>
              </w:rPr>
            </w:pPr>
            <w:r>
              <w:rPr>
                <w:rFonts w:ascii="Arial" w:cs="Arial" w:eastAsia="Arial" w:hAnsi="Arial"/>
                <w:sz w:val="12"/>
                <w:szCs w:val="12"/>
                <w:color w:val="auto"/>
                <w:w w:val="87"/>
              </w:rPr>
              <w:t>Chemicals, Plastics and Rubber</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8.00%</w:t>
            </w:r>
          </w:p>
        </w:tc>
        <w:tc>
          <w:tcPr>
            <w:tcW w:w="680" w:type="dxa"/>
            <w:vAlign w:val="bottom"/>
          </w:tcPr>
          <w:p>
            <w:pPr>
              <w:jc w:val="right"/>
              <w:spacing w:after="0"/>
              <w:rPr>
                <w:sz w:val="20"/>
                <w:szCs w:val="20"/>
                <w:color w:val="auto"/>
              </w:rPr>
            </w:pPr>
            <w:r>
              <w:rPr>
                <w:rFonts w:ascii="Arial" w:cs="Arial" w:eastAsia="Arial" w:hAnsi="Arial"/>
                <w:sz w:val="12"/>
                <w:szCs w:val="12"/>
                <w:color w:val="auto"/>
              </w:rPr>
              <w:t>E+800</w:t>
            </w:r>
          </w:p>
        </w:tc>
        <w:tc>
          <w:tcPr>
            <w:tcW w:w="2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60" w:type="dxa"/>
            <w:vAlign w:val="bottom"/>
          </w:tcPr>
          <w:p>
            <w:pPr>
              <w:jc w:val="right"/>
              <w:spacing w:after="0"/>
              <w:rPr>
                <w:sz w:val="20"/>
                <w:szCs w:val="20"/>
                <w:color w:val="auto"/>
              </w:rPr>
            </w:pPr>
            <w:r>
              <w:rPr>
                <w:rFonts w:ascii="Arial" w:cs="Arial" w:eastAsia="Arial" w:hAnsi="Arial"/>
                <w:sz w:val="12"/>
                <w:szCs w:val="12"/>
                <w:color w:val="auto"/>
                <w:w w:val="89"/>
              </w:rPr>
              <w:t>12,127,444</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93"/>
              </w:rPr>
              <w:t>12,605,265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w w:val="93"/>
              </w:rPr>
              <w:t>14,337,076</w:t>
            </w:r>
          </w:p>
        </w:tc>
        <w:tc>
          <w:tcPr>
            <w:tcW w:w="12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Impact Sales, LLC</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12/30/2021</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9"/>
              </w:rPr>
              <w:t>Wholesale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8.30%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L+700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6,693,709</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6,693,709</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6,693,710</w:t>
            </w:r>
          </w:p>
        </w:tc>
        <w:tc>
          <w:tcPr>
            <w:tcW w:w="120" w:type="dxa"/>
            <w:vAlign w:val="bottom"/>
            <w:shd w:val="clear" w:color="auto" w:fill="CCECFF"/>
          </w:tcPr>
          <w:p>
            <w:pPr>
              <w:spacing w:after="0"/>
              <w:rPr>
                <w:sz w:val="12"/>
                <w:szCs w:val="12"/>
                <w:color w:val="auto"/>
              </w:rPr>
            </w:pPr>
          </w:p>
        </w:tc>
      </w:tr>
      <w:tr>
        <w:trPr>
          <w:trHeight w:val="149"/>
        </w:trPr>
        <w:tc>
          <w:tcPr>
            <w:tcW w:w="3040" w:type="dxa"/>
            <w:vAlign w:val="bottom"/>
          </w:tcPr>
          <w:p>
            <w:pPr>
              <w:spacing w:after="0"/>
              <w:rPr>
                <w:sz w:val="20"/>
                <w:szCs w:val="20"/>
                <w:color w:val="auto"/>
              </w:rPr>
            </w:pPr>
            <w:r>
              <w:rPr>
                <w:rFonts w:ascii="Arial" w:cs="Arial" w:eastAsia="Arial" w:hAnsi="Arial"/>
                <w:sz w:val="12"/>
                <w:szCs w:val="12"/>
                <w:color w:val="auto"/>
              </w:rPr>
              <w:t xml:space="preserve">Impact Sales, LLC </w:t>
            </w:r>
            <w:r>
              <w:rPr>
                <w:rFonts w:ascii="Arial" w:cs="Arial" w:eastAsia="Arial" w:hAnsi="Arial"/>
                <w:sz w:val="9"/>
                <w:szCs w:val="9"/>
                <w:color w:val="auto"/>
              </w:rPr>
              <w:t>(8), (9)</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12/30/2021</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9"/>
              </w:rPr>
              <w:t>Wholesale</w:t>
            </w:r>
          </w:p>
        </w:tc>
        <w:tc>
          <w:tcPr>
            <w:tcW w:w="94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3,234,375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Innova Medical Ophthalmics Inc. </w:t>
            </w:r>
            <w:r>
              <w:rPr>
                <w:rFonts w:ascii="Arial" w:cs="Arial" w:eastAsia="Arial" w:hAnsi="Arial"/>
                <w:sz w:val="9"/>
                <w:szCs w:val="9"/>
                <w:color w:val="auto"/>
              </w:rPr>
              <w:t>(6), (10)</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04/13/2022</w:t>
            </w:r>
          </w:p>
        </w:tc>
        <w:tc>
          <w:tcPr>
            <w:tcW w:w="2540" w:type="dxa"/>
            <w:vAlign w:val="bottom"/>
            <w:gridSpan w:val="2"/>
            <w:shd w:val="clear" w:color="auto" w:fill="CCECFF"/>
          </w:tcPr>
          <w:p>
            <w:pPr>
              <w:jc w:val="center"/>
              <w:ind w:right="420"/>
              <w:spacing w:after="0"/>
              <w:rPr>
                <w:sz w:val="20"/>
                <w:szCs w:val="20"/>
                <w:color w:val="auto"/>
              </w:rPr>
            </w:pPr>
            <w:r>
              <w:rPr>
                <w:rFonts w:ascii="Arial" w:cs="Arial" w:eastAsia="Arial" w:hAnsi="Arial"/>
                <w:sz w:val="12"/>
                <w:szCs w:val="12"/>
                <w:color w:val="auto"/>
                <w:w w:val="89"/>
              </w:rPr>
              <w:t>Capital Equipment</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8.08%</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L+675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3,373,623</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3,328,240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3,373,623</w:t>
            </w:r>
          </w:p>
        </w:tc>
        <w:tc>
          <w:tcPr>
            <w:tcW w:w="120" w:type="dxa"/>
            <w:vAlign w:val="bottom"/>
            <w:shd w:val="clear" w:color="auto" w:fill="CCECFF"/>
          </w:tcPr>
          <w:p>
            <w:pPr>
              <w:spacing w:after="0"/>
              <w:rPr>
                <w:sz w:val="12"/>
                <w:szCs w:val="12"/>
                <w:color w:val="auto"/>
              </w:rPr>
            </w:pPr>
          </w:p>
        </w:tc>
      </w:tr>
      <w:tr>
        <w:trPr>
          <w:trHeight w:val="149"/>
        </w:trPr>
        <w:tc>
          <w:tcPr>
            <w:tcW w:w="3040" w:type="dxa"/>
            <w:vAlign w:val="bottom"/>
          </w:tcPr>
          <w:p>
            <w:pPr>
              <w:spacing w:after="0"/>
              <w:rPr>
                <w:sz w:val="20"/>
                <w:szCs w:val="20"/>
                <w:color w:val="auto"/>
              </w:rPr>
            </w:pPr>
            <w:r>
              <w:rPr>
                <w:rFonts w:ascii="Arial" w:cs="Arial" w:eastAsia="Arial" w:hAnsi="Arial"/>
                <w:sz w:val="12"/>
                <w:szCs w:val="12"/>
                <w:color w:val="auto"/>
              </w:rPr>
              <w:t xml:space="preserve">Innova Medical Ophthalmics Inc. (Revolver) </w:t>
            </w:r>
            <w:r>
              <w:rPr>
                <w:rFonts w:ascii="Arial" w:cs="Arial" w:eastAsia="Arial" w:hAnsi="Arial"/>
                <w:sz w:val="9"/>
                <w:szCs w:val="9"/>
                <w:color w:val="auto"/>
              </w:rPr>
              <w:t>(6), (8), (9), (10)</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04/13/2022</w:t>
            </w:r>
          </w:p>
        </w:tc>
        <w:tc>
          <w:tcPr>
            <w:tcW w:w="2540" w:type="dxa"/>
            <w:vAlign w:val="bottom"/>
            <w:gridSpan w:val="2"/>
          </w:tcPr>
          <w:p>
            <w:pPr>
              <w:jc w:val="center"/>
              <w:ind w:right="420"/>
              <w:spacing w:after="0"/>
              <w:rPr>
                <w:sz w:val="20"/>
                <w:szCs w:val="20"/>
                <w:color w:val="auto"/>
              </w:rPr>
            </w:pPr>
            <w:r>
              <w:rPr>
                <w:rFonts w:ascii="Arial" w:cs="Arial" w:eastAsia="Arial" w:hAnsi="Arial"/>
                <w:sz w:val="12"/>
                <w:szCs w:val="12"/>
                <w:color w:val="auto"/>
                <w:w w:val="89"/>
              </w:rPr>
              <w:t>Capital Equipment</w:t>
            </w:r>
          </w:p>
        </w:tc>
        <w:tc>
          <w:tcPr>
            <w:tcW w:w="94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530,973</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Instant Web, LLC, Term Loan A</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03/28/2019</w:t>
            </w:r>
          </w:p>
        </w:tc>
        <w:tc>
          <w:tcPr>
            <w:tcW w:w="2540" w:type="dxa"/>
            <w:vAlign w:val="bottom"/>
            <w:gridSpan w:val="2"/>
            <w:shd w:val="clear" w:color="auto" w:fill="CCECFF"/>
          </w:tcPr>
          <w:p>
            <w:pPr>
              <w:jc w:val="center"/>
              <w:ind w:right="420"/>
              <w:spacing w:after="0"/>
              <w:rPr>
                <w:sz w:val="20"/>
                <w:szCs w:val="20"/>
                <w:color w:val="auto"/>
              </w:rPr>
            </w:pPr>
            <w:r>
              <w:rPr>
                <w:rFonts w:ascii="Arial" w:cs="Arial" w:eastAsia="Arial" w:hAnsi="Arial"/>
                <w:sz w:val="12"/>
                <w:szCs w:val="12"/>
                <w:color w:val="auto"/>
                <w:w w:val="91"/>
              </w:rPr>
              <w:t>Media: Advertising, Printing and Publishing</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5.80%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L+450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7,600,388</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7,465,921</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7,600,388</w:t>
            </w:r>
          </w:p>
        </w:tc>
        <w:tc>
          <w:tcPr>
            <w:tcW w:w="12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Instant Web, LLC, Term Loan B</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03/28/2019</w:t>
            </w:r>
          </w:p>
        </w:tc>
        <w:tc>
          <w:tcPr>
            <w:tcW w:w="2540" w:type="dxa"/>
            <w:vAlign w:val="bottom"/>
            <w:gridSpan w:val="2"/>
          </w:tcPr>
          <w:p>
            <w:pPr>
              <w:jc w:val="center"/>
              <w:ind w:right="420"/>
              <w:spacing w:after="0"/>
              <w:rPr>
                <w:sz w:val="20"/>
                <w:szCs w:val="20"/>
                <w:color w:val="auto"/>
              </w:rPr>
            </w:pPr>
            <w:r>
              <w:rPr>
                <w:rFonts w:ascii="Arial" w:cs="Arial" w:eastAsia="Arial" w:hAnsi="Arial"/>
                <w:sz w:val="12"/>
                <w:szCs w:val="12"/>
                <w:color w:val="auto"/>
                <w:w w:val="91"/>
              </w:rPr>
              <w:t>Media: Advertising, Printing and Publishing</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12.30%</w:t>
            </w:r>
          </w:p>
        </w:tc>
        <w:tc>
          <w:tcPr>
            <w:tcW w:w="680" w:type="dxa"/>
            <w:vAlign w:val="bottom"/>
          </w:tcPr>
          <w:p>
            <w:pPr>
              <w:jc w:val="right"/>
              <w:spacing w:after="0"/>
              <w:rPr>
                <w:sz w:val="20"/>
                <w:szCs w:val="20"/>
                <w:color w:val="auto"/>
              </w:rPr>
            </w:pPr>
            <w:r>
              <w:rPr>
                <w:rFonts w:ascii="Arial" w:cs="Arial" w:eastAsia="Arial" w:hAnsi="Arial"/>
                <w:sz w:val="12"/>
                <w:szCs w:val="12"/>
                <w:color w:val="auto"/>
              </w:rPr>
              <w:t>L+1,100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4,500,000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4,475,493</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4,500,000</w:t>
            </w:r>
          </w:p>
        </w:tc>
        <w:tc>
          <w:tcPr>
            <w:tcW w:w="120" w:type="dxa"/>
            <w:vAlign w:val="bottom"/>
          </w:tcPr>
          <w:p>
            <w:pPr>
              <w:spacing w:after="0"/>
              <w:rPr>
                <w:sz w:val="12"/>
                <w:szCs w:val="12"/>
                <w:color w:val="auto"/>
              </w:rPr>
            </w:pPr>
          </w:p>
        </w:tc>
      </w:tr>
      <w:tr>
        <w:trPr>
          <w:trHeight w:val="149"/>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Interior Specialists, Inc.</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06/30/2020</w:t>
            </w:r>
          </w:p>
        </w:tc>
        <w:tc>
          <w:tcPr>
            <w:tcW w:w="2540" w:type="dxa"/>
            <w:vAlign w:val="bottom"/>
            <w:gridSpan w:val="2"/>
            <w:shd w:val="clear" w:color="auto" w:fill="CCECFF"/>
          </w:tcPr>
          <w:p>
            <w:pPr>
              <w:jc w:val="center"/>
              <w:ind w:right="420"/>
              <w:spacing w:after="0"/>
              <w:rPr>
                <w:sz w:val="20"/>
                <w:szCs w:val="20"/>
                <w:color w:val="auto"/>
              </w:rPr>
            </w:pPr>
            <w:r>
              <w:rPr>
                <w:rFonts w:ascii="Arial" w:cs="Arial" w:eastAsia="Arial" w:hAnsi="Arial"/>
                <w:sz w:val="12"/>
                <w:szCs w:val="12"/>
                <w:color w:val="auto"/>
                <w:w w:val="90"/>
              </w:rPr>
              <w:t>Construction and Building</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9.25%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L+800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6,525,437</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6,486,278</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6,525,437</w:t>
            </w:r>
          </w:p>
        </w:tc>
        <w:tc>
          <w:tcPr>
            <w:tcW w:w="12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Inventus Power, Inc.</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04/30/2020</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8"/>
              </w:rPr>
              <w:t>Consumer Goods: Durable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7.74%</w:t>
            </w:r>
          </w:p>
        </w:tc>
        <w:tc>
          <w:tcPr>
            <w:tcW w:w="680" w:type="dxa"/>
            <w:vAlign w:val="bottom"/>
          </w:tcPr>
          <w:p>
            <w:pPr>
              <w:jc w:val="right"/>
              <w:spacing w:after="0"/>
              <w:rPr>
                <w:sz w:val="20"/>
                <w:szCs w:val="20"/>
                <w:color w:val="auto"/>
              </w:rPr>
            </w:pPr>
            <w:r>
              <w:rPr>
                <w:rFonts w:ascii="Arial" w:cs="Arial" w:eastAsia="Arial" w:hAnsi="Arial"/>
                <w:sz w:val="12"/>
                <w:szCs w:val="12"/>
                <w:color w:val="auto"/>
              </w:rPr>
              <w:t>L+650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4,726,503</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4,701,985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4,442,913</w:t>
            </w:r>
          </w:p>
        </w:tc>
        <w:tc>
          <w:tcPr>
            <w:tcW w:w="12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Jackson Hewitt Inc.</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07/30/2020</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5"/>
              </w:rPr>
              <w:t>Consumer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8.31%</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L+700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4,653,450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4,596,122</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4,467,312</w:t>
            </w:r>
          </w:p>
        </w:tc>
        <w:tc>
          <w:tcPr>
            <w:tcW w:w="120" w:type="dxa"/>
            <w:vAlign w:val="bottom"/>
            <w:shd w:val="clear" w:color="auto" w:fill="CCECFF"/>
          </w:tcPr>
          <w:p>
            <w:pPr>
              <w:spacing w:after="0"/>
              <w:rPr>
                <w:sz w:val="12"/>
                <w:szCs w:val="12"/>
                <w:color w:val="auto"/>
              </w:rPr>
            </w:pPr>
          </w:p>
        </w:tc>
      </w:tr>
      <w:tr>
        <w:trPr>
          <w:trHeight w:val="149"/>
        </w:trPr>
        <w:tc>
          <w:tcPr>
            <w:tcW w:w="3040" w:type="dxa"/>
            <w:vAlign w:val="bottom"/>
          </w:tcPr>
          <w:p>
            <w:pPr>
              <w:spacing w:after="0"/>
              <w:rPr>
                <w:sz w:val="20"/>
                <w:szCs w:val="20"/>
                <w:color w:val="auto"/>
              </w:rPr>
            </w:pPr>
            <w:r>
              <w:rPr>
                <w:rFonts w:ascii="Arial" w:cs="Arial" w:eastAsia="Arial" w:hAnsi="Arial"/>
                <w:sz w:val="12"/>
                <w:szCs w:val="12"/>
                <w:color w:val="auto"/>
              </w:rPr>
              <w:t xml:space="preserve">K2 Pure Solutions NoCal, L.P. </w:t>
            </w:r>
            <w:r>
              <w:rPr>
                <w:rFonts w:ascii="Arial" w:cs="Arial" w:eastAsia="Arial" w:hAnsi="Arial"/>
                <w:sz w:val="9"/>
                <w:szCs w:val="9"/>
                <w:color w:val="auto"/>
              </w:rPr>
              <w:t>(8)</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02/19/2021</w:t>
            </w:r>
          </w:p>
        </w:tc>
        <w:tc>
          <w:tcPr>
            <w:tcW w:w="2540" w:type="dxa"/>
            <w:vAlign w:val="bottom"/>
            <w:gridSpan w:val="2"/>
          </w:tcPr>
          <w:p>
            <w:pPr>
              <w:jc w:val="center"/>
              <w:ind w:right="420"/>
              <w:spacing w:after="0"/>
              <w:rPr>
                <w:sz w:val="20"/>
                <w:szCs w:val="20"/>
                <w:color w:val="auto"/>
              </w:rPr>
            </w:pPr>
            <w:r>
              <w:rPr>
                <w:rFonts w:ascii="Arial" w:cs="Arial" w:eastAsia="Arial" w:hAnsi="Arial"/>
                <w:sz w:val="12"/>
                <w:szCs w:val="12"/>
                <w:color w:val="auto"/>
                <w:w w:val="87"/>
              </w:rPr>
              <w:t>Chemicals, Plastics and Rubber</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10.24%</w:t>
            </w:r>
          </w:p>
        </w:tc>
        <w:tc>
          <w:tcPr>
            <w:tcW w:w="680" w:type="dxa"/>
            <w:vAlign w:val="bottom"/>
          </w:tcPr>
          <w:p>
            <w:pPr>
              <w:jc w:val="right"/>
              <w:spacing w:after="0"/>
              <w:rPr>
                <w:sz w:val="20"/>
                <w:szCs w:val="20"/>
                <w:color w:val="auto"/>
              </w:rPr>
            </w:pPr>
            <w:r>
              <w:rPr>
                <w:rFonts w:ascii="Arial" w:cs="Arial" w:eastAsia="Arial" w:hAnsi="Arial"/>
                <w:sz w:val="12"/>
                <w:szCs w:val="12"/>
                <w:color w:val="auto"/>
              </w:rPr>
              <w:t>L+900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4,002,471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3,936,841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3,889,079</w:t>
            </w:r>
          </w:p>
        </w:tc>
        <w:tc>
          <w:tcPr>
            <w:tcW w:w="12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KHC Holdings, Inc.</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10/31/2022</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9"/>
              </w:rPr>
              <w:t>Wholesale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7.33%</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L+600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12,140,282</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11,975,690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12,140,282</w:t>
            </w:r>
          </w:p>
        </w:tc>
        <w:tc>
          <w:tcPr>
            <w:tcW w:w="120" w:type="dxa"/>
            <w:vAlign w:val="bottom"/>
            <w:shd w:val="clear" w:color="auto" w:fill="CCECFF"/>
          </w:tcPr>
          <w:p>
            <w:pPr>
              <w:spacing w:after="0"/>
              <w:rPr>
                <w:sz w:val="12"/>
                <w:szCs w:val="12"/>
                <w:color w:val="auto"/>
              </w:rPr>
            </w:pPr>
          </w:p>
        </w:tc>
      </w:tr>
      <w:tr>
        <w:trPr>
          <w:trHeight w:val="149"/>
        </w:trPr>
        <w:tc>
          <w:tcPr>
            <w:tcW w:w="3040" w:type="dxa"/>
            <w:vAlign w:val="bottom"/>
          </w:tcPr>
          <w:p>
            <w:pPr>
              <w:spacing w:after="0"/>
              <w:rPr>
                <w:sz w:val="20"/>
                <w:szCs w:val="20"/>
                <w:color w:val="auto"/>
              </w:rPr>
            </w:pPr>
            <w:r>
              <w:rPr>
                <w:rFonts w:ascii="Arial" w:cs="Arial" w:eastAsia="Arial" w:hAnsi="Arial"/>
                <w:sz w:val="12"/>
                <w:szCs w:val="12"/>
                <w:color w:val="auto"/>
              </w:rPr>
              <w:t xml:space="preserve">KHC Holdings, Inc. (Revolver) </w:t>
            </w:r>
            <w:r>
              <w:rPr>
                <w:rFonts w:ascii="Arial" w:cs="Arial" w:eastAsia="Arial" w:hAnsi="Arial"/>
                <w:sz w:val="9"/>
                <w:szCs w:val="9"/>
                <w:color w:val="auto"/>
              </w:rPr>
              <w:t>(8)</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10/30/2020</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9"/>
              </w:rPr>
              <w:t>Wholesale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6.16%</w:t>
            </w:r>
          </w:p>
        </w:tc>
        <w:tc>
          <w:tcPr>
            <w:tcW w:w="680" w:type="dxa"/>
            <w:vAlign w:val="bottom"/>
          </w:tcPr>
          <w:p>
            <w:pPr>
              <w:jc w:val="right"/>
              <w:spacing w:after="0"/>
              <w:rPr>
                <w:sz w:val="20"/>
                <w:szCs w:val="20"/>
                <w:color w:val="auto"/>
              </w:rPr>
            </w:pPr>
            <w:r>
              <w:rPr>
                <w:rFonts w:ascii="Arial" w:cs="Arial" w:eastAsia="Arial" w:hAnsi="Arial"/>
                <w:sz w:val="12"/>
                <w:szCs w:val="12"/>
                <w:color w:val="auto"/>
              </w:rPr>
              <w:t>L+425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241,935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241,935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241,935</w:t>
            </w:r>
          </w:p>
        </w:tc>
        <w:tc>
          <w:tcPr>
            <w:tcW w:w="12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KHC Holdings, Inc. (Revolver) </w:t>
            </w:r>
            <w:r>
              <w:rPr>
                <w:rFonts w:ascii="Arial" w:cs="Arial" w:eastAsia="Arial" w:hAnsi="Arial"/>
                <w:sz w:val="9"/>
                <w:szCs w:val="9"/>
                <w:color w:val="auto"/>
              </w:rPr>
              <w:t>(8), (9)</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10/30/2020</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9"/>
              </w:rPr>
              <w:t>Wholesale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967,742</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w:t>
            </w: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Lago Resort &amp; Casino, LLC</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03/07/2022</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8"/>
              </w:rPr>
              <w:t>Hotel, Gaming and Leisure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10.83%</w:t>
            </w:r>
          </w:p>
        </w:tc>
        <w:tc>
          <w:tcPr>
            <w:tcW w:w="680" w:type="dxa"/>
            <w:vAlign w:val="bottom"/>
          </w:tcPr>
          <w:p>
            <w:pPr>
              <w:jc w:val="right"/>
              <w:spacing w:after="0"/>
              <w:rPr>
                <w:sz w:val="20"/>
                <w:szCs w:val="20"/>
                <w:color w:val="auto"/>
              </w:rPr>
            </w:pPr>
            <w:r>
              <w:rPr>
                <w:rFonts w:ascii="Arial" w:cs="Arial" w:eastAsia="Arial" w:hAnsi="Arial"/>
                <w:sz w:val="12"/>
                <w:szCs w:val="12"/>
                <w:color w:val="auto"/>
              </w:rPr>
              <w:t>L+950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9"/>
              </w:rPr>
              <w:t>10,200,000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93"/>
              </w:rPr>
              <w:t>10,036,631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w w:val="93"/>
              </w:rPr>
              <w:t>10,098,000</w:t>
            </w:r>
          </w:p>
        </w:tc>
        <w:tc>
          <w:tcPr>
            <w:tcW w:w="120" w:type="dxa"/>
            <w:vAlign w:val="bottom"/>
          </w:tcPr>
          <w:p>
            <w:pPr>
              <w:spacing w:after="0"/>
              <w:rPr>
                <w:sz w:val="12"/>
                <w:szCs w:val="12"/>
                <w:color w:val="auto"/>
              </w:rPr>
            </w:pPr>
          </w:p>
        </w:tc>
      </w:tr>
      <w:tr>
        <w:trPr>
          <w:trHeight w:val="149"/>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Leap Legal Software Pty Ltd </w:t>
            </w:r>
            <w:r>
              <w:rPr>
                <w:rFonts w:ascii="Arial" w:cs="Arial" w:eastAsia="Arial" w:hAnsi="Arial"/>
                <w:sz w:val="9"/>
                <w:szCs w:val="9"/>
                <w:color w:val="auto"/>
              </w:rPr>
              <w:t>(6), (10), (11)</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09/12/2022</w:t>
            </w:r>
          </w:p>
        </w:tc>
        <w:tc>
          <w:tcPr>
            <w:tcW w:w="2540" w:type="dxa"/>
            <w:vAlign w:val="bottom"/>
            <w:gridSpan w:val="2"/>
            <w:shd w:val="clear" w:color="auto" w:fill="CCECFF"/>
          </w:tcPr>
          <w:p>
            <w:pPr>
              <w:jc w:val="center"/>
              <w:ind w:right="400"/>
              <w:spacing w:after="0"/>
              <w:rPr>
                <w:sz w:val="20"/>
                <w:szCs w:val="20"/>
                <w:color w:val="auto"/>
              </w:rPr>
            </w:pPr>
            <w:r>
              <w:rPr>
                <w:rFonts w:ascii="Arial" w:cs="Arial" w:eastAsia="Arial" w:hAnsi="Arial"/>
                <w:sz w:val="12"/>
                <w:szCs w:val="12"/>
                <w:color w:val="auto"/>
                <w:w w:val="89"/>
              </w:rPr>
              <w:t>High Tech Industries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7.54%</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L+575</w:t>
            </w:r>
          </w:p>
        </w:tc>
        <w:tc>
          <w:tcPr>
            <w:tcW w:w="3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A $</w:t>
            </w: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10,000,000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7,728,822</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7,728,822</w:t>
            </w:r>
          </w:p>
        </w:tc>
        <w:tc>
          <w:tcPr>
            <w:tcW w:w="12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 xml:space="preserve">LifeCare Holdings LLC </w:t>
            </w:r>
            <w:r>
              <w:rPr>
                <w:rFonts w:ascii="Arial" w:cs="Arial" w:eastAsia="Arial" w:hAnsi="Arial"/>
                <w:sz w:val="9"/>
                <w:szCs w:val="9"/>
                <w:color w:val="auto"/>
              </w:rPr>
              <w:t>(8)</w:t>
            </w:r>
          </w:p>
        </w:tc>
        <w:tc>
          <w:tcPr>
            <w:tcW w:w="1160" w:type="dxa"/>
            <w:vAlign w:val="bottom"/>
          </w:tcPr>
          <w:p>
            <w:pPr>
              <w:jc w:val="center"/>
              <w:ind w:right="222"/>
              <w:spacing w:after="0"/>
              <w:rPr>
                <w:sz w:val="20"/>
                <w:szCs w:val="20"/>
                <w:color w:val="auto"/>
              </w:rPr>
            </w:pPr>
            <w:r>
              <w:rPr>
                <w:rFonts w:ascii="Arial" w:cs="Arial" w:eastAsia="Arial" w:hAnsi="Arial"/>
                <w:sz w:val="12"/>
                <w:szCs w:val="12"/>
                <w:color w:val="auto"/>
                <w:w w:val="86"/>
              </w:rPr>
              <w:t>11/30/2018</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6"/>
              </w:rPr>
              <w:t>Healthcare and Pharmaceuticals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6.58%</w:t>
            </w:r>
          </w:p>
        </w:tc>
        <w:tc>
          <w:tcPr>
            <w:tcW w:w="680" w:type="dxa"/>
            <w:vAlign w:val="bottom"/>
          </w:tcPr>
          <w:p>
            <w:pPr>
              <w:jc w:val="right"/>
              <w:spacing w:after="0"/>
              <w:rPr>
                <w:sz w:val="20"/>
                <w:szCs w:val="20"/>
                <w:color w:val="auto"/>
              </w:rPr>
            </w:pPr>
            <w:r>
              <w:rPr>
                <w:rFonts w:ascii="Arial" w:cs="Arial" w:eastAsia="Arial" w:hAnsi="Arial"/>
                <w:sz w:val="12"/>
                <w:szCs w:val="12"/>
                <w:color w:val="auto"/>
              </w:rPr>
              <w:t>L+525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4,954,937</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4,935,975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3,740,977</w:t>
            </w:r>
          </w:p>
        </w:tc>
        <w:tc>
          <w:tcPr>
            <w:tcW w:w="12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Lombart Brothers, Inc.</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04/13/2022</w:t>
            </w:r>
          </w:p>
        </w:tc>
        <w:tc>
          <w:tcPr>
            <w:tcW w:w="2540" w:type="dxa"/>
            <w:vAlign w:val="bottom"/>
            <w:gridSpan w:val="2"/>
            <w:shd w:val="clear" w:color="auto" w:fill="CCECFF"/>
          </w:tcPr>
          <w:p>
            <w:pPr>
              <w:jc w:val="center"/>
              <w:ind w:right="420"/>
              <w:spacing w:after="0"/>
              <w:rPr>
                <w:sz w:val="20"/>
                <w:szCs w:val="20"/>
                <w:color w:val="auto"/>
              </w:rPr>
            </w:pPr>
            <w:r>
              <w:rPr>
                <w:rFonts w:ascii="Arial" w:cs="Arial" w:eastAsia="Arial" w:hAnsi="Arial"/>
                <w:sz w:val="12"/>
                <w:szCs w:val="12"/>
                <w:color w:val="auto"/>
                <w:w w:val="89"/>
              </w:rPr>
              <w:t>Capital Equipment</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8.08%</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L+675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6,244,708</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6,170,275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6,244,708</w:t>
            </w:r>
          </w:p>
        </w:tc>
        <w:tc>
          <w:tcPr>
            <w:tcW w:w="120" w:type="dxa"/>
            <w:vAlign w:val="bottom"/>
            <w:shd w:val="clear" w:color="auto" w:fill="CCECFF"/>
          </w:tcPr>
          <w:p>
            <w:pPr>
              <w:spacing w:after="0"/>
              <w:rPr>
                <w:sz w:val="12"/>
                <w:szCs w:val="12"/>
                <w:color w:val="auto"/>
              </w:rPr>
            </w:pPr>
          </w:p>
        </w:tc>
      </w:tr>
      <w:tr>
        <w:trPr>
          <w:trHeight w:val="149"/>
        </w:trPr>
        <w:tc>
          <w:tcPr>
            <w:tcW w:w="3040" w:type="dxa"/>
            <w:vAlign w:val="bottom"/>
          </w:tcPr>
          <w:p>
            <w:pPr>
              <w:spacing w:after="0"/>
              <w:rPr>
                <w:sz w:val="20"/>
                <w:szCs w:val="20"/>
                <w:color w:val="auto"/>
              </w:rPr>
            </w:pPr>
            <w:r>
              <w:rPr>
                <w:rFonts w:ascii="Arial" w:cs="Arial" w:eastAsia="Arial" w:hAnsi="Arial"/>
                <w:sz w:val="12"/>
                <w:szCs w:val="12"/>
                <w:color w:val="auto"/>
              </w:rPr>
              <w:t xml:space="preserve">Lombart Brothers, Inc. (Revolver) </w:t>
            </w:r>
            <w:r>
              <w:rPr>
                <w:rFonts w:ascii="Arial" w:cs="Arial" w:eastAsia="Arial" w:hAnsi="Arial"/>
                <w:sz w:val="9"/>
                <w:szCs w:val="9"/>
                <w:color w:val="auto"/>
              </w:rPr>
              <w:t>(8)</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04/13/2022</w:t>
            </w:r>
          </w:p>
        </w:tc>
        <w:tc>
          <w:tcPr>
            <w:tcW w:w="2540" w:type="dxa"/>
            <w:vAlign w:val="bottom"/>
            <w:gridSpan w:val="2"/>
          </w:tcPr>
          <w:p>
            <w:pPr>
              <w:jc w:val="center"/>
              <w:ind w:right="420"/>
              <w:spacing w:after="0"/>
              <w:rPr>
                <w:sz w:val="20"/>
                <w:szCs w:val="20"/>
                <w:color w:val="auto"/>
              </w:rPr>
            </w:pPr>
            <w:r>
              <w:rPr>
                <w:rFonts w:ascii="Arial" w:cs="Arial" w:eastAsia="Arial" w:hAnsi="Arial"/>
                <w:sz w:val="12"/>
                <w:szCs w:val="12"/>
                <w:color w:val="auto"/>
                <w:w w:val="89"/>
              </w:rPr>
              <w:t>Capital Equipment</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9.75%</w:t>
            </w:r>
          </w:p>
        </w:tc>
        <w:tc>
          <w:tcPr>
            <w:tcW w:w="680" w:type="dxa"/>
            <w:vAlign w:val="bottom"/>
          </w:tcPr>
          <w:p>
            <w:pPr>
              <w:jc w:val="right"/>
              <w:spacing w:after="0"/>
              <w:rPr>
                <w:sz w:val="20"/>
                <w:szCs w:val="20"/>
                <w:color w:val="auto"/>
              </w:rPr>
            </w:pPr>
            <w:r>
              <w:rPr>
                <w:rFonts w:ascii="Arial" w:cs="Arial" w:eastAsia="Arial" w:hAnsi="Arial"/>
                <w:sz w:val="12"/>
                <w:szCs w:val="12"/>
                <w:color w:val="auto"/>
              </w:rPr>
              <w:t>P+550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778,761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778,761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778,761</w:t>
            </w:r>
          </w:p>
        </w:tc>
        <w:tc>
          <w:tcPr>
            <w:tcW w:w="12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Lombart Brothers, Inc. (Revolver) </w:t>
            </w:r>
            <w:r>
              <w:rPr>
                <w:rFonts w:ascii="Arial" w:cs="Arial" w:eastAsia="Arial" w:hAnsi="Arial"/>
                <w:sz w:val="9"/>
                <w:szCs w:val="9"/>
                <w:color w:val="auto"/>
              </w:rPr>
              <w:t>(8), (9)</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04/13/2022</w:t>
            </w:r>
          </w:p>
        </w:tc>
        <w:tc>
          <w:tcPr>
            <w:tcW w:w="2540" w:type="dxa"/>
            <w:vAlign w:val="bottom"/>
            <w:gridSpan w:val="2"/>
            <w:shd w:val="clear" w:color="auto" w:fill="CCECFF"/>
          </w:tcPr>
          <w:p>
            <w:pPr>
              <w:jc w:val="center"/>
              <w:ind w:right="420"/>
              <w:spacing w:after="0"/>
              <w:rPr>
                <w:sz w:val="20"/>
                <w:szCs w:val="20"/>
                <w:color w:val="auto"/>
              </w:rPr>
            </w:pPr>
            <w:r>
              <w:rPr>
                <w:rFonts w:ascii="Arial" w:cs="Arial" w:eastAsia="Arial" w:hAnsi="Arial"/>
                <w:sz w:val="12"/>
                <w:szCs w:val="12"/>
                <w:color w:val="auto"/>
                <w:w w:val="89"/>
              </w:rPr>
              <w:t>Capital Equipment</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460,177</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2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w:t>
            </w: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Long’s Drugs Incorporated</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08/19/2021</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86"/>
              </w:rPr>
              <w:t>Healthcare and Pharmaceuticals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6.49%</w:t>
            </w:r>
          </w:p>
        </w:tc>
        <w:tc>
          <w:tcPr>
            <w:tcW w:w="680" w:type="dxa"/>
            <w:vAlign w:val="bottom"/>
          </w:tcPr>
          <w:p>
            <w:pPr>
              <w:jc w:val="right"/>
              <w:spacing w:after="0"/>
              <w:rPr>
                <w:sz w:val="20"/>
                <w:szCs w:val="20"/>
                <w:color w:val="auto"/>
              </w:rPr>
            </w:pPr>
            <w:r>
              <w:rPr>
                <w:rFonts w:ascii="Arial" w:cs="Arial" w:eastAsia="Arial" w:hAnsi="Arial"/>
                <w:sz w:val="12"/>
                <w:szCs w:val="12"/>
                <w:color w:val="auto"/>
              </w:rPr>
              <w:t>L+525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4,238,073</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4,204,738</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4,195,692</w:t>
            </w:r>
          </w:p>
        </w:tc>
        <w:tc>
          <w:tcPr>
            <w:tcW w:w="120" w:type="dxa"/>
            <w:vAlign w:val="bottom"/>
          </w:tcPr>
          <w:p>
            <w:pPr>
              <w:spacing w:after="0"/>
              <w:rPr>
                <w:sz w:val="12"/>
                <w:szCs w:val="12"/>
                <w:color w:val="auto"/>
              </w:rPr>
            </w:pPr>
          </w:p>
        </w:tc>
      </w:tr>
      <w:tr>
        <w:trPr>
          <w:trHeight w:val="149"/>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LSF9 Atlantis Holdings, LLC</w:t>
            </w:r>
          </w:p>
        </w:tc>
        <w:tc>
          <w:tcPr>
            <w:tcW w:w="1160" w:type="dxa"/>
            <w:vAlign w:val="bottom"/>
            <w:shd w:val="clear" w:color="auto" w:fill="CCECFF"/>
          </w:tcPr>
          <w:p>
            <w:pPr>
              <w:jc w:val="center"/>
              <w:ind w:right="202"/>
              <w:spacing w:after="0"/>
              <w:rPr>
                <w:sz w:val="20"/>
                <w:szCs w:val="20"/>
                <w:color w:val="auto"/>
              </w:rPr>
            </w:pPr>
            <w:r>
              <w:rPr>
                <w:rFonts w:ascii="Arial" w:cs="Arial" w:eastAsia="Arial" w:hAnsi="Arial"/>
                <w:sz w:val="12"/>
                <w:szCs w:val="12"/>
                <w:color w:val="auto"/>
                <w:w w:val="89"/>
              </w:rPr>
              <w:t>05/01/2023</w:t>
            </w:r>
          </w:p>
        </w:tc>
        <w:tc>
          <w:tcPr>
            <w:tcW w:w="2540" w:type="dxa"/>
            <w:vAlign w:val="bottom"/>
            <w:gridSpan w:val="2"/>
            <w:shd w:val="clear" w:color="auto" w:fill="CCECFF"/>
          </w:tcPr>
          <w:p>
            <w:pPr>
              <w:jc w:val="center"/>
              <w:ind w:right="420"/>
              <w:spacing w:after="0"/>
              <w:rPr>
                <w:sz w:val="20"/>
                <w:szCs w:val="20"/>
                <w:color w:val="auto"/>
              </w:rPr>
            </w:pPr>
            <w:r>
              <w:rPr>
                <w:rFonts w:ascii="Arial" w:cs="Arial" w:eastAsia="Arial" w:hAnsi="Arial"/>
                <w:sz w:val="12"/>
                <w:szCs w:val="12"/>
                <w:color w:val="auto"/>
                <w:w w:val="91"/>
              </w:rPr>
              <w:t>Retail</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7.24%</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L+600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14,409,375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14,275,705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3"/>
              </w:rPr>
              <w:t>14,439,347</w:t>
            </w:r>
          </w:p>
        </w:tc>
        <w:tc>
          <w:tcPr>
            <w:tcW w:w="120" w:type="dxa"/>
            <w:vAlign w:val="bottom"/>
            <w:shd w:val="clear" w:color="auto" w:fill="CCECFF"/>
          </w:tcPr>
          <w:p>
            <w:pPr>
              <w:spacing w:after="0"/>
              <w:rPr>
                <w:sz w:val="12"/>
                <w:szCs w:val="12"/>
                <w:color w:val="auto"/>
              </w:rPr>
            </w:pPr>
          </w:p>
        </w:tc>
      </w:tr>
      <w:tr>
        <w:trPr>
          <w:trHeight w:val="155"/>
        </w:trPr>
        <w:tc>
          <w:tcPr>
            <w:tcW w:w="3040" w:type="dxa"/>
            <w:vAlign w:val="bottom"/>
          </w:tcPr>
          <w:p>
            <w:pPr>
              <w:spacing w:after="0"/>
              <w:rPr>
                <w:sz w:val="20"/>
                <w:szCs w:val="20"/>
                <w:color w:val="auto"/>
              </w:rPr>
            </w:pPr>
            <w:r>
              <w:rPr>
                <w:rFonts w:ascii="Arial" w:cs="Arial" w:eastAsia="Arial" w:hAnsi="Arial"/>
                <w:sz w:val="12"/>
                <w:szCs w:val="12"/>
                <w:color w:val="auto"/>
              </w:rPr>
              <w:t>Marketplace Events LLC</w:t>
            </w:r>
          </w:p>
        </w:tc>
        <w:tc>
          <w:tcPr>
            <w:tcW w:w="1160" w:type="dxa"/>
            <w:vAlign w:val="bottom"/>
          </w:tcPr>
          <w:p>
            <w:pPr>
              <w:jc w:val="center"/>
              <w:ind w:right="202"/>
              <w:spacing w:after="0"/>
              <w:rPr>
                <w:sz w:val="20"/>
                <w:szCs w:val="20"/>
                <w:color w:val="auto"/>
              </w:rPr>
            </w:pPr>
            <w:r>
              <w:rPr>
                <w:rFonts w:ascii="Arial" w:cs="Arial" w:eastAsia="Arial" w:hAnsi="Arial"/>
                <w:sz w:val="12"/>
                <w:szCs w:val="12"/>
                <w:color w:val="auto"/>
                <w:w w:val="89"/>
              </w:rPr>
              <w:t>01/27/2021</w:t>
            </w:r>
          </w:p>
        </w:tc>
        <w:tc>
          <w:tcPr>
            <w:tcW w:w="2540" w:type="dxa"/>
            <w:vAlign w:val="bottom"/>
            <w:gridSpan w:val="2"/>
          </w:tcPr>
          <w:p>
            <w:pPr>
              <w:jc w:val="center"/>
              <w:ind w:right="400"/>
              <w:spacing w:after="0"/>
              <w:rPr>
                <w:sz w:val="20"/>
                <w:szCs w:val="20"/>
                <w:color w:val="auto"/>
              </w:rPr>
            </w:pPr>
            <w:r>
              <w:rPr>
                <w:rFonts w:ascii="Arial" w:cs="Arial" w:eastAsia="Arial" w:hAnsi="Arial"/>
                <w:sz w:val="12"/>
                <w:szCs w:val="12"/>
                <w:color w:val="auto"/>
                <w:w w:val="90"/>
              </w:rPr>
              <w:t>Media: Diversified and Production</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6.58%</w:t>
            </w:r>
          </w:p>
        </w:tc>
        <w:tc>
          <w:tcPr>
            <w:tcW w:w="680" w:type="dxa"/>
            <w:vAlign w:val="bottom"/>
          </w:tcPr>
          <w:p>
            <w:pPr>
              <w:jc w:val="right"/>
              <w:spacing w:after="0"/>
              <w:rPr>
                <w:sz w:val="20"/>
                <w:szCs w:val="20"/>
                <w:color w:val="auto"/>
              </w:rPr>
            </w:pPr>
            <w:r>
              <w:rPr>
                <w:rFonts w:ascii="Arial" w:cs="Arial" w:eastAsia="Arial" w:hAnsi="Arial"/>
                <w:sz w:val="12"/>
                <w:szCs w:val="12"/>
                <w:color w:val="auto"/>
              </w:rPr>
              <w:t>L+525</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3,377,372</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3,335,177</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3,377,372</w:t>
            </w:r>
          </w:p>
        </w:tc>
        <w:tc>
          <w:tcPr>
            <w:tcW w:w="120" w:type="dxa"/>
            <w:vAlign w:val="bottom"/>
          </w:tcPr>
          <w:p>
            <w:pPr>
              <w:spacing w:after="0"/>
              <w:rPr>
                <w:sz w:val="13"/>
                <w:szCs w:val="13"/>
                <w:color w:val="auto"/>
              </w:rPr>
            </w:pPr>
          </w:p>
        </w:tc>
      </w:tr>
    </w:tbl>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rPr>
          <w:sz w:val="20"/>
          <w:szCs w:val="20"/>
          <w:color w:val="auto"/>
        </w:rPr>
      </w:pPr>
      <w:r>
        <w:rPr>
          <w:rFonts w:ascii="Arial" w:cs="Arial" w:eastAsia="Arial" w:hAnsi="Arial"/>
          <w:sz w:val="14"/>
          <w:szCs w:val="14"/>
          <w:b w:val="1"/>
          <w:bCs w:val="1"/>
          <w:color w:val="auto"/>
        </w:rPr>
        <w:t>SEPTEMBER 30, 2017</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2"/>
                <w:szCs w:val="12"/>
                <w:b w:val="1"/>
                <w:bCs w:val="1"/>
                <w:color w:val="auto"/>
                <w:w w:val="85"/>
              </w:rPr>
              <w:t>Basis Point</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3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8"/>
              </w:rPr>
              <w:t>Spread</w:t>
            </w: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right"/>
              <w:ind w:right="382"/>
              <w:spacing w:after="0" w:line="135" w:lineRule="exact"/>
              <w:rPr>
                <w:sz w:val="20"/>
                <w:szCs w:val="20"/>
                <w:color w:val="auto"/>
              </w:rPr>
            </w:pPr>
            <w:r>
              <w:rPr>
                <w:rFonts w:ascii="Arial" w:cs="Arial" w:eastAsia="Arial" w:hAnsi="Arial"/>
                <w:sz w:val="12"/>
                <w:szCs w:val="12"/>
                <w:b w:val="1"/>
                <w:bCs w:val="1"/>
                <w:color w:val="auto"/>
              </w:rPr>
              <w:t>Current</w:t>
            </w:r>
          </w:p>
        </w:tc>
        <w:tc>
          <w:tcPr>
            <w:tcW w:w="6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7"/>
              </w:rPr>
              <w:t>Above</w:t>
            </w:r>
          </w:p>
        </w:tc>
        <w:tc>
          <w:tcPr>
            <w:tcW w:w="220" w:type="dxa"/>
            <w:vAlign w:val="bottom"/>
          </w:tcPr>
          <w:p>
            <w:pPr>
              <w:spacing w:after="0"/>
              <w:rPr>
                <w:sz w:val="11"/>
                <w:szCs w:val="11"/>
                <w:color w:val="auto"/>
              </w:rPr>
            </w:pPr>
          </w:p>
        </w:tc>
        <w:tc>
          <w:tcPr>
            <w:tcW w:w="680" w:type="dxa"/>
            <w:vAlign w:val="bottom"/>
          </w:tcPr>
          <w:p>
            <w:pPr>
              <w:jc w:val="right"/>
              <w:ind w:right="162"/>
              <w:spacing w:after="0" w:line="135" w:lineRule="exact"/>
              <w:rPr>
                <w:sz w:val="20"/>
                <w:szCs w:val="20"/>
                <w:color w:val="auto"/>
              </w:rPr>
            </w:pPr>
            <w:r>
              <w:rPr>
                <w:rFonts w:ascii="Arial" w:cs="Arial" w:eastAsia="Arial" w:hAnsi="Arial"/>
                <w:sz w:val="12"/>
                <w:szCs w:val="12"/>
                <w:b w:val="1"/>
                <w:bCs w:val="1"/>
                <w:color w:val="auto"/>
              </w:rPr>
              <w:t>Par /</w:t>
            </w: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3"/>
        </w:trPr>
        <w:tc>
          <w:tcPr>
            <w:tcW w:w="30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Issuer Name</w:t>
            </w:r>
          </w:p>
        </w:tc>
        <w:tc>
          <w:tcPr>
            <w:tcW w:w="120" w:type="dxa"/>
            <w:vAlign w:val="bottom"/>
            <w:tcBorders>
              <w:bottom w:val="single" w:sz="8" w:color="CCECFF"/>
            </w:tcBorders>
          </w:tcPr>
          <w:p>
            <w:pPr>
              <w:spacing w:after="0"/>
              <w:rPr>
                <w:sz w:val="12"/>
                <w:szCs w:val="12"/>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Maturity</w:t>
            </w:r>
          </w:p>
        </w:tc>
        <w:tc>
          <w:tcPr>
            <w:tcW w:w="120" w:type="dxa"/>
            <w:vAlign w:val="bottom"/>
            <w:tcBorders>
              <w:bottom w:val="single" w:sz="8" w:color="CCECFF"/>
            </w:tcBorders>
          </w:tcPr>
          <w:p>
            <w:pPr>
              <w:spacing w:after="0"/>
              <w:rPr>
                <w:sz w:val="12"/>
                <w:szCs w:val="12"/>
                <w:color w:val="auto"/>
              </w:rPr>
            </w:pP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Industry</w:t>
            </w:r>
          </w:p>
        </w:tc>
        <w:tc>
          <w:tcPr>
            <w:tcW w:w="140" w:type="dxa"/>
            <w:vAlign w:val="bottom"/>
            <w:tcBorders>
              <w:bottom w:val="single" w:sz="8" w:color="CCECFF"/>
            </w:tcBorders>
          </w:tcPr>
          <w:p>
            <w:pPr>
              <w:spacing w:after="0"/>
              <w:rPr>
                <w:sz w:val="12"/>
                <w:szCs w:val="12"/>
                <w:color w:val="auto"/>
              </w:rPr>
            </w:pPr>
          </w:p>
        </w:tc>
        <w:tc>
          <w:tcPr>
            <w:tcW w:w="66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b w:val="1"/>
                <w:bCs w:val="1"/>
                <w:color w:val="auto"/>
              </w:rPr>
              <w:t>Coupon</w:t>
            </w:r>
          </w:p>
        </w:tc>
        <w:tc>
          <w:tcPr>
            <w:tcW w:w="300" w:type="dxa"/>
            <w:vAlign w:val="bottom"/>
            <w:tcBorders>
              <w:bottom w:val="single" w:sz="8" w:color="CCECFF"/>
            </w:tcBorders>
          </w:tcPr>
          <w:p>
            <w:pPr>
              <w:spacing w:after="0"/>
              <w:rPr>
                <w:sz w:val="12"/>
                <w:szCs w:val="12"/>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(1)</w:t>
            </w:r>
          </w:p>
        </w:tc>
        <w:tc>
          <w:tcPr>
            <w:tcW w:w="220" w:type="dxa"/>
            <w:vAlign w:val="bottom"/>
            <w:tcBorders>
              <w:bottom w:val="single" w:sz="8" w:color="CCECFF"/>
            </w:tcBorders>
          </w:tcPr>
          <w:p>
            <w:pPr>
              <w:spacing w:after="0"/>
              <w:rPr>
                <w:sz w:val="12"/>
                <w:szCs w:val="12"/>
                <w:color w:val="auto"/>
              </w:rPr>
            </w:pPr>
          </w:p>
        </w:tc>
        <w:tc>
          <w:tcPr>
            <w:tcW w:w="680" w:type="dxa"/>
            <w:vAlign w:val="bottom"/>
            <w:tcBorders>
              <w:bottom w:val="single" w:sz="8" w:color="auto"/>
            </w:tcBorders>
          </w:tcPr>
          <w:p>
            <w:pPr>
              <w:jc w:val="right"/>
              <w:ind w:right="122"/>
              <w:spacing w:after="0"/>
              <w:rPr>
                <w:sz w:val="20"/>
                <w:szCs w:val="20"/>
                <w:color w:val="auto"/>
              </w:rPr>
            </w:pPr>
            <w:r>
              <w:rPr>
                <w:rFonts w:ascii="Arial" w:cs="Arial" w:eastAsia="Arial" w:hAnsi="Arial"/>
                <w:sz w:val="12"/>
                <w:szCs w:val="12"/>
                <w:b w:val="1"/>
                <w:bCs w:val="1"/>
                <w:color w:val="auto"/>
              </w:rPr>
              <w:t>Shares</w:t>
            </w:r>
          </w:p>
        </w:tc>
        <w:tc>
          <w:tcPr>
            <w:tcW w:w="240" w:type="dxa"/>
            <w:vAlign w:val="bottom"/>
            <w:tcBorders>
              <w:bottom w:val="single" w:sz="8" w:color="CCECFF"/>
            </w:tcBorders>
          </w:tcPr>
          <w:p>
            <w:pPr>
              <w:spacing w:after="0"/>
              <w:rPr>
                <w:sz w:val="12"/>
                <w:szCs w:val="12"/>
                <w:color w:val="auto"/>
              </w:rPr>
            </w:pPr>
          </w:p>
        </w:tc>
        <w:tc>
          <w:tcPr>
            <w:tcW w:w="70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b w:val="1"/>
                <w:bCs w:val="1"/>
                <w:color w:val="auto"/>
              </w:rPr>
              <w:t>Cost</w:t>
            </w:r>
          </w:p>
        </w:tc>
        <w:tc>
          <w:tcPr>
            <w:tcW w:w="240" w:type="dxa"/>
            <w:vAlign w:val="bottom"/>
            <w:tcBorders>
              <w:bottom w:val="single" w:sz="8" w:color="CCECFF"/>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1"/>
              </w:rPr>
              <w:t xml:space="preserve">Fair Value </w:t>
            </w:r>
            <w:r>
              <w:rPr>
                <w:rFonts w:ascii="Arial" w:cs="Arial" w:eastAsia="Arial" w:hAnsi="Arial"/>
                <w:sz w:val="9"/>
                <w:szCs w:val="9"/>
                <w:b w:val="1"/>
                <w:bCs w:val="1"/>
                <w:color w:val="auto"/>
                <w:w w:val="91"/>
              </w:rPr>
              <w:t>(2)</w:t>
            </w:r>
          </w:p>
        </w:tc>
        <w:tc>
          <w:tcPr>
            <w:tcW w:w="100" w:type="dxa"/>
            <w:vAlign w:val="bottom"/>
            <w:tcBorders>
              <w:bottom w:val="single" w:sz="8" w:color="CCECFF"/>
            </w:tcBorders>
          </w:tcPr>
          <w:p>
            <w:pPr>
              <w:spacing w:after="0"/>
              <w:rPr>
                <w:sz w:val="12"/>
                <w:szCs w:val="12"/>
                <w:color w:val="auto"/>
              </w:rPr>
            </w:pPr>
          </w:p>
        </w:tc>
      </w:tr>
      <w:tr>
        <w:trPr>
          <w:trHeight w:val="142"/>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Marketplace Events LLC </w:t>
            </w:r>
            <w:r>
              <w:rPr>
                <w:rFonts w:ascii="Arial" w:cs="Arial" w:eastAsia="Arial" w:hAnsi="Arial"/>
                <w:sz w:val="9"/>
                <w:szCs w:val="9"/>
                <w:color w:val="auto"/>
              </w:rPr>
              <w:t>(11)</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01/27/2021</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90"/>
              </w:rPr>
              <w:t>Media: Diversified and Production</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6.25</w:t>
            </w:r>
          </w:p>
        </w:tc>
        <w:tc>
          <w:tcPr>
            <w:tcW w:w="300" w:type="dxa"/>
            <w:vAlign w:val="bottom"/>
            <w:shd w:val="clear" w:color="auto" w:fill="CCECFF"/>
          </w:tcPr>
          <w:p>
            <w:pPr>
              <w:jc w:val="right"/>
              <w:ind w:right="142"/>
              <w:spacing w:after="0" w:line="136" w:lineRule="exact"/>
              <w:rPr>
                <w:sz w:val="20"/>
                <w:szCs w:val="20"/>
                <w:color w:val="auto"/>
              </w:rPr>
            </w:pPr>
            <w:r>
              <w:rPr>
                <w:rFonts w:ascii="Arial" w:cs="Arial" w:eastAsia="Arial" w:hAnsi="Arial"/>
                <w:sz w:val="12"/>
                <w:szCs w:val="12"/>
                <w:color w:val="auto"/>
                <w:w w:val="74"/>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P+275</w:t>
            </w:r>
          </w:p>
        </w:tc>
        <w:tc>
          <w:tcPr>
            <w:tcW w:w="220" w:type="dxa"/>
            <w:vAlign w:val="bottom"/>
            <w:shd w:val="clear" w:color="auto" w:fill="CCECFF"/>
          </w:tcPr>
          <w:p>
            <w:pPr>
              <w:ind w:left="140"/>
              <w:spacing w:after="0"/>
              <w:rPr>
                <w:sz w:val="20"/>
                <w:szCs w:val="20"/>
                <w:color w:val="auto"/>
              </w:rPr>
            </w:pPr>
            <w:r>
              <w:rPr>
                <w:rFonts w:ascii="Arial" w:cs="Arial" w:eastAsia="Arial" w:hAnsi="Arial"/>
                <w:sz w:val="11"/>
                <w:szCs w:val="11"/>
                <w:color w:val="auto"/>
                <w:w w:val="74"/>
              </w:rPr>
              <w:t>C</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7"/>
              </w:rPr>
              <w:t>$  17,070,749</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  11,982,846</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  13,581,250</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 xml:space="preserve">Marketplace Events LLC (Revolver) </w:t>
            </w:r>
            <w:r>
              <w:rPr>
                <w:rFonts w:ascii="Arial" w:cs="Arial" w:eastAsia="Arial" w:hAnsi="Arial"/>
                <w:sz w:val="9"/>
                <w:szCs w:val="9"/>
                <w:color w:val="auto"/>
              </w:rPr>
              <w:t>(8)</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01/27/2021</w:t>
            </w:r>
          </w:p>
        </w:tc>
        <w:tc>
          <w:tcPr>
            <w:tcW w:w="120" w:type="dxa"/>
            <w:vAlign w:val="bottom"/>
          </w:tcPr>
          <w:p>
            <w:pPr>
              <w:spacing w:after="0"/>
              <w:rPr>
                <w:sz w:val="12"/>
                <w:szCs w:val="12"/>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2"/>
                <w:szCs w:val="12"/>
                <w:color w:val="auto"/>
                <w:w w:val="90"/>
              </w:rPr>
              <w:t>Media: Diversified and Production</w:t>
            </w:r>
          </w:p>
        </w:tc>
        <w:tc>
          <w:tcPr>
            <w:tcW w:w="960" w:type="dxa"/>
            <w:vAlign w:val="bottom"/>
            <w:gridSpan w:val="2"/>
          </w:tcPr>
          <w:p>
            <w:pPr>
              <w:jc w:val="right"/>
              <w:ind w:right="142"/>
              <w:spacing w:after="0"/>
              <w:rPr>
                <w:sz w:val="20"/>
                <w:szCs w:val="20"/>
                <w:color w:val="auto"/>
              </w:rPr>
            </w:pPr>
            <w:r>
              <w:rPr>
                <w:rFonts w:ascii="Arial" w:cs="Arial" w:eastAsia="Arial" w:hAnsi="Arial"/>
                <w:sz w:val="12"/>
                <w:szCs w:val="12"/>
                <w:color w:val="auto"/>
              </w:rPr>
              <w:t>7.00%</w:t>
            </w:r>
          </w:p>
        </w:tc>
        <w:tc>
          <w:tcPr>
            <w:tcW w:w="680" w:type="dxa"/>
            <w:vAlign w:val="bottom"/>
          </w:tcPr>
          <w:p>
            <w:pPr>
              <w:jc w:val="right"/>
              <w:spacing w:after="0"/>
              <w:rPr>
                <w:sz w:val="20"/>
                <w:szCs w:val="20"/>
                <w:color w:val="auto"/>
              </w:rPr>
            </w:pPr>
            <w:r>
              <w:rPr>
                <w:rFonts w:ascii="Arial" w:cs="Arial" w:eastAsia="Arial" w:hAnsi="Arial"/>
                <w:sz w:val="12"/>
                <w:szCs w:val="12"/>
                <w:color w:val="auto"/>
              </w:rPr>
              <w:t>P+275</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459,854</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459,854</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459,854</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Marketplace Events LLC (Revolver) </w:t>
            </w:r>
            <w:r>
              <w:rPr>
                <w:rFonts w:ascii="Arial" w:cs="Arial" w:eastAsia="Arial" w:hAnsi="Arial"/>
                <w:sz w:val="9"/>
                <w:szCs w:val="9"/>
                <w:color w:val="auto"/>
              </w:rPr>
              <w:t>(8), (9)</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01/27/2021</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90"/>
              </w:rPr>
              <w:t>Media: Diversified and Production</w:t>
            </w:r>
          </w:p>
        </w:tc>
        <w:tc>
          <w:tcPr>
            <w:tcW w:w="960" w:type="dxa"/>
            <w:vAlign w:val="bottom"/>
            <w:gridSpan w:val="2"/>
            <w:shd w:val="clear" w:color="auto" w:fill="CCECFF"/>
          </w:tcPr>
          <w:p>
            <w:pPr>
              <w:jc w:val="right"/>
              <w:ind w:right="242"/>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1,243,309</w:t>
            </w: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9"/>
        </w:trPr>
        <w:tc>
          <w:tcPr>
            <w:tcW w:w="3020" w:type="dxa"/>
            <w:vAlign w:val="bottom"/>
          </w:tcPr>
          <w:p>
            <w:pPr>
              <w:spacing w:after="0"/>
              <w:rPr>
                <w:sz w:val="20"/>
                <w:szCs w:val="20"/>
                <w:color w:val="auto"/>
              </w:rPr>
            </w:pPr>
            <w:r>
              <w:rPr>
                <w:rFonts w:ascii="Arial" w:cs="Arial" w:eastAsia="Arial" w:hAnsi="Arial"/>
                <w:sz w:val="12"/>
                <w:szCs w:val="12"/>
                <w:color w:val="auto"/>
              </w:rPr>
              <w:t xml:space="preserve">McAfee, LLC </w:t>
            </w:r>
            <w:r>
              <w:rPr>
                <w:rFonts w:ascii="Arial" w:cs="Arial" w:eastAsia="Arial" w:hAnsi="Arial"/>
                <w:sz w:val="9"/>
                <w:szCs w:val="9"/>
                <w:color w:val="auto"/>
              </w:rPr>
              <w:t>(8)</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09/30/2024</w:t>
            </w:r>
          </w:p>
        </w:tc>
        <w:tc>
          <w:tcPr>
            <w:tcW w:w="120" w:type="dxa"/>
            <w:vAlign w:val="bottom"/>
          </w:tcPr>
          <w:p>
            <w:pPr>
              <w:spacing w:after="0"/>
              <w:rPr>
                <w:sz w:val="12"/>
                <w:szCs w:val="12"/>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High Tech Industries</w:t>
            </w:r>
          </w:p>
        </w:tc>
        <w:tc>
          <w:tcPr>
            <w:tcW w:w="960" w:type="dxa"/>
            <w:vAlign w:val="bottom"/>
            <w:gridSpan w:val="2"/>
          </w:tcPr>
          <w:p>
            <w:pPr>
              <w:jc w:val="right"/>
              <w:ind w:right="142"/>
              <w:spacing w:after="0"/>
              <w:rPr>
                <w:sz w:val="20"/>
                <w:szCs w:val="20"/>
                <w:color w:val="auto"/>
              </w:rPr>
            </w:pPr>
            <w:r>
              <w:rPr>
                <w:rFonts w:ascii="Arial" w:cs="Arial" w:eastAsia="Arial" w:hAnsi="Arial"/>
                <w:sz w:val="12"/>
                <w:szCs w:val="12"/>
                <w:color w:val="auto"/>
              </w:rPr>
              <w:t>5.50%</w:t>
            </w:r>
          </w:p>
        </w:tc>
        <w:tc>
          <w:tcPr>
            <w:tcW w:w="680" w:type="dxa"/>
            <w:vAlign w:val="bottom"/>
          </w:tcPr>
          <w:p>
            <w:pPr>
              <w:jc w:val="right"/>
              <w:spacing w:after="0"/>
              <w:rPr>
                <w:sz w:val="20"/>
                <w:szCs w:val="20"/>
                <w:color w:val="auto"/>
              </w:rPr>
            </w:pPr>
            <w:r>
              <w:rPr>
                <w:rFonts w:ascii="Arial" w:cs="Arial" w:eastAsia="Arial" w:hAnsi="Arial"/>
                <w:sz w:val="12"/>
                <w:szCs w:val="12"/>
                <w:color w:val="auto"/>
              </w:rPr>
              <w:t>L+450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7,500,000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7,425,000</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7,533,750</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Mission Critical Electronics, Inc. (Revolver) </w:t>
            </w:r>
            <w:r>
              <w:rPr>
                <w:rFonts w:ascii="Arial" w:cs="Arial" w:eastAsia="Arial" w:hAnsi="Arial"/>
                <w:sz w:val="9"/>
                <w:szCs w:val="9"/>
                <w:color w:val="auto"/>
              </w:rPr>
              <w:t>(8), (9)</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09/28/2021</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9"/>
              </w:rPr>
              <w:t>Capital Equipment</w:t>
            </w:r>
          </w:p>
        </w:tc>
        <w:tc>
          <w:tcPr>
            <w:tcW w:w="960" w:type="dxa"/>
            <w:vAlign w:val="bottom"/>
            <w:gridSpan w:val="2"/>
            <w:shd w:val="clear" w:color="auto" w:fill="CCECFF"/>
          </w:tcPr>
          <w:p>
            <w:pPr>
              <w:jc w:val="right"/>
              <w:ind w:right="242"/>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883,392</w:t>
            </w: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1060" w:type="dxa"/>
            <w:vAlign w:val="bottom"/>
            <w:gridSpan w:val="3"/>
            <w:shd w:val="clear" w:color="auto" w:fill="CCECFF"/>
          </w:tcPr>
          <w:p>
            <w:pPr>
              <w:jc w:val="right"/>
              <w:ind w:right="60"/>
              <w:spacing w:after="0"/>
              <w:rPr>
                <w:sz w:val="20"/>
                <w:szCs w:val="20"/>
                <w:color w:val="auto"/>
              </w:rPr>
            </w:pPr>
            <w:r>
              <w:rPr>
                <w:rFonts w:ascii="Arial" w:cs="Arial" w:eastAsia="Arial" w:hAnsi="Arial"/>
                <w:sz w:val="12"/>
                <w:szCs w:val="12"/>
                <w:color w:val="auto"/>
              </w:rPr>
              <w:t>(3,592)</w:t>
            </w: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Montreign Operating Company, LLC</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01/24/2023</w:t>
            </w:r>
          </w:p>
        </w:tc>
        <w:tc>
          <w:tcPr>
            <w:tcW w:w="120" w:type="dxa"/>
            <w:vAlign w:val="bottom"/>
          </w:tcPr>
          <w:p>
            <w:pPr>
              <w:spacing w:after="0"/>
              <w:rPr>
                <w:sz w:val="12"/>
                <w:szCs w:val="12"/>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2"/>
                <w:szCs w:val="12"/>
                <w:color w:val="auto"/>
                <w:w w:val="88"/>
              </w:rPr>
              <w:t>Hotel, Gaming and Leisure</w:t>
            </w:r>
          </w:p>
        </w:tc>
        <w:tc>
          <w:tcPr>
            <w:tcW w:w="960" w:type="dxa"/>
            <w:vAlign w:val="bottom"/>
            <w:gridSpan w:val="2"/>
          </w:tcPr>
          <w:p>
            <w:pPr>
              <w:jc w:val="right"/>
              <w:ind w:right="142"/>
              <w:spacing w:after="0"/>
              <w:rPr>
                <w:sz w:val="20"/>
                <w:szCs w:val="20"/>
                <w:color w:val="auto"/>
              </w:rPr>
            </w:pPr>
            <w:r>
              <w:rPr>
                <w:rFonts w:ascii="Arial" w:cs="Arial" w:eastAsia="Arial" w:hAnsi="Arial"/>
                <w:sz w:val="12"/>
                <w:szCs w:val="12"/>
                <w:color w:val="auto"/>
              </w:rPr>
              <w:t>9.49%</w:t>
            </w:r>
          </w:p>
        </w:tc>
        <w:tc>
          <w:tcPr>
            <w:tcW w:w="680" w:type="dxa"/>
            <w:vAlign w:val="bottom"/>
          </w:tcPr>
          <w:p>
            <w:pPr>
              <w:jc w:val="right"/>
              <w:spacing w:after="0"/>
              <w:rPr>
                <w:sz w:val="20"/>
                <w:szCs w:val="20"/>
                <w:color w:val="auto"/>
              </w:rPr>
            </w:pPr>
            <w:r>
              <w:rPr>
                <w:rFonts w:ascii="Arial" w:cs="Arial" w:eastAsia="Arial" w:hAnsi="Arial"/>
                <w:sz w:val="12"/>
                <w:szCs w:val="12"/>
                <w:color w:val="auto"/>
              </w:rPr>
              <w:t>L+825</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26,294,872</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26,729,488</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26,513,908</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Morphe, LLC</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02/10/2023</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8"/>
              </w:rPr>
              <w:t>Consumer Goods: Non-Durable</w:t>
            </w:r>
          </w:p>
        </w:tc>
        <w:tc>
          <w:tcPr>
            <w:tcW w:w="960" w:type="dxa"/>
            <w:vAlign w:val="bottom"/>
            <w:gridSpan w:val="2"/>
            <w:shd w:val="clear" w:color="auto" w:fill="CCECFF"/>
          </w:tcPr>
          <w:p>
            <w:pPr>
              <w:jc w:val="right"/>
              <w:ind w:right="142"/>
              <w:spacing w:after="0"/>
              <w:rPr>
                <w:sz w:val="20"/>
                <w:szCs w:val="20"/>
                <w:color w:val="auto"/>
              </w:rPr>
            </w:pPr>
            <w:r>
              <w:rPr>
                <w:rFonts w:ascii="Arial" w:cs="Arial" w:eastAsia="Arial" w:hAnsi="Arial"/>
                <w:sz w:val="12"/>
                <w:szCs w:val="12"/>
                <w:color w:val="auto"/>
              </w:rPr>
              <w:t>7.33%</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L+600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14,625,000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14,241,842</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14,405,625</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New Trident HoldCorp, Inc.</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07/31/2019</w:t>
            </w:r>
          </w:p>
        </w:tc>
        <w:tc>
          <w:tcPr>
            <w:tcW w:w="120" w:type="dxa"/>
            <w:vAlign w:val="bottom"/>
          </w:tcPr>
          <w:p>
            <w:pPr>
              <w:spacing w:after="0"/>
              <w:rPr>
                <w:sz w:val="12"/>
                <w:szCs w:val="12"/>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tcPr>
          <w:p>
            <w:pPr>
              <w:jc w:val="right"/>
              <w:ind w:right="142"/>
              <w:spacing w:after="0"/>
              <w:rPr>
                <w:sz w:val="20"/>
                <w:szCs w:val="20"/>
                <w:color w:val="auto"/>
              </w:rPr>
            </w:pPr>
            <w:r>
              <w:rPr>
                <w:rFonts w:ascii="Arial" w:cs="Arial" w:eastAsia="Arial" w:hAnsi="Arial"/>
                <w:sz w:val="12"/>
                <w:szCs w:val="12"/>
                <w:color w:val="auto"/>
              </w:rPr>
              <w:t>7.08%</w:t>
            </w:r>
          </w:p>
        </w:tc>
        <w:tc>
          <w:tcPr>
            <w:tcW w:w="680" w:type="dxa"/>
            <w:vAlign w:val="bottom"/>
          </w:tcPr>
          <w:p>
            <w:pPr>
              <w:jc w:val="right"/>
              <w:spacing w:after="0"/>
              <w:rPr>
                <w:sz w:val="20"/>
                <w:szCs w:val="20"/>
                <w:color w:val="auto"/>
              </w:rPr>
            </w:pPr>
            <w:r>
              <w:rPr>
                <w:rFonts w:ascii="Arial" w:cs="Arial" w:eastAsia="Arial" w:hAnsi="Arial"/>
                <w:sz w:val="12"/>
                <w:szCs w:val="12"/>
                <w:color w:val="auto"/>
              </w:rPr>
              <w:t>L+575</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8,717,647</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8,682,164</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7,845,882</w:t>
            </w:r>
          </w:p>
        </w:tc>
        <w:tc>
          <w:tcPr>
            <w:tcW w:w="100" w:type="dxa"/>
            <w:vAlign w:val="bottom"/>
          </w:tcPr>
          <w:p>
            <w:pPr>
              <w:spacing w:after="0"/>
              <w:rPr>
                <w:sz w:val="12"/>
                <w:szCs w:val="12"/>
                <w:color w:val="auto"/>
              </w:rPr>
            </w:pPr>
          </w:p>
        </w:tc>
      </w:tr>
      <w:tr>
        <w:trPr>
          <w:trHeight w:val="149"/>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One Sixty Over Ninety, LLC</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03/03/2022</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90"/>
              </w:rPr>
              <w:t>Media: Advertising, Printing and Publishing</w:t>
            </w:r>
          </w:p>
        </w:tc>
        <w:tc>
          <w:tcPr>
            <w:tcW w:w="960" w:type="dxa"/>
            <w:vAlign w:val="bottom"/>
            <w:gridSpan w:val="2"/>
            <w:shd w:val="clear" w:color="auto" w:fill="CCECFF"/>
          </w:tcPr>
          <w:p>
            <w:pPr>
              <w:jc w:val="right"/>
              <w:ind w:right="142"/>
              <w:spacing w:after="0"/>
              <w:rPr>
                <w:sz w:val="20"/>
                <w:szCs w:val="20"/>
                <w:color w:val="auto"/>
              </w:rPr>
            </w:pPr>
            <w:r>
              <w:rPr>
                <w:rFonts w:ascii="Arial" w:cs="Arial" w:eastAsia="Arial" w:hAnsi="Arial"/>
                <w:sz w:val="12"/>
                <w:szCs w:val="12"/>
                <w:color w:val="auto"/>
              </w:rPr>
              <w:t>10.52%</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L+918</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2,750,000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2,699,796</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2,750,000</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 xml:space="preserve">Pathway Partners Vet Management Company LLC </w:t>
            </w:r>
            <w:r>
              <w:rPr>
                <w:rFonts w:ascii="Arial" w:cs="Arial" w:eastAsia="Arial" w:hAnsi="Arial"/>
                <w:sz w:val="9"/>
                <w:szCs w:val="9"/>
                <w:color w:val="auto"/>
              </w:rPr>
              <w:t>(8)</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08/19/2022</w:t>
            </w:r>
          </w:p>
        </w:tc>
        <w:tc>
          <w:tcPr>
            <w:tcW w:w="120" w:type="dxa"/>
            <w:vAlign w:val="bottom"/>
          </w:tcPr>
          <w:p>
            <w:pPr>
              <w:spacing w:after="0"/>
              <w:rPr>
                <w:sz w:val="12"/>
                <w:szCs w:val="12"/>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tcPr>
          <w:p>
            <w:pPr>
              <w:jc w:val="right"/>
              <w:ind w:right="142"/>
              <w:spacing w:after="0"/>
              <w:rPr>
                <w:sz w:val="20"/>
                <w:szCs w:val="20"/>
                <w:color w:val="auto"/>
              </w:rPr>
            </w:pPr>
            <w:r>
              <w:rPr>
                <w:rFonts w:ascii="Arial" w:cs="Arial" w:eastAsia="Arial" w:hAnsi="Arial"/>
                <w:sz w:val="12"/>
                <w:szCs w:val="12"/>
                <w:color w:val="auto"/>
              </w:rPr>
              <w:t>6.24%</w:t>
            </w:r>
          </w:p>
        </w:tc>
        <w:tc>
          <w:tcPr>
            <w:tcW w:w="680" w:type="dxa"/>
            <w:vAlign w:val="bottom"/>
          </w:tcPr>
          <w:p>
            <w:pPr>
              <w:jc w:val="right"/>
              <w:spacing w:after="0"/>
              <w:rPr>
                <w:sz w:val="20"/>
                <w:szCs w:val="20"/>
                <w:color w:val="auto"/>
              </w:rPr>
            </w:pPr>
            <w:r>
              <w:rPr>
                <w:rFonts w:ascii="Arial" w:cs="Arial" w:eastAsia="Arial" w:hAnsi="Arial"/>
                <w:sz w:val="12"/>
                <w:szCs w:val="12"/>
                <w:color w:val="auto"/>
              </w:rPr>
              <w:t>L+500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19,927,985</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19,874,203</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19,927,985</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Profile Products LLC</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01/31/2023</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Environmental Industries</w:t>
            </w:r>
          </w:p>
        </w:tc>
        <w:tc>
          <w:tcPr>
            <w:tcW w:w="960" w:type="dxa"/>
            <w:vAlign w:val="bottom"/>
            <w:gridSpan w:val="2"/>
            <w:shd w:val="clear" w:color="auto" w:fill="CCECFF"/>
          </w:tcPr>
          <w:p>
            <w:pPr>
              <w:jc w:val="right"/>
              <w:ind w:right="142"/>
              <w:spacing w:after="0"/>
              <w:rPr>
                <w:sz w:val="20"/>
                <w:szCs w:val="20"/>
                <w:color w:val="auto"/>
              </w:rPr>
            </w:pPr>
            <w:r>
              <w:rPr>
                <w:rFonts w:ascii="Arial" w:cs="Arial" w:eastAsia="Arial" w:hAnsi="Arial"/>
                <w:sz w:val="12"/>
                <w:szCs w:val="12"/>
                <w:color w:val="auto"/>
              </w:rPr>
              <w:t>6.33%</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L+500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10,135,136</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10,045,209</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10,135,136</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 xml:space="preserve">Profile Products LLC </w:t>
            </w:r>
            <w:r>
              <w:rPr>
                <w:rFonts w:ascii="Arial" w:cs="Arial" w:eastAsia="Arial" w:hAnsi="Arial"/>
                <w:sz w:val="9"/>
                <w:szCs w:val="9"/>
                <w:color w:val="auto"/>
              </w:rPr>
              <w:t>(8), (9)</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01/31/2019</w:t>
            </w:r>
          </w:p>
        </w:tc>
        <w:tc>
          <w:tcPr>
            <w:tcW w:w="120" w:type="dxa"/>
            <w:vAlign w:val="bottom"/>
          </w:tcPr>
          <w:p>
            <w:pPr>
              <w:spacing w:after="0"/>
              <w:rPr>
                <w:sz w:val="12"/>
                <w:szCs w:val="12"/>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Environmental Industries</w:t>
            </w:r>
          </w:p>
        </w:tc>
        <w:tc>
          <w:tcPr>
            <w:tcW w:w="960" w:type="dxa"/>
            <w:vAlign w:val="bottom"/>
            <w:gridSpan w:val="2"/>
          </w:tcPr>
          <w:p>
            <w:pPr>
              <w:jc w:val="right"/>
              <w:ind w:right="242"/>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573,770</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Profile Products LLC (Revolver) </w:t>
            </w:r>
            <w:r>
              <w:rPr>
                <w:rFonts w:ascii="Arial" w:cs="Arial" w:eastAsia="Arial" w:hAnsi="Arial"/>
                <w:sz w:val="9"/>
                <w:szCs w:val="9"/>
                <w:color w:val="auto"/>
              </w:rPr>
              <w:t>(8), (9)</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01/31/2022</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Environmental Industries</w:t>
            </w:r>
          </w:p>
        </w:tc>
        <w:tc>
          <w:tcPr>
            <w:tcW w:w="960" w:type="dxa"/>
            <w:vAlign w:val="bottom"/>
            <w:gridSpan w:val="2"/>
            <w:shd w:val="clear" w:color="auto" w:fill="CCECFF"/>
          </w:tcPr>
          <w:p>
            <w:pPr>
              <w:jc w:val="right"/>
              <w:ind w:right="242"/>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2,459,016</w:t>
            </w: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PT Network, LLC</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11/30/2021</w:t>
            </w:r>
          </w:p>
        </w:tc>
        <w:tc>
          <w:tcPr>
            <w:tcW w:w="120" w:type="dxa"/>
            <w:vAlign w:val="bottom"/>
          </w:tcPr>
          <w:p>
            <w:pPr>
              <w:spacing w:after="0"/>
              <w:rPr>
                <w:sz w:val="12"/>
                <w:szCs w:val="12"/>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tcPr>
          <w:p>
            <w:pPr>
              <w:jc w:val="right"/>
              <w:ind w:right="142"/>
              <w:spacing w:after="0"/>
              <w:rPr>
                <w:sz w:val="20"/>
                <w:szCs w:val="20"/>
                <w:color w:val="auto"/>
              </w:rPr>
            </w:pPr>
            <w:r>
              <w:rPr>
                <w:rFonts w:ascii="Arial" w:cs="Arial" w:eastAsia="Arial" w:hAnsi="Arial"/>
                <w:sz w:val="12"/>
                <w:szCs w:val="12"/>
                <w:color w:val="auto"/>
              </w:rPr>
              <w:t>7.82%</w:t>
            </w:r>
          </w:p>
        </w:tc>
        <w:tc>
          <w:tcPr>
            <w:tcW w:w="680" w:type="dxa"/>
            <w:vAlign w:val="bottom"/>
          </w:tcPr>
          <w:p>
            <w:pPr>
              <w:jc w:val="right"/>
              <w:spacing w:after="0"/>
              <w:rPr>
                <w:sz w:val="20"/>
                <w:szCs w:val="20"/>
                <w:color w:val="auto"/>
              </w:rPr>
            </w:pPr>
            <w:r>
              <w:rPr>
                <w:rFonts w:ascii="Arial" w:cs="Arial" w:eastAsia="Arial" w:hAnsi="Arial"/>
                <w:sz w:val="12"/>
                <w:szCs w:val="12"/>
                <w:color w:val="auto"/>
              </w:rPr>
              <w:t>L+650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8,450,400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8,383,771</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8,450,400</w:t>
            </w:r>
          </w:p>
        </w:tc>
        <w:tc>
          <w:tcPr>
            <w:tcW w:w="100" w:type="dxa"/>
            <w:vAlign w:val="bottom"/>
          </w:tcPr>
          <w:p>
            <w:pPr>
              <w:spacing w:after="0"/>
              <w:rPr>
                <w:sz w:val="12"/>
                <w:szCs w:val="12"/>
                <w:color w:val="auto"/>
              </w:rPr>
            </w:pPr>
          </w:p>
        </w:tc>
      </w:tr>
      <w:tr>
        <w:trPr>
          <w:trHeight w:val="149"/>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PT Network, LLC </w:t>
            </w:r>
            <w:r>
              <w:rPr>
                <w:rFonts w:ascii="Arial" w:cs="Arial" w:eastAsia="Arial" w:hAnsi="Arial"/>
                <w:sz w:val="9"/>
                <w:szCs w:val="9"/>
                <w:color w:val="auto"/>
              </w:rPr>
              <w:t>(8), (9)</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11/30/2021</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shd w:val="clear" w:color="auto" w:fill="CCECFF"/>
          </w:tcPr>
          <w:p>
            <w:pPr>
              <w:jc w:val="right"/>
              <w:ind w:right="242"/>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2,291,100</w:t>
            </w: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Quick Weight Loss Centers, LLC</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08/23/2021</w:t>
            </w:r>
          </w:p>
        </w:tc>
        <w:tc>
          <w:tcPr>
            <w:tcW w:w="120" w:type="dxa"/>
            <w:vAlign w:val="bottom"/>
          </w:tcPr>
          <w:p>
            <w:pPr>
              <w:spacing w:after="0"/>
              <w:rPr>
                <w:sz w:val="12"/>
                <w:szCs w:val="12"/>
                <w:color w:val="auto"/>
              </w:rPr>
            </w:pPr>
          </w:p>
        </w:tc>
        <w:tc>
          <w:tcPr>
            <w:tcW w:w="2800" w:type="dxa"/>
            <w:vAlign w:val="bottom"/>
            <w:gridSpan w:val="2"/>
          </w:tcPr>
          <w:p>
            <w:pPr>
              <w:jc w:val="center"/>
              <w:ind w:right="12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tcPr>
          <w:p>
            <w:pPr>
              <w:jc w:val="right"/>
              <w:ind w:right="142"/>
              <w:spacing w:after="0"/>
              <w:rPr>
                <w:sz w:val="20"/>
                <w:szCs w:val="20"/>
                <w:color w:val="auto"/>
              </w:rPr>
            </w:pPr>
            <w:r>
              <w:rPr>
                <w:rFonts w:ascii="Arial" w:cs="Arial" w:eastAsia="Arial" w:hAnsi="Arial"/>
                <w:sz w:val="12"/>
                <w:szCs w:val="12"/>
                <w:color w:val="auto"/>
              </w:rPr>
              <w:t>6.02%</w:t>
            </w:r>
          </w:p>
        </w:tc>
        <w:tc>
          <w:tcPr>
            <w:tcW w:w="680" w:type="dxa"/>
            <w:vAlign w:val="bottom"/>
          </w:tcPr>
          <w:p>
            <w:pPr>
              <w:jc w:val="right"/>
              <w:spacing w:after="0"/>
              <w:rPr>
                <w:sz w:val="20"/>
                <w:szCs w:val="20"/>
                <w:color w:val="auto"/>
              </w:rPr>
            </w:pPr>
            <w:r>
              <w:rPr>
                <w:rFonts w:ascii="Arial" w:cs="Arial" w:eastAsia="Arial" w:hAnsi="Arial"/>
                <w:sz w:val="12"/>
                <w:szCs w:val="12"/>
                <w:color w:val="auto"/>
              </w:rPr>
              <w:t>L+475</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9,625,000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9,509,035</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9,288,125</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Salient CRGT Inc.</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02/28/2022</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High Tech Industries</w:t>
            </w:r>
          </w:p>
        </w:tc>
        <w:tc>
          <w:tcPr>
            <w:tcW w:w="960" w:type="dxa"/>
            <w:vAlign w:val="bottom"/>
            <w:gridSpan w:val="2"/>
            <w:shd w:val="clear" w:color="auto" w:fill="CCECFF"/>
          </w:tcPr>
          <w:p>
            <w:pPr>
              <w:jc w:val="right"/>
              <w:ind w:right="142"/>
              <w:spacing w:after="0"/>
              <w:rPr>
                <w:sz w:val="20"/>
                <w:szCs w:val="20"/>
                <w:color w:val="auto"/>
              </w:rPr>
            </w:pPr>
            <w:r>
              <w:rPr>
                <w:rFonts w:ascii="Arial" w:cs="Arial" w:eastAsia="Arial" w:hAnsi="Arial"/>
                <w:sz w:val="12"/>
                <w:szCs w:val="12"/>
                <w:color w:val="auto"/>
              </w:rPr>
              <w:t>6.99%</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L+575</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19,654,762</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19,296,231</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19,753,036</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 xml:space="preserve">Snak Club, LLC (Revolver) </w:t>
            </w:r>
            <w:r>
              <w:rPr>
                <w:rFonts w:ascii="Arial" w:cs="Arial" w:eastAsia="Arial" w:hAnsi="Arial"/>
                <w:sz w:val="9"/>
                <w:szCs w:val="9"/>
                <w:color w:val="auto"/>
              </w:rPr>
              <w:t>(8)</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07/19/2021</w:t>
            </w:r>
          </w:p>
        </w:tc>
        <w:tc>
          <w:tcPr>
            <w:tcW w:w="120" w:type="dxa"/>
            <w:vAlign w:val="bottom"/>
          </w:tcPr>
          <w:p>
            <w:pPr>
              <w:spacing w:after="0"/>
              <w:rPr>
                <w:sz w:val="12"/>
                <w:szCs w:val="12"/>
                <w:color w:val="auto"/>
              </w:rPr>
            </w:pPr>
          </w:p>
        </w:tc>
        <w:tc>
          <w:tcPr>
            <w:tcW w:w="2800" w:type="dxa"/>
            <w:vAlign w:val="bottom"/>
            <w:gridSpan w:val="2"/>
          </w:tcPr>
          <w:p>
            <w:pPr>
              <w:jc w:val="center"/>
              <w:ind w:right="12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tcPr>
          <w:p>
            <w:pPr>
              <w:jc w:val="right"/>
              <w:ind w:right="142"/>
              <w:spacing w:after="0"/>
              <w:rPr>
                <w:sz w:val="20"/>
                <w:szCs w:val="20"/>
                <w:color w:val="auto"/>
              </w:rPr>
            </w:pPr>
            <w:r>
              <w:rPr>
                <w:rFonts w:ascii="Arial" w:cs="Arial" w:eastAsia="Arial" w:hAnsi="Arial"/>
                <w:sz w:val="12"/>
                <w:szCs w:val="12"/>
                <w:color w:val="auto"/>
              </w:rPr>
              <w:t>6.24%</w:t>
            </w:r>
          </w:p>
        </w:tc>
        <w:tc>
          <w:tcPr>
            <w:tcW w:w="680" w:type="dxa"/>
            <w:vAlign w:val="bottom"/>
          </w:tcPr>
          <w:p>
            <w:pPr>
              <w:jc w:val="right"/>
              <w:spacing w:after="0"/>
              <w:rPr>
                <w:sz w:val="20"/>
                <w:szCs w:val="20"/>
                <w:color w:val="auto"/>
              </w:rPr>
            </w:pPr>
            <w:r>
              <w:rPr>
                <w:rFonts w:ascii="Arial" w:cs="Arial" w:eastAsia="Arial" w:hAnsi="Arial"/>
                <w:sz w:val="12"/>
                <w:szCs w:val="12"/>
                <w:color w:val="auto"/>
              </w:rPr>
              <w:t>L+500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416,667</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416,667</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416,667</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Snak Club, LLC (Revolver) </w:t>
            </w:r>
            <w:r>
              <w:rPr>
                <w:rFonts w:ascii="Arial" w:cs="Arial" w:eastAsia="Arial" w:hAnsi="Arial"/>
                <w:sz w:val="9"/>
                <w:szCs w:val="9"/>
                <w:color w:val="auto"/>
              </w:rPr>
              <w:t>(8), (9)</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07/19/2021</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shd w:val="clear" w:color="auto" w:fill="CCECFF"/>
          </w:tcPr>
          <w:p>
            <w:pPr>
              <w:jc w:val="right"/>
              <w:ind w:right="242"/>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83,333</w:t>
            </w: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9"/>
        </w:trPr>
        <w:tc>
          <w:tcPr>
            <w:tcW w:w="3020" w:type="dxa"/>
            <w:vAlign w:val="bottom"/>
          </w:tcPr>
          <w:p>
            <w:pPr>
              <w:spacing w:after="0"/>
              <w:rPr>
                <w:sz w:val="20"/>
                <w:szCs w:val="20"/>
                <w:color w:val="auto"/>
              </w:rPr>
            </w:pPr>
            <w:r>
              <w:rPr>
                <w:rFonts w:ascii="Arial" w:cs="Arial" w:eastAsia="Arial" w:hAnsi="Arial"/>
                <w:sz w:val="12"/>
                <w:szCs w:val="12"/>
                <w:color w:val="auto"/>
              </w:rPr>
              <w:t>Softvision, LLC</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05/21/2021</w:t>
            </w:r>
          </w:p>
        </w:tc>
        <w:tc>
          <w:tcPr>
            <w:tcW w:w="120" w:type="dxa"/>
            <w:vAlign w:val="bottom"/>
          </w:tcPr>
          <w:p>
            <w:pPr>
              <w:spacing w:after="0"/>
              <w:rPr>
                <w:sz w:val="12"/>
                <w:szCs w:val="12"/>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High Tech Industries</w:t>
            </w:r>
          </w:p>
        </w:tc>
        <w:tc>
          <w:tcPr>
            <w:tcW w:w="960" w:type="dxa"/>
            <w:vAlign w:val="bottom"/>
            <w:gridSpan w:val="2"/>
          </w:tcPr>
          <w:p>
            <w:pPr>
              <w:jc w:val="right"/>
              <w:ind w:right="142"/>
              <w:spacing w:after="0"/>
              <w:rPr>
                <w:sz w:val="20"/>
                <w:szCs w:val="20"/>
                <w:color w:val="auto"/>
              </w:rPr>
            </w:pPr>
            <w:r>
              <w:rPr>
                <w:rFonts w:ascii="Arial" w:cs="Arial" w:eastAsia="Arial" w:hAnsi="Arial"/>
                <w:sz w:val="12"/>
                <w:szCs w:val="12"/>
                <w:color w:val="auto"/>
              </w:rPr>
              <w:t>6.74%</w:t>
            </w:r>
          </w:p>
        </w:tc>
        <w:tc>
          <w:tcPr>
            <w:tcW w:w="680" w:type="dxa"/>
            <w:vAlign w:val="bottom"/>
          </w:tcPr>
          <w:p>
            <w:pPr>
              <w:jc w:val="right"/>
              <w:spacing w:after="0"/>
              <w:rPr>
                <w:sz w:val="20"/>
                <w:szCs w:val="20"/>
                <w:color w:val="auto"/>
              </w:rPr>
            </w:pPr>
            <w:r>
              <w:rPr>
                <w:rFonts w:ascii="Arial" w:cs="Arial" w:eastAsia="Arial" w:hAnsi="Arial"/>
                <w:sz w:val="12"/>
                <w:szCs w:val="12"/>
                <w:color w:val="auto"/>
              </w:rPr>
              <w:t>L+550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8,747,271</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8,678,587</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8,747,271</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Sundial Group Holdings LLC</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08/15/2024</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8"/>
              </w:rPr>
              <w:t>Consumer Goods: Non-Durable</w:t>
            </w:r>
          </w:p>
        </w:tc>
        <w:tc>
          <w:tcPr>
            <w:tcW w:w="960" w:type="dxa"/>
            <w:vAlign w:val="bottom"/>
            <w:gridSpan w:val="2"/>
            <w:shd w:val="clear" w:color="auto" w:fill="CCECFF"/>
          </w:tcPr>
          <w:p>
            <w:pPr>
              <w:jc w:val="right"/>
              <w:ind w:right="142"/>
              <w:spacing w:after="0"/>
              <w:rPr>
                <w:sz w:val="20"/>
                <w:szCs w:val="20"/>
                <w:color w:val="auto"/>
              </w:rPr>
            </w:pPr>
            <w:r>
              <w:rPr>
                <w:rFonts w:ascii="Arial" w:cs="Arial" w:eastAsia="Arial" w:hAnsi="Arial"/>
                <w:sz w:val="12"/>
                <w:szCs w:val="12"/>
                <w:color w:val="auto"/>
              </w:rPr>
              <w:t>5.99%</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L+475</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10,000,000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9,851,797</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9,850,000</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Survey Sampling International, LLC</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12/16/2020</w:t>
            </w:r>
          </w:p>
        </w:tc>
        <w:tc>
          <w:tcPr>
            <w:tcW w:w="120" w:type="dxa"/>
            <w:vAlign w:val="bottom"/>
          </w:tcPr>
          <w:p>
            <w:pPr>
              <w:spacing w:after="0"/>
              <w:rPr>
                <w:sz w:val="12"/>
                <w:szCs w:val="12"/>
                <w:color w:val="auto"/>
              </w:rPr>
            </w:pPr>
          </w:p>
        </w:tc>
        <w:tc>
          <w:tcPr>
            <w:tcW w:w="2800" w:type="dxa"/>
            <w:vAlign w:val="bottom"/>
            <w:gridSpan w:val="2"/>
          </w:tcPr>
          <w:p>
            <w:pPr>
              <w:jc w:val="center"/>
              <w:ind w:right="120"/>
              <w:spacing w:after="0"/>
              <w:rPr>
                <w:sz w:val="20"/>
                <w:szCs w:val="20"/>
                <w:color w:val="auto"/>
              </w:rPr>
            </w:pPr>
            <w:r>
              <w:rPr>
                <w:rFonts w:ascii="Arial" w:cs="Arial" w:eastAsia="Arial" w:hAnsi="Arial"/>
                <w:sz w:val="12"/>
                <w:szCs w:val="12"/>
                <w:color w:val="auto"/>
                <w:w w:val="85"/>
              </w:rPr>
              <w:t>Business Services</w:t>
            </w:r>
          </w:p>
        </w:tc>
        <w:tc>
          <w:tcPr>
            <w:tcW w:w="960" w:type="dxa"/>
            <w:vAlign w:val="bottom"/>
            <w:gridSpan w:val="2"/>
          </w:tcPr>
          <w:p>
            <w:pPr>
              <w:jc w:val="right"/>
              <w:ind w:right="142"/>
              <w:spacing w:after="0"/>
              <w:rPr>
                <w:sz w:val="20"/>
                <w:szCs w:val="20"/>
                <w:color w:val="auto"/>
              </w:rPr>
            </w:pPr>
            <w:r>
              <w:rPr>
                <w:rFonts w:ascii="Arial" w:cs="Arial" w:eastAsia="Arial" w:hAnsi="Arial"/>
                <w:sz w:val="12"/>
                <w:szCs w:val="12"/>
                <w:color w:val="auto"/>
              </w:rPr>
              <w:t>6.27%</w:t>
            </w:r>
          </w:p>
        </w:tc>
        <w:tc>
          <w:tcPr>
            <w:tcW w:w="680" w:type="dxa"/>
            <w:vAlign w:val="bottom"/>
          </w:tcPr>
          <w:p>
            <w:pPr>
              <w:jc w:val="right"/>
              <w:spacing w:after="0"/>
              <w:rPr>
                <w:sz w:val="20"/>
                <w:szCs w:val="20"/>
                <w:color w:val="auto"/>
              </w:rPr>
            </w:pPr>
            <w:r>
              <w:rPr>
                <w:rFonts w:ascii="Arial" w:cs="Arial" w:eastAsia="Arial" w:hAnsi="Arial"/>
                <w:sz w:val="12"/>
                <w:szCs w:val="12"/>
                <w:color w:val="auto"/>
              </w:rPr>
              <w:t>L+500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5,394,946</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5,366,833</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5,287,047</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TeleGuam Holdings, LLC</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07/25/2023</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Telecommunications</w:t>
            </w:r>
          </w:p>
        </w:tc>
        <w:tc>
          <w:tcPr>
            <w:tcW w:w="960" w:type="dxa"/>
            <w:vAlign w:val="bottom"/>
            <w:gridSpan w:val="2"/>
            <w:shd w:val="clear" w:color="auto" w:fill="CCECFF"/>
          </w:tcPr>
          <w:p>
            <w:pPr>
              <w:jc w:val="right"/>
              <w:ind w:right="142"/>
              <w:spacing w:after="0"/>
              <w:rPr>
                <w:sz w:val="20"/>
                <w:szCs w:val="20"/>
                <w:color w:val="auto"/>
              </w:rPr>
            </w:pPr>
            <w:r>
              <w:rPr>
                <w:rFonts w:ascii="Arial" w:cs="Arial" w:eastAsia="Arial" w:hAnsi="Arial"/>
                <w:sz w:val="12"/>
                <w:szCs w:val="12"/>
                <w:color w:val="auto"/>
              </w:rPr>
              <w:t>6.24%</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L+500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8,000,000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7,882,265</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8,000,000</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Tensar Corporation</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07/09/2021</w:t>
            </w:r>
          </w:p>
        </w:tc>
        <w:tc>
          <w:tcPr>
            <w:tcW w:w="120" w:type="dxa"/>
            <w:vAlign w:val="bottom"/>
          </w:tcPr>
          <w:p>
            <w:pPr>
              <w:spacing w:after="0"/>
              <w:rPr>
                <w:sz w:val="12"/>
                <w:szCs w:val="12"/>
                <w:color w:val="auto"/>
              </w:rPr>
            </w:pPr>
          </w:p>
        </w:tc>
        <w:tc>
          <w:tcPr>
            <w:tcW w:w="2800" w:type="dxa"/>
            <w:vAlign w:val="bottom"/>
            <w:gridSpan w:val="2"/>
          </w:tcPr>
          <w:p>
            <w:pPr>
              <w:jc w:val="center"/>
              <w:ind w:right="120"/>
              <w:spacing w:after="0"/>
              <w:rPr>
                <w:sz w:val="20"/>
                <w:szCs w:val="20"/>
                <w:color w:val="auto"/>
              </w:rPr>
            </w:pPr>
            <w:r>
              <w:rPr>
                <w:rFonts w:ascii="Arial" w:cs="Arial" w:eastAsia="Arial" w:hAnsi="Arial"/>
                <w:sz w:val="12"/>
                <w:szCs w:val="12"/>
                <w:color w:val="auto"/>
                <w:w w:val="90"/>
              </w:rPr>
              <w:t>Construction and Building</w:t>
            </w:r>
          </w:p>
        </w:tc>
        <w:tc>
          <w:tcPr>
            <w:tcW w:w="960" w:type="dxa"/>
            <w:vAlign w:val="bottom"/>
            <w:gridSpan w:val="2"/>
          </w:tcPr>
          <w:p>
            <w:pPr>
              <w:jc w:val="right"/>
              <w:ind w:right="142"/>
              <w:spacing w:after="0"/>
              <w:rPr>
                <w:sz w:val="20"/>
                <w:szCs w:val="20"/>
                <w:color w:val="auto"/>
              </w:rPr>
            </w:pPr>
            <w:r>
              <w:rPr>
                <w:rFonts w:ascii="Arial" w:cs="Arial" w:eastAsia="Arial" w:hAnsi="Arial"/>
                <w:sz w:val="12"/>
                <w:szCs w:val="12"/>
                <w:color w:val="auto"/>
              </w:rPr>
              <w:t>6.08%</w:t>
            </w:r>
          </w:p>
        </w:tc>
        <w:tc>
          <w:tcPr>
            <w:tcW w:w="680" w:type="dxa"/>
            <w:vAlign w:val="bottom"/>
          </w:tcPr>
          <w:p>
            <w:pPr>
              <w:jc w:val="right"/>
              <w:spacing w:after="0"/>
              <w:rPr>
                <w:sz w:val="20"/>
                <w:szCs w:val="20"/>
                <w:color w:val="auto"/>
              </w:rPr>
            </w:pPr>
            <w:r>
              <w:rPr>
                <w:rFonts w:ascii="Arial" w:cs="Arial" w:eastAsia="Arial" w:hAnsi="Arial"/>
                <w:sz w:val="12"/>
                <w:szCs w:val="12"/>
                <w:color w:val="auto"/>
              </w:rPr>
              <w:t>L+475</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4,631,234</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4,603,617</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4,295,470</w:t>
            </w:r>
          </w:p>
        </w:tc>
        <w:tc>
          <w:tcPr>
            <w:tcW w:w="100" w:type="dxa"/>
            <w:vAlign w:val="bottom"/>
          </w:tcPr>
          <w:p>
            <w:pPr>
              <w:spacing w:after="0"/>
              <w:rPr>
                <w:sz w:val="12"/>
                <w:szCs w:val="12"/>
                <w:color w:val="auto"/>
              </w:rPr>
            </w:pPr>
          </w:p>
        </w:tc>
      </w:tr>
      <w:tr>
        <w:trPr>
          <w:trHeight w:val="149"/>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The Infosoft Group, LLC</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12/02/2021</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9"/>
              </w:rPr>
              <w:t>Media: Broadcasting and Subscription</w:t>
            </w:r>
          </w:p>
        </w:tc>
        <w:tc>
          <w:tcPr>
            <w:tcW w:w="960" w:type="dxa"/>
            <w:vAlign w:val="bottom"/>
            <w:gridSpan w:val="2"/>
            <w:shd w:val="clear" w:color="auto" w:fill="CCECFF"/>
          </w:tcPr>
          <w:p>
            <w:pPr>
              <w:jc w:val="right"/>
              <w:ind w:right="142"/>
              <w:spacing w:after="0"/>
              <w:rPr>
                <w:sz w:val="20"/>
                <w:szCs w:val="20"/>
                <w:color w:val="auto"/>
              </w:rPr>
            </w:pPr>
            <w:r>
              <w:rPr>
                <w:rFonts w:ascii="Arial" w:cs="Arial" w:eastAsia="Arial" w:hAnsi="Arial"/>
                <w:sz w:val="12"/>
                <w:szCs w:val="12"/>
                <w:color w:val="auto"/>
              </w:rPr>
              <w:t>6.58%</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L+525</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8,210,074</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8,139,730</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8,210,074</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 xml:space="preserve">The Original Cakerie, Co. </w:t>
            </w:r>
            <w:r>
              <w:rPr>
                <w:rFonts w:ascii="Arial" w:cs="Arial" w:eastAsia="Arial" w:hAnsi="Arial"/>
                <w:sz w:val="9"/>
                <w:szCs w:val="9"/>
                <w:color w:val="auto"/>
              </w:rPr>
              <w:t>(6), (10)</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07/20/2021</w:t>
            </w:r>
          </w:p>
        </w:tc>
        <w:tc>
          <w:tcPr>
            <w:tcW w:w="120" w:type="dxa"/>
            <w:vAlign w:val="bottom"/>
          </w:tcPr>
          <w:p>
            <w:pPr>
              <w:spacing w:after="0"/>
              <w:rPr>
                <w:sz w:val="12"/>
                <w:szCs w:val="12"/>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2"/>
                <w:szCs w:val="12"/>
                <w:color w:val="auto"/>
                <w:w w:val="88"/>
              </w:rPr>
              <w:t>Consumer Goods: Non-Durable</w:t>
            </w:r>
          </w:p>
        </w:tc>
        <w:tc>
          <w:tcPr>
            <w:tcW w:w="960" w:type="dxa"/>
            <w:vAlign w:val="bottom"/>
            <w:gridSpan w:val="2"/>
          </w:tcPr>
          <w:p>
            <w:pPr>
              <w:jc w:val="right"/>
              <w:ind w:right="142"/>
              <w:spacing w:after="0"/>
              <w:rPr>
                <w:sz w:val="20"/>
                <w:szCs w:val="20"/>
                <w:color w:val="auto"/>
              </w:rPr>
            </w:pPr>
            <w:r>
              <w:rPr>
                <w:rFonts w:ascii="Arial" w:cs="Arial" w:eastAsia="Arial" w:hAnsi="Arial"/>
                <w:sz w:val="12"/>
                <w:szCs w:val="12"/>
                <w:color w:val="auto"/>
              </w:rPr>
              <w:t>6.81%</w:t>
            </w:r>
          </w:p>
        </w:tc>
        <w:tc>
          <w:tcPr>
            <w:tcW w:w="680" w:type="dxa"/>
            <w:vAlign w:val="bottom"/>
          </w:tcPr>
          <w:p>
            <w:pPr>
              <w:jc w:val="right"/>
              <w:spacing w:after="0"/>
              <w:rPr>
                <w:sz w:val="20"/>
                <w:szCs w:val="20"/>
                <w:color w:val="auto"/>
              </w:rPr>
            </w:pPr>
            <w:r>
              <w:rPr>
                <w:rFonts w:ascii="Arial" w:cs="Arial" w:eastAsia="Arial" w:hAnsi="Arial"/>
                <w:sz w:val="12"/>
                <w:szCs w:val="12"/>
                <w:color w:val="auto"/>
              </w:rPr>
              <w:t>L+550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3,061,372</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3,037,176</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3,061,372</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The Original Cakerie Ltd. </w:t>
            </w:r>
            <w:r>
              <w:rPr>
                <w:rFonts w:ascii="Arial" w:cs="Arial" w:eastAsia="Arial" w:hAnsi="Arial"/>
                <w:sz w:val="9"/>
                <w:szCs w:val="9"/>
                <w:color w:val="auto"/>
              </w:rPr>
              <w:t>(6), (10)</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07/20/2021</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8"/>
              </w:rPr>
              <w:t>Consumer Goods: Non-Durable</w:t>
            </w:r>
          </w:p>
        </w:tc>
        <w:tc>
          <w:tcPr>
            <w:tcW w:w="960" w:type="dxa"/>
            <w:vAlign w:val="bottom"/>
            <w:gridSpan w:val="2"/>
            <w:shd w:val="clear" w:color="auto" w:fill="CCECFF"/>
          </w:tcPr>
          <w:p>
            <w:pPr>
              <w:jc w:val="right"/>
              <w:ind w:right="142"/>
              <w:spacing w:after="0"/>
              <w:rPr>
                <w:sz w:val="20"/>
                <w:szCs w:val="20"/>
                <w:color w:val="auto"/>
              </w:rPr>
            </w:pPr>
            <w:r>
              <w:rPr>
                <w:rFonts w:ascii="Arial" w:cs="Arial" w:eastAsia="Arial" w:hAnsi="Arial"/>
                <w:sz w:val="12"/>
                <w:szCs w:val="12"/>
                <w:color w:val="auto"/>
              </w:rPr>
              <w:t>6.31%</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L+500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5,926,142</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5,879,466</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5,926,142</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 xml:space="preserve">The Original Cakerie Ltd. (Revolver) </w:t>
            </w:r>
            <w:r>
              <w:rPr>
                <w:rFonts w:ascii="Arial" w:cs="Arial" w:eastAsia="Arial" w:hAnsi="Arial"/>
                <w:sz w:val="9"/>
                <w:szCs w:val="9"/>
                <w:color w:val="auto"/>
              </w:rPr>
              <w:t>(6), (8), (9), (10)</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07/20/2021</w:t>
            </w:r>
          </w:p>
        </w:tc>
        <w:tc>
          <w:tcPr>
            <w:tcW w:w="120" w:type="dxa"/>
            <w:vAlign w:val="bottom"/>
          </w:tcPr>
          <w:p>
            <w:pPr>
              <w:spacing w:after="0"/>
              <w:rPr>
                <w:sz w:val="12"/>
                <w:szCs w:val="12"/>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2"/>
                <w:szCs w:val="12"/>
                <w:color w:val="auto"/>
                <w:w w:val="88"/>
              </w:rPr>
              <w:t>Consumer Goods: Non-Durable</w:t>
            </w:r>
          </w:p>
        </w:tc>
        <w:tc>
          <w:tcPr>
            <w:tcW w:w="960" w:type="dxa"/>
            <w:vAlign w:val="bottom"/>
            <w:gridSpan w:val="2"/>
          </w:tcPr>
          <w:p>
            <w:pPr>
              <w:jc w:val="right"/>
              <w:ind w:right="242"/>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1,418,484</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Triad Manufacturing, Inc.</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12/28/2020</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9"/>
              </w:rPr>
              <w:t>Capital Equipment</w:t>
            </w:r>
          </w:p>
        </w:tc>
        <w:tc>
          <w:tcPr>
            <w:tcW w:w="960" w:type="dxa"/>
            <w:vAlign w:val="bottom"/>
            <w:gridSpan w:val="2"/>
            <w:shd w:val="clear" w:color="auto" w:fill="CCECFF"/>
          </w:tcPr>
          <w:p>
            <w:pPr>
              <w:jc w:val="right"/>
              <w:ind w:right="142"/>
              <w:spacing w:after="0"/>
              <w:rPr>
                <w:sz w:val="20"/>
                <w:szCs w:val="20"/>
                <w:color w:val="auto"/>
              </w:rPr>
            </w:pPr>
            <w:r>
              <w:rPr>
                <w:rFonts w:ascii="Arial" w:cs="Arial" w:eastAsia="Arial" w:hAnsi="Arial"/>
                <w:sz w:val="12"/>
                <w:szCs w:val="12"/>
                <w:color w:val="auto"/>
              </w:rPr>
              <w:t>12.49%</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L+1,125</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8,856,365</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8,730,717</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8,812,084</w:t>
            </w:r>
          </w:p>
        </w:tc>
        <w:tc>
          <w:tcPr>
            <w:tcW w:w="100" w:type="dxa"/>
            <w:vAlign w:val="bottom"/>
            <w:shd w:val="clear" w:color="auto" w:fill="CCECFF"/>
          </w:tcPr>
          <w:p>
            <w:pPr>
              <w:spacing w:after="0"/>
              <w:rPr>
                <w:sz w:val="12"/>
                <w:szCs w:val="12"/>
                <w:color w:val="auto"/>
              </w:rPr>
            </w:pPr>
          </w:p>
        </w:tc>
      </w:tr>
      <w:tr>
        <w:trPr>
          <w:trHeight w:val="156"/>
        </w:trPr>
        <w:tc>
          <w:tcPr>
            <w:tcW w:w="3020" w:type="dxa"/>
            <w:vAlign w:val="bottom"/>
          </w:tcPr>
          <w:p>
            <w:pPr>
              <w:spacing w:after="0"/>
              <w:rPr>
                <w:sz w:val="20"/>
                <w:szCs w:val="20"/>
                <w:color w:val="auto"/>
              </w:rPr>
            </w:pPr>
            <w:r>
              <w:rPr>
                <w:rFonts w:ascii="Arial" w:cs="Arial" w:eastAsia="Arial" w:hAnsi="Arial"/>
                <w:sz w:val="12"/>
                <w:szCs w:val="12"/>
                <w:color w:val="auto"/>
              </w:rPr>
              <w:t xml:space="preserve">UniTek Global Services, Inc. </w:t>
            </w:r>
            <w:r>
              <w:rPr>
                <w:rFonts w:ascii="Arial" w:cs="Arial" w:eastAsia="Arial" w:hAnsi="Arial"/>
                <w:sz w:val="9"/>
                <w:szCs w:val="9"/>
                <w:color w:val="auto"/>
              </w:rPr>
              <w:t>(8)</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01/14/2019</w:t>
            </w:r>
          </w:p>
        </w:tc>
        <w:tc>
          <w:tcPr>
            <w:tcW w:w="120" w:type="dxa"/>
            <w:vAlign w:val="bottom"/>
          </w:tcPr>
          <w:p>
            <w:pPr>
              <w:spacing w:after="0"/>
              <w:rPr>
                <w:sz w:val="13"/>
                <w:szCs w:val="13"/>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Telecommunications</w:t>
            </w:r>
          </w:p>
        </w:tc>
        <w:tc>
          <w:tcPr>
            <w:tcW w:w="960" w:type="dxa"/>
            <w:vAlign w:val="bottom"/>
            <w:gridSpan w:val="2"/>
          </w:tcPr>
          <w:p>
            <w:pPr>
              <w:jc w:val="right"/>
              <w:ind w:right="142"/>
              <w:spacing w:after="0"/>
              <w:rPr>
                <w:sz w:val="20"/>
                <w:szCs w:val="20"/>
                <w:color w:val="auto"/>
              </w:rPr>
            </w:pPr>
            <w:r>
              <w:rPr>
                <w:rFonts w:ascii="Arial" w:cs="Arial" w:eastAsia="Arial" w:hAnsi="Arial"/>
                <w:sz w:val="12"/>
                <w:szCs w:val="12"/>
                <w:color w:val="auto"/>
              </w:rPr>
              <w:t>9.84%</w:t>
            </w:r>
          </w:p>
        </w:tc>
        <w:tc>
          <w:tcPr>
            <w:tcW w:w="680" w:type="dxa"/>
            <w:vAlign w:val="bottom"/>
          </w:tcPr>
          <w:p>
            <w:pPr>
              <w:jc w:val="right"/>
              <w:spacing w:after="0"/>
              <w:rPr>
                <w:sz w:val="20"/>
                <w:szCs w:val="20"/>
                <w:color w:val="auto"/>
              </w:rPr>
            </w:pPr>
            <w:r>
              <w:rPr>
                <w:rFonts w:ascii="Arial" w:cs="Arial" w:eastAsia="Arial" w:hAnsi="Arial"/>
                <w:sz w:val="12"/>
                <w:szCs w:val="12"/>
                <w:color w:val="auto"/>
              </w:rPr>
              <w:t>L+850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42,809</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42,809</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42,809</w:t>
            </w:r>
          </w:p>
        </w:tc>
        <w:tc>
          <w:tcPr>
            <w:tcW w:w="100" w:type="dxa"/>
            <w:vAlign w:val="bottom"/>
          </w:tcPr>
          <w:p>
            <w:pPr>
              <w:spacing w:after="0"/>
              <w:rPr>
                <w:sz w:val="13"/>
                <w:szCs w:val="13"/>
                <w:color w:val="auto"/>
              </w:rPr>
            </w:pPr>
          </w:p>
        </w:tc>
      </w:tr>
      <w:tr>
        <w:trPr>
          <w:trHeight w:val="142"/>
        </w:trPr>
        <w:tc>
          <w:tcPr>
            <w:tcW w:w="3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102"/>
              <w:spacing w:after="0"/>
              <w:rPr>
                <w:sz w:val="20"/>
                <w:szCs w:val="20"/>
                <w:color w:val="auto"/>
              </w:rPr>
            </w:pPr>
            <w:r>
              <w:rPr>
                <w:rFonts w:ascii="Arial" w:cs="Arial" w:eastAsia="Arial" w:hAnsi="Arial"/>
                <w:sz w:val="12"/>
                <w:szCs w:val="12"/>
                <w:color w:val="auto"/>
              </w:rPr>
              <w:t>(PIK 1.00%)</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UniTek Global Services, Inc. </w:t>
            </w:r>
            <w:r>
              <w:rPr>
                <w:rFonts w:ascii="Arial" w:cs="Arial" w:eastAsia="Arial" w:hAnsi="Arial"/>
                <w:sz w:val="9"/>
                <w:szCs w:val="9"/>
                <w:color w:val="auto"/>
              </w:rPr>
              <w:t>(8)</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01/14/2019</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Telecommunications</w:t>
            </w:r>
          </w:p>
        </w:tc>
        <w:tc>
          <w:tcPr>
            <w:tcW w:w="960" w:type="dxa"/>
            <w:vAlign w:val="bottom"/>
            <w:gridSpan w:val="2"/>
            <w:shd w:val="clear" w:color="auto" w:fill="CCECFF"/>
          </w:tcPr>
          <w:p>
            <w:pPr>
              <w:jc w:val="right"/>
              <w:ind w:right="142"/>
              <w:spacing w:after="0"/>
              <w:rPr>
                <w:sz w:val="20"/>
                <w:szCs w:val="20"/>
                <w:color w:val="auto"/>
              </w:rPr>
            </w:pPr>
            <w:r>
              <w:rPr>
                <w:rFonts w:ascii="Arial" w:cs="Arial" w:eastAsia="Arial" w:hAnsi="Arial"/>
                <w:sz w:val="12"/>
                <w:szCs w:val="12"/>
                <w:color w:val="auto"/>
              </w:rPr>
              <w:t>9.84%</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L+850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599,702</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577,759</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611,696</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 xml:space="preserve">UniTek Global Services, Inc. </w:t>
            </w:r>
            <w:r>
              <w:rPr>
                <w:rFonts w:ascii="Arial" w:cs="Arial" w:eastAsia="Arial" w:hAnsi="Arial"/>
                <w:sz w:val="9"/>
                <w:szCs w:val="9"/>
                <w:color w:val="auto"/>
              </w:rPr>
              <w:t>(8), (9)</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01/14/2019</w:t>
            </w:r>
          </w:p>
        </w:tc>
        <w:tc>
          <w:tcPr>
            <w:tcW w:w="120" w:type="dxa"/>
            <w:vAlign w:val="bottom"/>
          </w:tcPr>
          <w:p>
            <w:pPr>
              <w:spacing w:after="0"/>
              <w:rPr>
                <w:sz w:val="12"/>
                <w:szCs w:val="12"/>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Telecommunications</w:t>
            </w:r>
          </w:p>
        </w:tc>
        <w:tc>
          <w:tcPr>
            <w:tcW w:w="960" w:type="dxa"/>
            <w:vAlign w:val="bottom"/>
            <w:gridSpan w:val="2"/>
          </w:tcPr>
          <w:p>
            <w:pPr>
              <w:jc w:val="right"/>
              <w:ind w:right="242"/>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151,090</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US Med Acquisition, Inc. </w:t>
            </w:r>
            <w:r>
              <w:rPr>
                <w:rFonts w:ascii="Arial" w:cs="Arial" w:eastAsia="Arial" w:hAnsi="Arial"/>
                <w:sz w:val="9"/>
                <w:szCs w:val="9"/>
                <w:color w:val="auto"/>
              </w:rPr>
              <w:t>(8)</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08/13/2021</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shd w:val="clear" w:color="auto" w:fill="CCECFF"/>
          </w:tcPr>
          <w:p>
            <w:pPr>
              <w:jc w:val="right"/>
              <w:ind w:right="142"/>
              <w:spacing w:after="0"/>
              <w:rPr>
                <w:sz w:val="20"/>
                <w:szCs w:val="20"/>
                <w:color w:val="auto"/>
              </w:rPr>
            </w:pPr>
            <w:r>
              <w:rPr>
                <w:rFonts w:ascii="Arial" w:cs="Arial" w:eastAsia="Arial" w:hAnsi="Arial"/>
                <w:sz w:val="12"/>
                <w:szCs w:val="12"/>
                <w:color w:val="auto"/>
              </w:rPr>
              <w:t>10.33%</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L+900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3,058,594</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3,058,594</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2,905,664</w:t>
            </w:r>
          </w:p>
        </w:tc>
        <w:tc>
          <w:tcPr>
            <w:tcW w:w="100" w:type="dxa"/>
            <w:vAlign w:val="bottom"/>
            <w:shd w:val="clear" w:color="auto" w:fill="CCECFF"/>
          </w:tcPr>
          <w:p>
            <w:pPr>
              <w:spacing w:after="0"/>
              <w:rPr>
                <w:sz w:val="12"/>
                <w:szCs w:val="12"/>
                <w:color w:val="auto"/>
              </w:rPr>
            </w:pPr>
          </w:p>
        </w:tc>
      </w:tr>
      <w:tr>
        <w:trPr>
          <w:trHeight w:val="149"/>
        </w:trPr>
        <w:tc>
          <w:tcPr>
            <w:tcW w:w="3020" w:type="dxa"/>
            <w:vAlign w:val="bottom"/>
          </w:tcPr>
          <w:p>
            <w:pPr>
              <w:spacing w:after="0"/>
              <w:rPr>
                <w:sz w:val="20"/>
                <w:szCs w:val="20"/>
                <w:color w:val="auto"/>
              </w:rPr>
            </w:pPr>
            <w:r>
              <w:rPr>
                <w:rFonts w:ascii="Arial" w:cs="Arial" w:eastAsia="Arial" w:hAnsi="Arial"/>
                <w:sz w:val="12"/>
                <w:szCs w:val="12"/>
                <w:color w:val="auto"/>
              </w:rPr>
              <w:t>Veterinary Specialists of North America, LLC</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07/15/2021</w:t>
            </w:r>
          </w:p>
        </w:tc>
        <w:tc>
          <w:tcPr>
            <w:tcW w:w="120" w:type="dxa"/>
            <w:vAlign w:val="bottom"/>
          </w:tcPr>
          <w:p>
            <w:pPr>
              <w:spacing w:after="0"/>
              <w:rPr>
                <w:sz w:val="12"/>
                <w:szCs w:val="12"/>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tcPr>
          <w:p>
            <w:pPr>
              <w:jc w:val="right"/>
              <w:ind w:right="142"/>
              <w:spacing w:after="0"/>
              <w:rPr>
                <w:sz w:val="20"/>
                <w:szCs w:val="20"/>
                <w:color w:val="auto"/>
              </w:rPr>
            </w:pPr>
            <w:r>
              <w:rPr>
                <w:rFonts w:ascii="Arial" w:cs="Arial" w:eastAsia="Arial" w:hAnsi="Arial"/>
                <w:sz w:val="12"/>
                <w:szCs w:val="12"/>
                <w:color w:val="auto"/>
              </w:rPr>
              <w:t>6.56%</w:t>
            </w:r>
          </w:p>
        </w:tc>
        <w:tc>
          <w:tcPr>
            <w:tcW w:w="680" w:type="dxa"/>
            <w:vAlign w:val="bottom"/>
          </w:tcPr>
          <w:p>
            <w:pPr>
              <w:jc w:val="right"/>
              <w:spacing w:after="0"/>
              <w:rPr>
                <w:sz w:val="20"/>
                <w:szCs w:val="20"/>
                <w:color w:val="auto"/>
              </w:rPr>
            </w:pPr>
            <w:r>
              <w:rPr>
                <w:rFonts w:ascii="Arial" w:cs="Arial" w:eastAsia="Arial" w:hAnsi="Arial"/>
                <w:sz w:val="12"/>
                <w:szCs w:val="12"/>
                <w:color w:val="auto"/>
              </w:rPr>
              <w:t>L+525</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11,374,590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11,277,723</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11,362,740</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Veterinary Specialists of North America, LLC </w:t>
            </w:r>
            <w:r>
              <w:rPr>
                <w:rFonts w:ascii="Arial" w:cs="Arial" w:eastAsia="Arial" w:hAnsi="Arial"/>
                <w:sz w:val="9"/>
                <w:szCs w:val="9"/>
                <w:color w:val="auto"/>
              </w:rPr>
              <w:t>(8), (9)</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07/15/2021</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shd w:val="clear" w:color="auto" w:fill="CCECFF"/>
          </w:tcPr>
          <w:p>
            <w:pPr>
              <w:jc w:val="right"/>
              <w:ind w:right="242"/>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2,660,000</w:t>
            </w: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1060" w:type="dxa"/>
            <w:vAlign w:val="bottom"/>
            <w:gridSpan w:val="3"/>
            <w:shd w:val="clear" w:color="auto" w:fill="CCECFF"/>
          </w:tcPr>
          <w:p>
            <w:pPr>
              <w:jc w:val="right"/>
              <w:ind w:right="60"/>
              <w:spacing w:after="0"/>
              <w:rPr>
                <w:sz w:val="20"/>
                <w:szCs w:val="20"/>
                <w:color w:val="auto"/>
              </w:rPr>
            </w:pPr>
            <w:r>
              <w:rPr>
                <w:rFonts w:ascii="Arial" w:cs="Arial" w:eastAsia="Arial" w:hAnsi="Arial"/>
                <w:sz w:val="12"/>
                <w:szCs w:val="12"/>
                <w:color w:val="auto"/>
              </w:rPr>
              <w:t>(2,771)</w:t>
            </w:r>
          </w:p>
        </w:tc>
      </w:tr>
      <w:tr>
        <w:trPr>
          <w:trHeight w:val="156"/>
        </w:trPr>
        <w:tc>
          <w:tcPr>
            <w:tcW w:w="3020" w:type="dxa"/>
            <w:vAlign w:val="bottom"/>
          </w:tcPr>
          <w:p>
            <w:pPr>
              <w:spacing w:after="0"/>
              <w:rPr>
                <w:sz w:val="20"/>
                <w:szCs w:val="20"/>
                <w:color w:val="auto"/>
              </w:rPr>
            </w:pPr>
            <w:r>
              <w:rPr>
                <w:rFonts w:ascii="Arial" w:cs="Arial" w:eastAsia="Arial" w:hAnsi="Arial"/>
                <w:sz w:val="12"/>
                <w:szCs w:val="12"/>
                <w:color w:val="auto"/>
              </w:rPr>
              <w:t>Veterinary Specialists of North America, LLC</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07/15/2021</w:t>
            </w:r>
          </w:p>
        </w:tc>
        <w:tc>
          <w:tcPr>
            <w:tcW w:w="120" w:type="dxa"/>
            <w:vAlign w:val="bottom"/>
          </w:tcPr>
          <w:p>
            <w:pPr>
              <w:spacing w:after="0"/>
              <w:rPr>
                <w:sz w:val="13"/>
                <w:szCs w:val="13"/>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2"/>
                <w:szCs w:val="12"/>
                <w:color w:val="auto"/>
                <w:w w:val="86"/>
              </w:rPr>
              <w:t>Healthcare and Pharmaceuticals</w:t>
            </w:r>
          </w:p>
        </w:tc>
        <w:tc>
          <w:tcPr>
            <w:tcW w:w="960" w:type="dxa"/>
            <w:vAlign w:val="bottom"/>
            <w:gridSpan w:val="2"/>
          </w:tcPr>
          <w:p>
            <w:pPr>
              <w:jc w:val="right"/>
              <w:ind w:right="242"/>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880,000</w:t>
            </w:r>
          </w:p>
        </w:tc>
        <w:tc>
          <w:tcPr>
            <w:tcW w:w="2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gridSpan w:val="3"/>
          </w:tcPr>
          <w:p>
            <w:pPr>
              <w:jc w:val="right"/>
              <w:ind w:right="60"/>
              <w:spacing w:after="0"/>
              <w:rPr>
                <w:sz w:val="20"/>
                <w:szCs w:val="20"/>
                <w:color w:val="auto"/>
              </w:rPr>
            </w:pPr>
            <w:r>
              <w:rPr>
                <w:rFonts w:ascii="Arial" w:cs="Arial" w:eastAsia="Arial" w:hAnsi="Arial"/>
                <w:sz w:val="12"/>
                <w:szCs w:val="12"/>
                <w:color w:val="auto"/>
              </w:rPr>
              <w:t>(917)</w:t>
            </w:r>
          </w:p>
        </w:tc>
      </w:tr>
      <w:tr>
        <w:trPr>
          <w:trHeight w:val="141"/>
        </w:trPr>
        <w:tc>
          <w:tcPr>
            <w:tcW w:w="3020" w:type="dxa"/>
            <w:vAlign w:val="bottom"/>
          </w:tcPr>
          <w:p>
            <w:pPr>
              <w:ind w:left="140"/>
              <w:spacing w:after="0"/>
              <w:rPr>
                <w:sz w:val="20"/>
                <w:szCs w:val="20"/>
                <w:color w:val="auto"/>
              </w:rPr>
            </w:pPr>
            <w:r>
              <w:rPr>
                <w:rFonts w:ascii="Arial" w:cs="Arial" w:eastAsia="Arial" w:hAnsi="Arial"/>
                <w:sz w:val="12"/>
                <w:szCs w:val="12"/>
                <w:color w:val="auto"/>
              </w:rPr>
              <w:t xml:space="preserve">(Revolver) </w:t>
            </w:r>
            <w:r>
              <w:rPr>
                <w:rFonts w:ascii="Arial" w:cs="Arial" w:eastAsia="Arial" w:hAnsi="Arial"/>
                <w:sz w:val="9"/>
                <w:szCs w:val="9"/>
                <w:color w:val="auto"/>
              </w:rPr>
              <w:t>(8), (9)</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VIP Cinema Holdings, Inc.</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03/01/2023</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8"/>
              </w:rPr>
              <w:t>Consumer Goods: Durable</w:t>
            </w:r>
          </w:p>
        </w:tc>
        <w:tc>
          <w:tcPr>
            <w:tcW w:w="960" w:type="dxa"/>
            <w:vAlign w:val="bottom"/>
            <w:gridSpan w:val="2"/>
            <w:shd w:val="clear" w:color="auto" w:fill="CCECFF"/>
          </w:tcPr>
          <w:p>
            <w:pPr>
              <w:jc w:val="right"/>
              <w:ind w:right="142"/>
              <w:spacing w:after="0"/>
              <w:rPr>
                <w:sz w:val="20"/>
                <w:szCs w:val="20"/>
                <w:color w:val="auto"/>
              </w:rPr>
            </w:pPr>
            <w:r>
              <w:rPr>
                <w:rFonts w:ascii="Arial" w:cs="Arial" w:eastAsia="Arial" w:hAnsi="Arial"/>
                <w:sz w:val="12"/>
                <w:szCs w:val="12"/>
                <w:color w:val="auto"/>
              </w:rPr>
              <w:t>7.34%</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L+600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7,312,500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7,278,094</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7,358,203</w:t>
            </w:r>
          </w:p>
        </w:tc>
        <w:tc>
          <w:tcPr>
            <w:tcW w:w="100" w:type="dxa"/>
            <w:vAlign w:val="bottom"/>
            <w:shd w:val="clear" w:color="auto" w:fill="CCECFF"/>
          </w:tcPr>
          <w:p>
            <w:pPr>
              <w:spacing w:after="0"/>
              <w:rPr>
                <w:sz w:val="12"/>
                <w:szCs w:val="12"/>
                <w:color w:val="auto"/>
              </w:rPr>
            </w:pPr>
          </w:p>
        </w:tc>
      </w:tr>
      <w:tr>
        <w:trPr>
          <w:trHeight w:val="149"/>
        </w:trPr>
        <w:tc>
          <w:tcPr>
            <w:tcW w:w="3020" w:type="dxa"/>
            <w:vAlign w:val="bottom"/>
          </w:tcPr>
          <w:p>
            <w:pPr>
              <w:spacing w:after="0"/>
              <w:rPr>
                <w:sz w:val="20"/>
                <w:szCs w:val="20"/>
                <w:color w:val="auto"/>
              </w:rPr>
            </w:pPr>
            <w:r>
              <w:rPr>
                <w:rFonts w:ascii="Arial" w:cs="Arial" w:eastAsia="Arial" w:hAnsi="Arial"/>
                <w:sz w:val="12"/>
                <w:szCs w:val="12"/>
                <w:color w:val="auto"/>
              </w:rPr>
              <w:t>Vistage Worldwide, Inc.</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08/19/2021</w:t>
            </w:r>
          </w:p>
        </w:tc>
        <w:tc>
          <w:tcPr>
            <w:tcW w:w="120" w:type="dxa"/>
            <w:vAlign w:val="bottom"/>
          </w:tcPr>
          <w:p>
            <w:pPr>
              <w:spacing w:after="0"/>
              <w:rPr>
                <w:sz w:val="12"/>
                <w:szCs w:val="12"/>
                <w:color w:val="auto"/>
              </w:rPr>
            </w:pPr>
          </w:p>
        </w:tc>
        <w:tc>
          <w:tcPr>
            <w:tcW w:w="280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Media: Broadcasting and Subscription</w:t>
            </w:r>
          </w:p>
        </w:tc>
        <w:tc>
          <w:tcPr>
            <w:tcW w:w="960" w:type="dxa"/>
            <w:vAlign w:val="bottom"/>
            <w:gridSpan w:val="2"/>
          </w:tcPr>
          <w:p>
            <w:pPr>
              <w:jc w:val="right"/>
              <w:ind w:right="142"/>
              <w:spacing w:after="0"/>
              <w:rPr>
                <w:sz w:val="20"/>
                <w:szCs w:val="20"/>
                <w:color w:val="auto"/>
              </w:rPr>
            </w:pPr>
            <w:r>
              <w:rPr>
                <w:rFonts w:ascii="Arial" w:cs="Arial" w:eastAsia="Arial" w:hAnsi="Arial"/>
                <w:sz w:val="12"/>
                <w:szCs w:val="12"/>
                <w:color w:val="auto"/>
              </w:rPr>
              <w:t>6.74%</w:t>
            </w:r>
          </w:p>
        </w:tc>
        <w:tc>
          <w:tcPr>
            <w:tcW w:w="680" w:type="dxa"/>
            <w:vAlign w:val="bottom"/>
          </w:tcPr>
          <w:p>
            <w:pPr>
              <w:jc w:val="right"/>
              <w:spacing w:after="0"/>
              <w:rPr>
                <w:sz w:val="20"/>
                <w:szCs w:val="20"/>
                <w:color w:val="auto"/>
              </w:rPr>
            </w:pPr>
            <w:r>
              <w:rPr>
                <w:rFonts w:ascii="Arial" w:cs="Arial" w:eastAsia="Arial" w:hAnsi="Arial"/>
                <w:sz w:val="12"/>
                <w:szCs w:val="12"/>
                <w:color w:val="auto"/>
              </w:rPr>
              <w:t>L+550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5,029,514</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4,994,127</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5,042,087</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Winchester Electronics Corporation</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06/30/2022</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9"/>
              </w:rPr>
              <w:t>Capital Equipment</w:t>
            </w:r>
          </w:p>
        </w:tc>
        <w:tc>
          <w:tcPr>
            <w:tcW w:w="960" w:type="dxa"/>
            <w:vAlign w:val="bottom"/>
            <w:gridSpan w:val="2"/>
            <w:shd w:val="clear" w:color="auto" w:fill="CCECFF"/>
          </w:tcPr>
          <w:p>
            <w:pPr>
              <w:jc w:val="right"/>
              <w:ind w:right="142"/>
              <w:spacing w:after="0"/>
              <w:rPr>
                <w:sz w:val="20"/>
                <w:szCs w:val="20"/>
                <w:color w:val="auto"/>
              </w:rPr>
            </w:pPr>
            <w:r>
              <w:rPr>
                <w:rFonts w:ascii="Arial" w:cs="Arial" w:eastAsia="Arial" w:hAnsi="Arial"/>
                <w:sz w:val="12"/>
                <w:szCs w:val="12"/>
                <w:color w:val="auto"/>
              </w:rPr>
              <w:t>7.83%</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L+650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7,695,662</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7,636,513</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7,734,140</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Borders>
              <w:bottom w:val="single" w:sz="8" w:color="CCECFF"/>
            </w:tcBorders>
          </w:tcPr>
          <w:p>
            <w:pPr>
              <w:spacing w:after="0"/>
              <w:rPr>
                <w:sz w:val="20"/>
                <w:szCs w:val="20"/>
                <w:color w:val="auto"/>
              </w:rPr>
            </w:pPr>
            <w:r>
              <w:rPr>
                <w:rFonts w:ascii="Arial" w:cs="Arial" w:eastAsia="Arial" w:hAnsi="Arial"/>
                <w:sz w:val="12"/>
                <w:szCs w:val="12"/>
                <w:color w:val="auto"/>
              </w:rPr>
              <w:t xml:space="preserve">Winchester Electronics Corporation </w:t>
            </w:r>
            <w:r>
              <w:rPr>
                <w:rFonts w:ascii="Arial" w:cs="Arial" w:eastAsia="Arial" w:hAnsi="Arial"/>
                <w:sz w:val="9"/>
                <w:szCs w:val="9"/>
                <w:color w:val="auto"/>
              </w:rPr>
              <w:t>(8), (9)</w:t>
            </w:r>
          </w:p>
        </w:tc>
        <w:tc>
          <w:tcPr>
            <w:tcW w:w="760" w:type="dxa"/>
            <w:vAlign w:val="bottom"/>
            <w:tcBorders>
              <w:bottom w:val="single" w:sz="8" w:color="CCECFF"/>
            </w:tcBorders>
            <w:gridSpan w:val="2"/>
          </w:tcPr>
          <w:p>
            <w:pPr>
              <w:jc w:val="center"/>
              <w:ind w:left="62"/>
              <w:spacing w:after="0"/>
              <w:rPr>
                <w:sz w:val="20"/>
                <w:szCs w:val="20"/>
                <w:color w:val="auto"/>
              </w:rPr>
            </w:pPr>
            <w:r>
              <w:rPr>
                <w:rFonts w:ascii="Arial" w:cs="Arial" w:eastAsia="Arial" w:hAnsi="Arial"/>
                <w:sz w:val="12"/>
                <w:szCs w:val="12"/>
                <w:color w:val="auto"/>
                <w:w w:val="86"/>
              </w:rPr>
              <w:t>06/30/2022</w:t>
            </w:r>
          </w:p>
        </w:tc>
        <w:tc>
          <w:tcPr>
            <w:tcW w:w="120" w:type="dxa"/>
            <w:vAlign w:val="bottom"/>
            <w:tcBorders>
              <w:bottom w:val="single" w:sz="8" w:color="CCECFF"/>
            </w:tcBorders>
          </w:tcPr>
          <w:p>
            <w:pPr>
              <w:spacing w:after="0"/>
              <w:rPr>
                <w:sz w:val="12"/>
                <w:szCs w:val="12"/>
                <w:color w:val="auto"/>
              </w:rPr>
            </w:pPr>
          </w:p>
        </w:tc>
        <w:tc>
          <w:tcPr>
            <w:tcW w:w="2800" w:type="dxa"/>
            <w:vAlign w:val="bottom"/>
            <w:tcBorders>
              <w:bottom w:val="single" w:sz="8" w:color="CCECFF"/>
            </w:tcBorders>
            <w:gridSpan w:val="2"/>
          </w:tcPr>
          <w:p>
            <w:pPr>
              <w:jc w:val="center"/>
              <w:ind w:right="120"/>
              <w:spacing w:after="0"/>
              <w:rPr>
                <w:sz w:val="20"/>
                <w:szCs w:val="20"/>
                <w:color w:val="auto"/>
              </w:rPr>
            </w:pPr>
            <w:r>
              <w:rPr>
                <w:rFonts w:ascii="Arial" w:cs="Arial" w:eastAsia="Arial" w:hAnsi="Arial"/>
                <w:sz w:val="12"/>
                <w:szCs w:val="12"/>
                <w:color w:val="auto"/>
                <w:w w:val="89"/>
              </w:rPr>
              <w:t>Capital Equipment</w:t>
            </w:r>
          </w:p>
        </w:tc>
        <w:tc>
          <w:tcPr>
            <w:tcW w:w="960" w:type="dxa"/>
            <w:vAlign w:val="bottom"/>
            <w:tcBorders>
              <w:bottom w:val="single" w:sz="8" w:color="CCECFF"/>
            </w:tcBorders>
            <w:gridSpan w:val="2"/>
          </w:tcPr>
          <w:p>
            <w:pPr>
              <w:jc w:val="right"/>
              <w:ind w:right="242"/>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CCECFF"/>
            </w:tcBorders>
            <w:gridSpan w:val="2"/>
          </w:tcPr>
          <w:p>
            <w:pPr>
              <w:jc w:val="right"/>
              <w:spacing w:after="0"/>
              <w:rPr>
                <w:sz w:val="20"/>
                <w:szCs w:val="20"/>
                <w:color w:val="auto"/>
              </w:rPr>
            </w:pPr>
            <w:r>
              <w:rPr>
                <w:rFonts w:ascii="Arial" w:cs="Arial" w:eastAsia="Arial" w:hAnsi="Arial"/>
                <w:sz w:val="12"/>
                <w:szCs w:val="12"/>
                <w:color w:val="auto"/>
              </w:rPr>
              <w:t>708,333</w:t>
            </w:r>
          </w:p>
        </w:tc>
        <w:tc>
          <w:tcPr>
            <w:tcW w:w="240" w:type="dxa"/>
            <w:vAlign w:val="bottom"/>
            <w:tcBorders>
              <w:bottom w:val="single" w:sz="8" w:color="CCECFF"/>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CCECFF"/>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3,542</w:t>
            </w:r>
          </w:p>
        </w:tc>
        <w:tc>
          <w:tcPr>
            <w:tcW w:w="100" w:type="dxa"/>
            <w:vAlign w:val="bottom"/>
            <w:tcBorders>
              <w:bottom w:val="single" w:sz="8" w:color="CCECFF"/>
            </w:tcBorders>
          </w:tcPr>
          <w:p>
            <w:pPr>
              <w:spacing w:after="0"/>
              <w:rPr>
                <w:sz w:val="12"/>
                <w:szCs w:val="12"/>
                <w:color w:val="auto"/>
              </w:rPr>
            </w:pPr>
          </w:p>
        </w:tc>
      </w:tr>
      <w:tr>
        <w:trPr>
          <w:trHeight w:val="142"/>
        </w:trPr>
        <w:tc>
          <w:tcPr>
            <w:tcW w:w="302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First Lien Secured Debt</w:t>
            </w:r>
          </w:p>
        </w:tc>
        <w:tc>
          <w:tcPr>
            <w:tcW w:w="12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26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607,582,054</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609,668,554</w:t>
            </w:r>
          </w:p>
        </w:tc>
        <w:tc>
          <w:tcPr>
            <w:tcW w:w="100" w:type="dxa"/>
            <w:vAlign w:val="bottom"/>
            <w:shd w:val="clear" w:color="auto" w:fill="CCECFF"/>
          </w:tcPr>
          <w:p>
            <w:pPr>
              <w:spacing w:after="0"/>
              <w:rPr>
                <w:sz w:val="12"/>
                <w:szCs w:val="12"/>
                <w:color w:val="auto"/>
              </w:rPr>
            </w:pPr>
          </w:p>
        </w:tc>
      </w:tr>
      <w:tr>
        <w:trPr>
          <w:trHeight w:val="142"/>
        </w:trPr>
        <w:tc>
          <w:tcPr>
            <w:tcW w:w="3020" w:type="dxa"/>
            <w:vAlign w:val="bottom"/>
          </w:tcPr>
          <w:p>
            <w:pPr>
              <w:spacing w:after="0"/>
              <w:rPr>
                <w:sz w:val="20"/>
                <w:szCs w:val="20"/>
                <w:color w:val="auto"/>
              </w:rPr>
            </w:pPr>
            <w:r>
              <w:rPr>
                <w:rFonts w:ascii="Arial" w:cs="Arial" w:eastAsia="Arial" w:hAnsi="Arial"/>
                <w:sz w:val="12"/>
                <w:szCs w:val="12"/>
                <w:b w:val="1"/>
                <w:bCs w:val="1"/>
                <w:color w:val="auto"/>
              </w:rPr>
              <w:t>Second Lien Secured Debt—8.3%</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DecoPac, Inc. </w:t>
            </w:r>
            <w:r>
              <w:rPr>
                <w:rFonts w:ascii="Arial" w:cs="Arial" w:eastAsia="Arial" w:hAnsi="Arial"/>
                <w:sz w:val="9"/>
                <w:szCs w:val="9"/>
                <w:color w:val="auto"/>
              </w:rPr>
              <w:t>(8)</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03/31/2025</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shd w:val="clear" w:color="auto" w:fill="CCECFF"/>
          </w:tcPr>
          <w:p>
            <w:pPr>
              <w:jc w:val="right"/>
              <w:ind w:right="142"/>
              <w:spacing w:after="0"/>
              <w:rPr>
                <w:sz w:val="20"/>
                <w:szCs w:val="20"/>
                <w:color w:val="auto"/>
              </w:rPr>
            </w:pPr>
            <w:r>
              <w:rPr>
                <w:rFonts w:ascii="Arial" w:cs="Arial" w:eastAsia="Arial" w:hAnsi="Arial"/>
                <w:sz w:val="12"/>
                <w:szCs w:val="12"/>
                <w:color w:val="auto"/>
              </w:rPr>
              <w:t>9.58%</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L+825</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15,000,000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14,700,169</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14,700,000</w:t>
            </w:r>
          </w:p>
        </w:tc>
        <w:tc>
          <w:tcPr>
            <w:tcW w:w="100" w:type="dxa"/>
            <w:vAlign w:val="bottom"/>
            <w:shd w:val="clear" w:color="auto" w:fill="CCECFF"/>
          </w:tcPr>
          <w:p>
            <w:pPr>
              <w:spacing w:after="0"/>
              <w:rPr>
                <w:sz w:val="12"/>
                <w:szCs w:val="12"/>
                <w:color w:val="auto"/>
              </w:rPr>
            </w:pPr>
          </w:p>
        </w:tc>
      </w:tr>
      <w:tr>
        <w:trPr>
          <w:trHeight w:val="149"/>
        </w:trPr>
        <w:tc>
          <w:tcPr>
            <w:tcW w:w="3020" w:type="dxa"/>
            <w:vAlign w:val="bottom"/>
          </w:tcPr>
          <w:p>
            <w:pPr>
              <w:spacing w:after="0"/>
              <w:rPr>
                <w:sz w:val="20"/>
                <w:szCs w:val="20"/>
                <w:color w:val="auto"/>
              </w:rPr>
            </w:pPr>
            <w:r>
              <w:rPr>
                <w:rFonts w:ascii="Arial" w:cs="Arial" w:eastAsia="Arial" w:hAnsi="Arial"/>
                <w:sz w:val="12"/>
                <w:szCs w:val="12"/>
                <w:color w:val="auto"/>
              </w:rPr>
              <w:t>Douglas Products and Packaging Company LLC</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12/31/2020</w:t>
            </w:r>
          </w:p>
        </w:tc>
        <w:tc>
          <w:tcPr>
            <w:tcW w:w="120" w:type="dxa"/>
            <w:vAlign w:val="bottom"/>
          </w:tcPr>
          <w:p>
            <w:pPr>
              <w:spacing w:after="0"/>
              <w:rPr>
                <w:sz w:val="12"/>
                <w:szCs w:val="12"/>
                <w:color w:val="auto"/>
              </w:rPr>
            </w:pPr>
          </w:p>
        </w:tc>
        <w:tc>
          <w:tcPr>
            <w:tcW w:w="2800" w:type="dxa"/>
            <w:vAlign w:val="bottom"/>
            <w:gridSpan w:val="2"/>
          </w:tcPr>
          <w:p>
            <w:pPr>
              <w:jc w:val="center"/>
              <w:ind w:right="120"/>
              <w:spacing w:after="0"/>
              <w:rPr>
                <w:sz w:val="20"/>
                <w:szCs w:val="20"/>
                <w:color w:val="auto"/>
              </w:rPr>
            </w:pPr>
            <w:r>
              <w:rPr>
                <w:rFonts w:ascii="Arial" w:cs="Arial" w:eastAsia="Arial" w:hAnsi="Arial"/>
                <w:sz w:val="12"/>
                <w:szCs w:val="12"/>
                <w:color w:val="auto"/>
                <w:w w:val="87"/>
              </w:rPr>
              <w:t>Chemicals, Plastics and Rubber</w:t>
            </w:r>
          </w:p>
        </w:tc>
        <w:tc>
          <w:tcPr>
            <w:tcW w:w="960" w:type="dxa"/>
            <w:vAlign w:val="bottom"/>
            <w:gridSpan w:val="2"/>
          </w:tcPr>
          <w:p>
            <w:pPr>
              <w:jc w:val="right"/>
              <w:ind w:right="142"/>
              <w:spacing w:after="0"/>
              <w:rPr>
                <w:sz w:val="20"/>
                <w:szCs w:val="20"/>
                <w:color w:val="auto"/>
              </w:rPr>
            </w:pPr>
            <w:r>
              <w:rPr>
                <w:rFonts w:ascii="Arial" w:cs="Arial" w:eastAsia="Arial" w:hAnsi="Arial"/>
                <w:sz w:val="12"/>
                <w:szCs w:val="12"/>
                <w:color w:val="auto"/>
              </w:rPr>
              <w:t>11.84%</w:t>
            </w:r>
          </w:p>
        </w:tc>
        <w:tc>
          <w:tcPr>
            <w:tcW w:w="680" w:type="dxa"/>
            <w:vAlign w:val="bottom"/>
          </w:tcPr>
          <w:p>
            <w:pPr>
              <w:jc w:val="right"/>
              <w:spacing w:after="0"/>
              <w:rPr>
                <w:sz w:val="20"/>
                <w:szCs w:val="20"/>
                <w:color w:val="auto"/>
              </w:rPr>
            </w:pPr>
            <w:r>
              <w:rPr>
                <w:rFonts w:ascii="Arial" w:cs="Arial" w:eastAsia="Arial" w:hAnsi="Arial"/>
                <w:sz w:val="12"/>
                <w:szCs w:val="12"/>
                <w:color w:val="auto"/>
              </w:rPr>
              <w:t>L+1,050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2,000,000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1,976,823</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2,020,000</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Howard Berger Co. LLC</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09/30/2020</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Wholesale</w:t>
            </w:r>
          </w:p>
        </w:tc>
        <w:tc>
          <w:tcPr>
            <w:tcW w:w="960" w:type="dxa"/>
            <w:vAlign w:val="bottom"/>
            <w:gridSpan w:val="2"/>
            <w:shd w:val="clear" w:color="auto" w:fill="CCECFF"/>
          </w:tcPr>
          <w:p>
            <w:pPr>
              <w:jc w:val="right"/>
              <w:ind w:right="142"/>
              <w:spacing w:after="0"/>
              <w:rPr>
                <w:sz w:val="20"/>
                <w:szCs w:val="20"/>
                <w:color w:val="auto"/>
              </w:rPr>
            </w:pPr>
            <w:r>
              <w:rPr>
                <w:rFonts w:ascii="Arial" w:cs="Arial" w:eastAsia="Arial" w:hAnsi="Arial"/>
                <w:sz w:val="12"/>
                <w:szCs w:val="12"/>
                <w:color w:val="auto"/>
              </w:rPr>
              <w:t>11.34%</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L+1,000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11,450,000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11,064,344</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10,992,000</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266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102"/>
              <w:spacing w:after="0"/>
              <w:rPr>
                <w:sz w:val="20"/>
                <w:szCs w:val="20"/>
                <w:color w:val="auto"/>
              </w:rPr>
            </w:pPr>
            <w:r>
              <w:rPr>
                <w:rFonts w:ascii="Arial" w:cs="Arial" w:eastAsia="Arial" w:hAnsi="Arial"/>
                <w:sz w:val="12"/>
                <w:szCs w:val="12"/>
                <w:color w:val="auto"/>
              </w:rPr>
              <w:t>(PIK 5.18%)</w:t>
            </w: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9"/>
        </w:trPr>
        <w:tc>
          <w:tcPr>
            <w:tcW w:w="3020" w:type="dxa"/>
            <w:vAlign w:val="bottom"/>
          </w:tcPr>
          <w:p>
            <w:pPr>
              <w:spacing w:after="0"/>
              <w:rPr>
                <w:sz w:val="20"/>
                <w:szCs w:val="20"/>
                <w:color w:val="auto"/>
              </w:rPr>
            </w:pPr>
            <w:r>
              <w:rPr>
                <w:rFonts w:ascii="Arial" w:cs="Arial" w:eastAsia="Arial" w:hAnsi="Arial"/>
                <w:sz w:val="12"/>
                <w:szCs w:val="12"/>
                <w:color w:val="auto"/>
              </w:rPr>
              <w:t>MailSouth, Inc.</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10/22/2021</w:t>
            </w:r>
          </w:p>
        </w:tc>
        <w:tc>
          <w:tcPr>
            <w:tcW w:w="120" w:type="dxa"/>
            <w:vAlign w:val="bottom"/>
          </w:tcPr>
          <w:p>
            <w:pPr>
              <w:spacing w:after="0"/>
              <w:rPr>
                <w:sz w:val="12"/>
                <w:szCs w:val="12"/>
                <w:color w:val="auto"/>
              </w:rPr>
            </w:pPr>
          </w:p>
        </w:tc>
        <w:tc>
          <w:tcPr>
            <w:tcW w:w="2800" w:type="dxa"/>
            <w:vAlign w:val="bottom"/>
            <w:gridSpan w:val="2"/>
          </w:tcPr>
          <w:p>
            <w:pPr>
              <w:jc w:val="center"/>
              <w:ind w:right="140"/>
              <w:spacing w:after="0"/>
              <w:rPr>
                <w:sz w:val="20"/>
                <w:szCs w:val="20"/>
                <w:color w:val="auto"/>
              </w:rPr>
            </w:pPr>
            <w:r>
              <w:rPr>
                <w:rFonts w:ascii="Arial" w:cs="Arial" w:eastAsia="Arial" w:hAnsi="Arial"/>
                <w:sz w:val="12"/>
                <w:szCs w:val="12"/>
                <w:color w:val="auto"/>
                <w:w w:val="90"/>
              </w:rPr>
              <w:t>Media: Advertising, Printing and Publishing</w:t>
            </w:r>
          </w:p>
        </w:tc>
        <w:tc>
          <w:tcPr>
            <w:tcW w:w="960" w:type="dxa"/>
            <w:vAlign w:val="bottom"/>
            <w:gridSpan w:val="2"/>
          </w:tcPr>
          <w:p>
            <w:pPr>
              <w:jc w:val="right"/>
              <w:ind w:right="142"/>
              <w:spacing w:after="0"/>
              <w:rPr>
                <w:sz w:val="20"/>
                <w:szCs w:val="20"/>
                <w:color w:val="auto"/>
              </w:rPr>
            </w:pPr>
            <w:r>
              <w:rPr>
                <w:rFonts w:ascii="Arial" w:cs="Arial" w:eastAsia="Arial" w:hAnsi="Arial"/>
                <w:sz w:val="12"/>
                <w:szCs w:val="12"/>
                <w:color w:val="auto"/>
              </w:rPr>
              <w:t>11.80%</w:t>
            </w:r>
          </w:p>
        </w:tc>
        <w:tc>
          <w:tcPr>
            <w:tcW w:w="680" w:type="dxa"/>
            <w:vAlign w:val="bottom"/>
          </w:tcPr>
          <w:p>
            <w:pPr>
              <w:jc w:val="right"/>
              <w:spacing w:after="0"/>
              <w:rPr>
                <w:sz w:val="20"/>
                <w:szCs w:val="20"/>
                <w:color w:val="auto"/>
              </w:rPr>
            </w:pPr>
            <w:r>
              <w:rPr>
                <w:rFonts w:ascii="Arial" w:cs="Arial" w:eastAsia="Arial" w:hAnsi="Arial"/>
                <w:sz w:val="12"/>
                <w:szCs w:val="12"/>
                <w:color w:val="auto"/>
              </w:rPr>
              <w:t>L+1,050</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3,775,000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3,714,927</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3,812,750</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McAfee, LLC </w:t>
            </w:r>
            <w:r>
              <w:rPr>
                <w:rFonts w:ascii="Arial" w:cs="Arial" w:eastAsia="Arial" w:hAnsi="Arial"/>
                <w:sz w:val="9"/>
                <w:szCs w:val="9"/>
                <w:color w:val="auto"/>
              </w:rPr>
              <w:t>(8)</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09/29/2025</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High Tech Industries</w:t>
            </w:r>
          </w:p>
        </w:tc>
        <w:tc>
          <w:tcPr>
            <w:tcW w:w="960" w:type="dxa"/>
            <w:vAlign w:val="bottom"/>
            <w:gridSpan w:val="2"/>
            <w:shd w:val="clear" w:color="auto" w:fill="CCECFF"/>
          </w:tcPr>
          <w:p>
            <w:pPr>
              <w:jc w:val="right"/>
              <w:ind w:right="142"/>
              <w:spacing w:after="0"/>
              <w:rPr>
                <w:sz w:val="20"/>
                <w:szCs w:val="20"/>
                <w:color w:val="auto"/>
              </w:rPr>
            </w:pPr>
            <w:r>
              <w:rPr>
                <w:rFonts w:ascii="Arial" w:cs="Arial" w:eastAsia="Arial" w:hAnsi="Arial"/>
                <w:sz w:val="12"/>
                <w:szCs w:val="12"/>
                <w:color w:val="auto"/>
              </w:rPr>
              <w:t>9.50%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L+850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2,500,000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2,462,500</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2,500,000</w:t>
            </w:r>
          </w:p>
        </w:tc>
        <w:tc>
          <w:tcPr>
            <w:tcW w:w="100" w:type="dxa"/>
            <w:vAlign w:val="bottom"/>
            <w:shd w:val="clear" w:color="auto" w:fill="CCECFF"/>
          </w:tcPr>
          <w:p>
            <w:pPr>
              <w:spacing w:after="0"/>
              <w:rPr>
                <w:sz w:val="12"/>
                <w:szCs w:val="12"/>
                <w:color w:val="auto"/>
              </w:rPr>
            </w:pPr>
          </w:p>
        </w:tc>
      </w:tr>
      <w:tr>
        <w:trPr>
          <w:trHeight w:val="149"/>
        </w:trPr>
        <w:tc>
          <w:tcPr>
            <w:tcW w:w="3020" w:type="dxa"/>
            <w:vAlign w:val="bottom"/>
          </w:tcPr>
          <w:p>
            <w:pPr>
              <w:spacing w:after="0"/>
              <w:rPr>
                <w:sz w:val="20"/>
                <w:szCs w:val="20"/>
                <w:color w:val="auto"/>
              </w:rPr>
            </w:pPr>
            <w:r>
              <w:rPr>
                <w:rFonts w:ascii="Arial" w:cs="Arial" w:eastAsia="Arial" w:hAnsi="Arial"/>
                <w:sz w:val="12"/>
                <w:szCs w:val="12"/>
                <w:color w:val="auto"/>
              </w:rPr>
              <w:t xml:space="preserve">Sunshine Oilsands Ltd. </w:t>
            </w:r>
            <w:r>
              <w:rPr>
                <w:rFonts w:ascii="Arial" w:cs="Arial" w:eastAsia="Arial" w:hAnsi="Arial"/>
                <w:sz w:val="9"/>
                <w:szCs w:val="9"/>
                <w:color w:val="auto"/>
              </w:rPr>
              <w:t>(5), (6), (8), (10)</w:t>
            </w:r>
          </w:p>
        </w:tc>
        <w:tc>
          <w:tcPr>
            <w:tcW w:w="760" w:type="dxa"/>
            <w:vAlign w:val="bottom"/>
            <w:gridSpan w:val="2"/>
          </w:tcPr>
          <w:p>
            <w:pPr>
              <w:jc w:val="center"/>
              <w:ind w:left="62"/>
              <w:spacing w:after="0"/>
              <w:rPr>
                <w:sz w:val="20"/>
                <w:szCs w:val="20"/>
                <w:color w:val="auto"/>
              </w:rPr>
            </w:pPr>
            <w:r>
              <w:rPr>
                <w:rFonts w:ascii="Arial" w:cs="Arial" w:eastAsia="Arial" w:hAnsi="Arial"/>
                <w:sz w:val="12"/>
                <w:szCs w:val="12"/>
                <w:color w:val="auto"/>
                <w:w w:val="86"/>
              </w:rPr>
              <w:t>08/01/2018</w:t>
            </w:r>
          </w:p>
        </w:tc>
        <w:tc>
          <w:tcPr>
            <w:tcW w:w="120" w:type="dxa"/>
            <w:vAlign w:val="bottom"/>
          </w:tcPr>
          <w:p>
            <w:pPr>
              <w:spacing w:after="0"/>
              <w:rPr>
                <w:sz w:val="12"/>
                <w:szCs w:val="12"/>
                <w:color w:val="auto"/>
              </w:rPr>
            </w:pPr>
          </w:p>
        </w:tc>
        <w:tc>
          <w:tcPr>
            <w:tcW w:w="2800" w:type="dxa"/>
            <w:vAlign w:val="bottom"/>
            <w:gridSpan w:val="2"/>
          </w:tcPr>
          <w:p>
            <w:pPr>
              <w:jc w:val="center"/>
              <w:ind w:right="120"/>
              <w:spacing w:after="0"/>
              <w:rPr>
                <w:sz w:val="20"/>
                <w:szCs w:val="20"/>
                <w:color w:val="auto"/>
              </w:rPr>
            </w:pPr>
            <w:r>
              <w:rPr>
                <w:rFonts w:ascii="Arial" w:cs="Arial" w:eastAsia="Arial" w:hAnsi="Arial"/>
                <w:sz w:val="12"/>
                <w:szCs w:val="12"/>
                <w:color w:val="auto"/>
                <w:w w:val="88"/>
              </w:rPr>
              <w:t>Energy: Oil and Gas</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 xml:space="preserve">—   </w:t>
            </w:r>
            <w:r>
              <w:rPr>
                <w:rFonts w:ascii="Arial" w:cs="Arial" w:eastAsia="Arial" w:hAnsi="Arial"/>
                <w:sz w:val="9"/>
                <w:szCs w:val="9"/>
                <w:color w:val="auto"/>
              </w:rPr>
              <w:t>(7)</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spacing w:after="0"/>
              <w:rPr>
                <w:sz w:val="20"/>
                <w:szCs w:val="20"/>
                <w:color w:val="auto"/>
              </w:rPr>
            </w:pPr>
            <w:r>
              <w:rPr>
                <w:rFonts w:ascii="Arial" w:cs="Arial" w:eastAsia="Arial" w:hAnsi="Arial"/>
                <w:sz w:val="12"/>
                <w:szCs w:val="12"/>
                <w:color w:val="auto"/>
              </w:rPr>
              <w:t>2,792,500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2,720,508</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1,144,925</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Veritext Corp.</w:t>
            </w:r>
          </w:p>
        </w:tc>
        <w:tc>
          <w:tcPr>
            <w:tcW w:w="7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6"/>
              </w:rPr>
              <w:t>01/30/2023</w:t>
            </w:r>
          </w:p>
        </w:tc>
        <w:tc>
          <w:tcPr>
            <w:tcW w:w="120" w:type="dxa"/>
            <w:vAlign w:val="bottom"/>
            <w:shd w:val="clear" w:color="auto" w:fill="CCECFF"/>
          </w:tcPr>
          <w:p>
            <w:pPr>
              <w:spacing w:after="0"/>
              <w:rPr>
                <w:sz w:val="12"/>
                <w:szCs w:val="12"/>
                <w:color w:val="auto"/>
              </w:rPr>
            </w:pPr>
          </w:p>
        </w:tc>
        <w:tc>
          <w:tcPr>
            <w:tcW w:w="280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5"/>
              </w:rPr>
              <w:t>Business Services</w:t>
            </w:r>
          </w:p>
        </w:tc>
        <w:tc>
          <w:tcPr>
            <w:tcW w:w="960" w:type="dxa"/>
            <w:vAlign w:val="bottom"/>
            <w:gridSpan w:val="2"/>
            <w:shd w:val="clear" w:color="auto" w:fill="CCECFF"/>
          </w:tcPr>
          <w:p>
            <w:pPr>
              <w:jc w:val="right"/>
              <w:ind w:right="142"/>
              <w:spacing w:after="0"/>
              <w:rPr>
                <w:sz w:val="20"/>
                <w:szCs w:val="20"/>
                <w:color w:val="auto"/>
              </w:rPr>
            </w:pPr>
            <w:r>
              <w:rPr>
                <w:rFonts w:ascii="Arial" w:cs="Arial" w:eastAsia="Arial" w:hAnsi="Arial"/>
                <w:sz w:val="12"/>
                <w:szCs w:val="12"/>
                <w:color w:val="auto"/>
              </w:rPr>
              <w:t>10.33%</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L+900</w:t>
            </w:r>
          </w:p>
        </w:tc>
        <w:tc>
          <w:tcPr>
            <w:tcW w:w="90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2,690,625</w:t>
            </w:r>
          </w:p>
        </w:tc>
        <w:tc>
          <w:tcPr>
            <w:tcW w:w="240" w:type="dxa"/>
            <w:vAlign w:val="bottom"/>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2,623,765</w:t>
            </w:r>
          </w:p>
        </w:tc>
        <w:tc>
          <w:tcPr>
            <w:tcW w:w="240" w:type="dxa"/>
            <w:vAlign w:val="bottom"/>
            <w:shd w:val="clear" w:color="auto" w:fill="CCECFF"/>
          </w:tcPr>
          <w:p>
            <w:pPr>
              <w:spacing w:after="0"/>
              <w:rPr>
                <w:sz w:val="12"/>
                <w:szCs w:val="12"/>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2,663,719</w:t>
            </w:r>
          </w:p>
        </w:tc>
        <w:tc>
          <w:tcPr>
            <w:tcW w:w="100" w:type="dxa"/>
            <w:vAlign w:val="bottom"/>
            <w:shd w:val="clear" w:color="auto" w:fill="CCECFF"/>
          </w:tcPr>
          <w:p>
            <w:pPr>
              <w:spacing w:after="0"/>
              <w:rPr>
                <w:sz w:val="12"/>
                <w:szCs w:val="12"/>
                <w:color w:val="auto"/>
              </w:rPr>
            </w:pPr>
          </w:p>
        </w:tc>
      </w:tr>
      <w:tr>
        <w:trPr>
          <w:trHeight w:val="142"/>
        </w:trPr>
        <w:tc>
          <w:tcPr>
            <w:tcW w:w="3020" w:type="dxa"/>
            <w:vAlign w:val="bottom"/>
          </w:tcPr>
          <w:p>
            <w:pPr>
              <w:spacing w:after="0"/>
              <w:rPr>
                <w:sz w:val="20"/>
                <w:szCs w:val="20"/>
                <w:color w:val="auto"/>
              </w:rPr>
            </w:pPr>
            <w:r>
              <w:rPr>
                <w:rFonts w:ascii="Arial" w:cs="Arial" w:eastAsia="Arial" w:hAnsi="Arial"/>
                <w:sz w:val="12"/>
                <w:szCs w:val="12"/>
                <w:b w:val="1"/>
                <w:bCs w:val="1"/>
                <w:color w:val="auto"/>
              </w:rPr>
              <w:t>Total Second Lien Secured Debt</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39,263,036</w:t>
            </w:r>
          </w:p>
        </w:tc>
        <w:tc>
          <w:tcPr>
            <w:tcW w:w="240" w:type="dxa"/>
            <w:vAlign w:val="bottom"/>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37,833,394</w:t>
            </w:r>
          </w:p>
        </w:tc>
        <w:tc>
          <w:tcPr>
            <w:tcW w:w="100" w:type="dxa"/>
            <w:vAlign w:val="bottom"/>
          </w:tcPr>
          <w:p>
            <w:pPr>
              <w:spacing w:after="0"/>
              <w:rPr>
                <w:sz w:val="12"/>
                <w:szCs w:val="12"/>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rPr>
          <w:sz w:val="20"/>
          <w:szCs w:val="20"/>
          <w:color w:val="auto"/>
        </w:rPr>
      </w:pPr>
      <w:r>
        <w:rPr>
          <w:rFonts w:ascii="Arial" w:cs="Arial" w:eastAsia="Arial" w:hAnsi="Arial"/>
          <w:sz w:val="14"/>
          <w:szCs w:val="14"/>
          <w:b w:val="1"/>
          <w:bCs w:val="1"/>
          <w:color w:val="auto"/>
        </w:rPr>
        <w:t>SEPTEMBER 30, 2017</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5"/>
              </w:rPr>
              <w:t>Basis Point</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3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88"/>
              </w:rPr>
              <w:t>Spread</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Current</w:t>
            </w:r>
          </w:p>
        </w:tc>
        <w:tc>
          <w:tcPr>
            <w:tcW w:w="90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87"/>
              </w:rPr>
              <w:t>Above</w:t>
            </w:r>
          </w:p>
        </w:tc>
        <w:tc>
          <w:tcPr>
            <w:tcW w:w="92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92"/>
              </w:rPr>
              <w:t>Par /</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3"/>
        </w:trPr>
        <w:tc>
          <w:tcPr>
            <w:tcW w:w="3000" w:type="dxa"/>
            <w:vAlign w:val="bottom"/>
          </w:tcPr>
          <w:p>
            <w:pPr>
              <w:spacing w:after="0"/>
              <w:rPr>
                <w:sz w:val="20"/>
                <w:szCs w:val="20"/>
                <w:color w:val="auto"/>
              </w:rPr>
            </w:pPr>
            <w:r>
              <w:rPr>
                <w:rFonts w:ascii="Arial" w:cs="Arial" w:eastAsia="Arial" w:hAnsi="Arial"/>
                <w:sz w:val="12"/>
                <w:szCs w:val="12"/>
                <w:b w:val="1"/>
                <w:bCs w:val="1"/>
                <w:color w:val="auto"/>
              </w:rPr>
              <w:t>Issuer Name</w:t>
            </w:r>
          </w:p>
        </w:tc>
        <w:tc>
          <w:tcPr>
            <w:tcW w:w="120" w:type="dxa"/>
            <w:vAlign w:val="bottom"/>
          </w:tcPr>
          <w:p>
            <w:pPr>
              <w:spacing w:after="0"/>
              <w:rPr>
                <w:sz w:val="12"/>
                <w:szCs w:val="12"/>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8"/>
              </w:rPr>
              <w:t>Maturity</w:t>
            </w:r>
          </w:p>
        </w:tc>
        <w:tc>
          <w:tcPr>
            <w:tcW w:w="27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2"/>
              </w:rPr>
              <w:t>Industry</w:t>
            </w:r>
          </w:p>
        </w:tc>
        <w:tc>
          <w:tcPr>
            <w:tcW w:w="960" w:type="dxa"/>
            <w:vAlign w:val="bottom"/>
            <w:gridSpan w:val="2"/>
          </w:tcPr>
          <w:p>
            <w:pPr>
              <w:ind w:left="140"/>
              <w:spacing w:after="0"/>
              <w:rPr>
                <w:sz w:val="20"/>
                <w:szCs w:val="20"/>
                <w:color w:val="auto"/>
              </w:rPr>
            </w:pPr>
            <w:r>
              <w:rPr>
                <w:rFonts w:ascii="Arial" w:cs="Arial" w:eastAsia="Arial" w:hAnsi="Arial"/>
                <w:sz w:val="12"/>
                <w:szCs w:val="12"/>
                <w:b w:val="1"/>
                <w:bCs w:val="1"/>
                <w:color w:val="auto"/>
              </w:rPr>
              <w:t>Coupon</w:t>
            </w:r>
          </w:p>
        </w:tc>
        <w:tc>
          <w:tcPr>
            <w:tcW w:w="9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(1)</w:t>
            </w:r>
          </w:p>
        </w:tc>
        <w:tc>
          <w:tcPr>
            <w:tcW w:w="92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4"/>
              </w:rPr>
              <w:t>Shares</w:t>
            </w:r>
          </w:p>
        </w:tc>
        <w:tc>
          <w:tcPr>
            <w:tcW w:w="80" w:type="dxa"/>
            <w:vAlign w:val="bottom"/>
          </w:tcPr>
          <w:p>
            <w:pPr>
              <w:spacing w:after="0"/>
              <w:rPr>
                <w:sz w:val="12"/>
                <w:szCs w:val="12"/>
                <w:color w:val="auto"/>
              </w:rPr>
            </w:pP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Cost</w:t>
            </w:r>
          </w:p>
        </w:tc>
        <w:tc>
          <w:tcPr>
            <w:tcW w:w="860" w:type="dxa"/>
            <w:vAlign w:val="bottom"/>
            <w:gridSpan w:val="3"/>
          </w:tcPr>
          <w:p>
            <w:pPr>
              <w:jc w:val="right"/>
              <w:ind w:right="160"/>
              <w:spacing w:after="0"/>
              <w:rPr>
                <w:sz w:val="20"/>
                <w:szCs w:val="20"/>
                <w:color w:val="auto"/>
              </w:rPr>
            </w:pPr>
            <w:r>
              <w:rPr>
                <w:rFonts w:ascii="Arial" w:cs="Arial" w:eastAsia="Arial" w:hAnsi="Arial"/>
                <w:sz w:val="12"/>
                <w:szCs w:val="12"/>
                <w:b w:val="1"/>
                <w:bCs w:val="1"/>
                <w:color w:val="auto"/>
                <w:w w:val="94"/>
              </w:rPr>
              <w:t xml:space="preserve">Fair Value </w:t>
            </w:r>
            <w:r>
              <w:rPr>
                <w:rFonts w:ascii="Arial" w:cs="Arial" w:eastAsia="Arial" w:hAnsi="Arial"/>
                <w:sz w:val="9"/>
                <w:szCs w:val="9"/>
                <w:b w:val="1"/>
                <w:bCs w:val="1"/>
                <w:color w:val="auto"/>
                <w:w w:val="94"/>
              </w:rPr>
              <w:t>(2)</w:t>
            </w:r>
          </w:p>
        </w:tc>
      </w:tr>
      <w:tr>
        <w:trPr>
          <w:trHeight w:val="142"/>
        </w:trPr>
        <w:tc>
          <w:tcPr>
            <w:tcW w:w="3000" w:type="dxa"/>
            <w:vAlign w:val="bottom"/>
            <w:tcBorders>
              <w:top w:val="single" w:sz="8" w:color="auto"/>
            </w:tcBorders>
            <w:shd w:val="clear" w:color="auto" w:fill="CCECFF"/>
          </w:tcPr>
          <w:p>
            <w:pPr>
              <w:spacing w:after="0"/>
              <w:rPr>
                <w:sz w:val="20"/>
                <w:szCs w:val="20"/>
                <w:color w:val="auto"/>
              </w:rPr>
            </w:pPr>
            <w:r>
              <w:rPr>
                <w:rFonts w:ascii="Arial" w:cs="Arial" w:eastAsia="Arial" w:hAnsi="Arial"/>
                <w:sz w:val="12"/>
                <w:szCs w:val="12"/>
                <w:b w:val="1"/>
                <w:bCs w:val="1"/>
                <w:color w:val="auto"/>
              </w:rPr>
              <w:t xml:space="preserve">Subordinated Debt/Corporate Notes—1.6% </w:t>
            </w:r>
            <w:r>
              <w:rPr>
                <w:rFonts w:ascii="Arial" w:cs="Arial" w:eastAsia="Arial" w:hAnsi="Arial"/>
                <w:sz w:val="9"/>
                <w:szCs w:val="9"/>
                <w:b w:val="1"/>
                <w:bCs w:val="1"/>
                <w:color w:val="auto"/>
              </w:rPr>
              <w:t>(8)</w:t>
            </w:r>
          </w:p>
        </w:tc>
        <w:tc>
          <w:tcPr>
            <w:tcW w:w="120" w:type="dxa"/>
            <w:vAlign w:val="bottom"/>
            <w:tcBorders>
              <w:top w:val="single" w:sz="8" w:color="CCECFF"/>
            </w:tcBorders>
            <w:shd w:val="clear" w:color="auto" w:fill="CCECFF"/>
          </w:tcPr>
          <w:p>
            <w:pPr>
              <w:spacing w:after="0"/>
              <w:rPr>
                <w:sz w:val="12"/>
                <w:szCs w:val="12"/>
                <w:color w:val="auto"/>
              </w:rPr>
            </w:pPr>
          </w:p>
        </w:tc>
        <w:tc>
          <w:tcPr>
            <w:tcW w:w="54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2640" w:type="dxa"/>
            <w:vAlign w:val="bottom"/>
            <w:tcBorders>
              <w:top w:val="single" w:sz="8" w:color="auto"/>
            </w:tcBorders>
            <w:shd w:val="clear" w:color="auto" w:fill="CCECFF"/>
          </w:tcPr>
          <w:p>
            <w:pPr>
              <w:spacing w:after="0"/>
              <w:rPr>
                <w:sz w:val="12"/>
                <w:szCs w:val="12"/>
                <w:color w:val="auto"/>
              </w:rPr>
            </w:pPr>
          </w:p>
        </w:tc>
        <w:tc>
          <w:tcPr>
            <w:tcW w:w="120" w:type="dxa"/>
            <w:vAlign w:val="bottom"/>
            <w:tcBorders>
              <w:top w:val="single" w:sz="8" w:color="CCECFF"/>
            </w:tcBorders>
            <w:shd w:val="clear" w:color="auto" w:fill="CCECFF"/>
          </w:tcPr>
          <w:p>
            <w:pPr>
              <w:spacing w:after="0"/>
              <w:rPr>
                <w:sz w:val="12"/>
                <w:szCs w:val="12"/>
                <w:color w:val="auto"/>
              </w:rPr>
            </w:pPr>
          </w:p>
        </w:tc>
        <w:tc>
          <w:tcPr>
            <w:tcW w:w="680" w:type="dxa"/>
            <w:vAlign w:val="bottom"/>
            <w:tcBorders>
              <w:top w:val="single" w:sz="8" w:color="auto"/>
            </w:tcBorders>
            <w:shd w:val="clear" w:color="auto" w:fill="CCECFF"/>
          </w:tcPr>
          <w:p>
            <w:pPr>
              <w:spacing w:after="0"/>
              <w:rPr>
                <w:sz w:val="12"/>
                <w:szCs w:val="12"/>
                <w:color w:val="auto"/>
              </w:rPr>
            </w:pPr>
          </w:p>
        </w:tc>
        <w:tc>
          <w:tcPr>
            <w:tcW w:w="280" w:type="dxa"/>
            <w:vAlign w:val="bottom"/>
            <w:tcBorders>
              <w:top w:val="single" w:sz="8" w:color="CCECFF"/>
            </w:tcBorders>
            <w:shd w:val="clear" w:color="auto" w:fill="CCECFF"/>
          </w:tcPr>
          <w:p>
            <w:pPr>
              <w:spacing w:after="0"/>
              <w:rPr>
                <w:sz w:val="12"/>
                <w:szCs w:val="12"/>
                <w:color w:val="auto"/>
              </w:rPr>
            </w:pPr>
          </w:p>
        </w:tc>
        <w:tc>
          <w:tcPr>
            <w:tcW w:w="680" w:type="dxa"/>
            <w:vAlign w:val="bottom"/>
            <w:tcBorders>
              <w:top w:val="single" w:sz="8" w:color="auto"/>
            </w:tcBorders>
            <w:shd w:val="clear" w:color="auto" w:fill="CCECFF"/>
          </w:tcPr>
          <w:p>
            <w:pPr>
              <w:spacing w:after="0"/>
              <w:rPr>
                <w:sz w:val="12"/>
                <w:szCs w:val="12"/>
                <w:color w:val="auto"/>
              </w:rPr>
            </w:pPr>
          </w:p>
        </w:tc>
        <w:tc>
          <w:tcPr>
            <w:tcW w:w="220" w:type="dxa"/>
            <w:vAlign w:val="bottom"/>
            <w:tcBorders>
              <w:top w:val="single" w:sz="8" w:color="CCECFF"/>
            </w:tcBorders>
            <w:shd w:val="clear" w:color="auto" w:fill="CCECFF"/>
          </w:tcPr>
          <w:p>
            <w:pPr>
              <w:spacing w:after="0"/>
              <w:rPr>
                <w:sz w:val="12"/>
                <w:szCs w:val="12"/>
                <w:color w:val="auto"/>
              </w:rPr>
            </w:pPr>
          </w:p>
        </w:tc>
        <w:tc>
          <w:tcPr>
            <w:tcW w:w="68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tcBorders>
            <w:shd w:val="clear" w:color="auto" w:fill="CCECFF"/>
          </w:tcPr>
          <w:p>
            <w:pPr>
              <w:spacing w:after="0"/>
              <w:rPr>
                <w:sz w:val="12"/>
                <w:szCs w:val="12"/>
                <w:color w:val="auto"/>
              </w:rPr>
            </w:pPr>
          </w:p>
        </w:tc>
        <w:tc>
          <w:tcPr>
            <w:tcW w:w="62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tcBorders>
            <w:shd w:val="clear" w:color="auto" w:fill="CCECFF"/>
          </w:tcPr>
          <w:p>
            <w:pPr>
              <w:spacing w:after="0"/>
              <w:rPr>
                <w:sz w:val="12"/>
                <w:szCs w:val="12"/>
                <w:color w:val="auto"/>
              </w:rPr>
            </w:pPr>
          </w:p>
        </w:tc>
        <w:tc>
          <w:tcPr>
            <w:tcW w:w="680" w:type="dxa"/>
            <w:vAlign w:val="bottom"/>
            <w:tcBorders>
              <w:top w:val="single" w:sz="8" w:color="auto"/>
            </w:tcBorders>
            <w:shd w:val="clear" w:color="auto" w:fill="CCECFF"/>
          </w:tcPr>
          <w:p>
            <w:pPr>
              <w:spacing w:after="0"/>
              <w:rPr>
                <w:sz w:val="12"/>
                <w:szCs w:val="12"/>
                <w:color w:val="auto"/>
              </w:rPr>
            </w:pPr>
          </w:p>
        </w:tc>
        <w:tc>
          <w:tcPr>
            <w:tcW w:w="100" w:type="dxa"/>
            <w:vAlign w:val="bottom"/>
            <w:tcBorders>
              <w:top w:val="single" w:sz="8" w:color="CCECFF"/>
            </w:tcBorders>
            <w:shd w:val="clear" w:color="auto" w:fill="CCECFF"/>
          </w:tcPr>
          <w:p>
            <w:pPr>
              <w:spacing w:after="0"/>
              <w:rPr>
                <w:sz w:val="12"/>
                <w:szCs w:val="12"/>
                <w:color w:val="auto"/>
              </w:rPr>
            </w:pPr>
          </w:p>
        </w:tc>
      </w:tr>
      <w:tr>
        <w:trPr>
          <w:trHeight w:val="156"/>
        </w:trPr>
        <w:tc>
          <w:tcPr>
            <w:tcW w:w="3000" w:type="dxa"/>
            <w:vAlign w:val="bottom"/>
          </w:tcPr>
          <w:p>
            <w:pPr>
              <w:spacing w:after="0"/>
              <w:rPr>
                <w:sz w:val="20"/>
                <w:szCs w:val="20"/>
                <w:color w:val="auto"/>
              </w:rPr>
            </w:pPr>
            <w:r>
              <w:rPr>
                <w:rFonts w:ascii="Arial" w:cs="Arial" w:eastAsia="Arial" w:hAnsi="Arial"/>
                <w:sz w:val="12"/>
                <w:szCs w:val="12"/>
                <w:color w:val="auto"/>
              </w:rPr>
              <w:t xml:space="preserve">American Gilsonite Company </w:t>
            </w:r>
            <w:r>
              <w:rPr>
                <w:rFonts w:ascii="Arial" w:cs="Arial" w:eastAsia="Arial" w:hAnsi="Arial"/>
                <w:sz w:val="9"/>
                <w:szCs w:val="9"/>
                <w:color w:val="auto"/>
              </w:rPr>
              <w:t>(5)</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12/31/2021</w:t>
            </w:r>
          </w:p>
        </w:tc>
        <w:tc>
          <w:tcPr>
            <w:tcW w:w="240" w:type="dxa"/>
            <w:vAlign w:val="bottom"/>
          </w:tcPr>
          <w:p>
            <w:pPr>
              <w:spacing w:after="0"/>
              <w:rPr>
                <w:sz w:val="13"/>
                <w:szCs w:val="13"/>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2"/>
                <w:szCs w:val="12"/>
                <w:color w:val="auto"/>
                <w:w w:val="92"/>
              </w:rPr>
              <w:t>Metals and Mining</w:t>
            </w: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17.00%</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382,989</w:t>
            </w:r>
          </w:p>
        </w:tc>
        <w:tc>
          <w:tcPr>
            <w:tcW w:w="240" w:type="dxa"/>
            <w:vAlign w:val="bottom"/>
          </w:tcPr>
          <w:p>
            <w:pPr>
              <w:spacing w:after="0"/>
              <w:rPr>
                <w:sz w:val="13"/>
                <w:szCs w:val="13"/>
                <w:color w:val="auto"/>
              </w:rPr>
            </w:pPr>
          </w:p>
        </w:tc>
        <w:tc>
          <w:tcPr>
            <w:tcW w:w="80" w:type="dxa"/>
            <w:vAlign w:val="bottom"/>
          </w:tcPr>
          <w:p>
            <w:pPr>
              <w:jc w:val="right"/>
              <w:ind w:right="17"/>
              <w:spacing w:after="0"/>
              <w:rPr>
                <w:sz w:val="20"/>
                <w:szCs w:val="20"/>
                <w:color w:val="auto"/>
              </w:rPr>
            </w:pPr>
            <w:r>
              <w:rPr>
                <w:rFonts w:ascii="Arial" w:cs="Arial" w:eastAsia="Arial" w:hAnsi="Arial"/>
                <w:sz w:val="5"/>
                <w:szCs w:val="5"/>
                <w:color w:val="auto"/>
                <w:w w:val="70"/>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382,989</w:t>
            </w:r>
          </w:p>
        </w:tc>
        <w:tc>
          <w:tcPr>
            <w:tcW w:w="2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417,458</w:t>
            </w:r>
          </w:p>
        </w:tc>
        <w:tc>
          <w:tcPr>
            <w:tcW w:w="100" w:type="dxa"/>
            <w:vAlign w:val="bottom"/>
          </w:tcPr>
          <w:p>
            <w:pPr>
              <w:spacing w:after="0"/>
              <w:rPr>
                <w:sz w:val="13"/>
                <w:szCs w:val="13"/>
                <w:color w:val="auto"/>
              </w:rPr>
            </w:pPr>
          </w:p>
        </w:tc>
      </w:tr>
      <w:tr>
        <w:trPr>
          <w:trHeight w:val="141"/>
        </w:trPr>
        <w:tc>
          <w:tcPr>
            <w:tcW w:w="3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ind w:left="140"/>
              <w:spacing w:after="0"/>
              <w:rPr>
                <w:sz w:val="20"/>
                <w:szCs w:val="20"/>
                <w:color w:val="auto"/>
              </w:rPr>
            </w:pPr>
            <w:r>
              <w:rPr>
                <w:rFonts w:ascii="Arial" w:cs="Arial" w:eastAsia="Arial" w:hAnsi="Arial"/>
                <w:sz w:val="12"/>
                <w:szCs w:val="12"/>
                <w:color w:val="auto"/>
              </w:rPr>
              <w:t>(PIK 17.00%)</w:t>
            </w: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Credit Infonet, Inc.</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10/26/2020</w:t>
            </w:r>
          </w:p>
        </w:tc>
        <w:tc>
          <w:tcPr>
            <w:tcW w:w="24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High Tech Industries</w:t>
            </w:r>
          </w:p>
        </w:tc>
        <w:tc>
          <w:tcPr>
            <w:tcW w:w="96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13.00%</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2,090,982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2,051,232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2,090,982</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2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(PIK 0.75%)</w:t>
            </w: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Sonny's Enterprises, LLC</w:t>
            </w:r>
          </w:p>
        </w:tc>
        <w:tc>
          <w:tcPr>
            <w:tcW w:w="66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06/01/2023</w:t>
            </w:r>
          </w:p>
        </w:tc>
        <w:tc>
          <w:tcPr>
            <w:tcW w:w="240" w:type="dxa"/>
            <w:vAlign w:val="bottom"/>
          </w:tcPr>
          <w:p>
            <w:pPr>
              <w:spacing w:after="0"/>
              <w:rPr>
                <w:sz w:val="12"/>
                <w:szCs w:val="12"/>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Capital Equipment</w:t>
            </w: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11.00%</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4,750,000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4,662,663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4,750,000</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UniTek Global Services, Inc.</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07/15/2019</w:t>
            </w:r>
          </w:p>
        </w:tc>
        <w:tc>
          <w:tcPr>
            <w:tcW w:w="24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Telecommunications</w:t>
            </w:r>
          </w:p>
        </w:tc>
        <w:tc>
          <w:tcPr>
            <w:tcW w:w="96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15.00%</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170,523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170,523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173,933</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2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960" w:type="dxa"/>
            <w:vAlign w:val="bottom"/>
            <w:gridSpan w:val="2"/>
            <w:shd w:val="clear" w:color="auto" w:fill="CCECFF"/>
          </w:tcPr>
          <w:p>
            <w:pPr>
              <w:ind w:left="140"/>
              <w:spacing w:after="0"/>
              <w:rPr>
                <w:sz w:val="20"/>
                <w:szCs w:val="20"/>
                <w:color w:val="auto"/>
              </w:rPr>
            </w:pPr>
            <w:r>
              <w:rPr>
                <w:rFonts w:ascii="Arial" w:cs="Arial" w:eastAsia="Arial" w:hAnsi="Arial"/>
                <w:sz w:val="12"/>
                <w:szCs w:val="12"/>
                <w:color w:val="auto"/>
              </w:rPr>
              <w:t>(PIK 15.00%)</w:t>
            </w: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80" w:type="dxa"/>
            <w:vAlign w:val="bottom"/>
            <w:tcBorders>
              <w:bottom w:val="single" w:sz="8" w:color="auto"/>
            </w:tcBorders>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2"/>
        </w:trPr>
        <w:tc>
          <w:tcPr>
            <w:tcW w:w="300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Subordinated Debt/Corporate Notes</w:t>
            </w:r>
          </w:p>
        </w:tc>
        <w:tc>
          <w:tcPr>
            <w:tcW w:w="120" w:type="dxa"/>
            <w:vAlign w:val="bottom"/>
            <w:tcBorders>
              <w:bottom w:val="single" w:sz="8" w:color="CCECFF"/>
            </w:tcBorders>
          </w:tcPr>
          <w:p>
            <w:pPr>
              <w:spacing w:after="0"/>
              <w:rPr>
                <w:sz w:val="12"/>
                <w:szCs w:val="12"/>
                <w:color w:val="auto"/>
              </w:rPr>
            </w:pPr>
          </w:p>
        </w:tc>
        <w:tc>
          <w:tcPr>
            <w:tcW w:w="54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264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8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7,267,407</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7,432,373</w:t>
            </w:r>
          </w:p>
        </w:tc>
        <w:tc>
          <w:tcPr>
            <w:tcW w:w="100" w:type="dxa"/>
            <w:vAlign w:val="bottom"/>
            <w:tcBorders>
              <w:bottom w:val="single" w:sz="8" w:color="CCECFF"/>
            </w:tcBorders>
          </w:tcPr>
          <w:p>
            <w:pPr>
              <w:spacing w:after="0"/>
              <w:rPr>
                <w:sz w:val="12"/>
                <w:szCs w:val="12"/>
                <w:color w:val="auto"/>
              </w:rPr>
            </w:pPr>
          </w:p>
        </w:tc>
      </w:tr>
      <w:tr>
        <w:trPr>
          <w:trHeight w:val="142"/>
        </w:trPr>
        <w:tc>
          <w:tcPr>
            <w:tcW w:w="300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 xml:space="preserve">Preferred Equity—0.5% </w:t>
            </w:r>
            <w:r>
              <w:rPr>
                <w:rFonts w:ascii="Arial" w:cs="Arial" w:eastAsia="Arial" w:hAnsi="Arial"/>
                <w:sz w:val="9"/>
                <w:szCs w:val="9"/>
                <w:b w:val="1"/>
                <w:bCs w:val="1"/>
                <w:color w:val="auto"/>
              </w:rPr>
              <w:t>(7), (8)</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2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UniTek Global Services, Inc. - Senior Preferred Equity</w:t>
            </w:r>
          </w:p>
        </w:tc>
        <w:tc>
          <w:tcPr>
            <w:tcW w:w="120" w:type="dxa"/>
            <w:vAlign w:val="bottom"/>
          </w:tcPr>
          <w:p>
            <w:pPr>
              <w:spacing w:after="0"/>
              <w:rPr>
                <w:sz w:val="12"/>
                <w:szCs w:val="12"/>
                <w:color w:val="auto"/>
              </w:rPr>
            </w:pPr>
          </w:p>
        </w:tc>
        <w:tc>
          <w:tcPr>
            <w:tcW w:w="78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76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Telecommunications</w:t>
            </w: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18.00%</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448,851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448,851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472,846</w:t>
            </w:r>
          </w:p>
        </w:tc>
        <w:tc>
          <w:tcPr>
            <w:tcW w:w="100" w:type="dxa"/>
            <w:vAlign w:val="bottom"/>
          </w:tcPr>
          <w:p>
            <w:pPr>
              <w:spacing w:after="0"/>
              <w:rPr>
                <w:sz w:val="12"/>
                <w:szCs w:val="12"/>
                <w:color w:val="auto"/>
              </w:rPr>
            </w:pPr>
          </w:p>
        </w:tc>
      </w:tr>
      <w:tr>
        <w:trPr>
          <w:trHeight w:val="149"/>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UniTek Global Services, Inc.</w:t>
            </w:r>
          </w:p>
        </w:tc>
        <w:tc>
          <w:tcPr>
            <w:tcW w:w="120" w:type="dxa"/>
            <w:vAlign w:val="bottom"/>
            <w:shd w:val="clear" w:color="auto" w:fill="CCECFF"/>
          </w:tcPr>
          <w:p>
            <w:pPr>
              <w:spacing w:after="0"/>
              <w:rPr>
                <w:sz w:val="12"/>
                <w:szCs w:val="12"/>
                <w:color w:val="auto"/>
              </w:rPr>
            </w:pPr>
          </w:p>
        </w:tc>
        <w:tc>
          <w:tcPr>
            <w:tcW w:w="78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Telecommunications</w:t>
            </w:r>
          </w:p>
        </w:tc>
        <w:tc>
          <w:tcPr>
            <w:tcW w:w="96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13.50%</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1,047,317</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670,283</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1,509,417</w:t>
            </w:r>
          </w:p>
        </w:tc>
        <w:tc>
          <w:tcPr>
            <w:tcW w:w="100" w:type="dxa"/>
            <w:vAlign w:val="bottom"/>
            <w:shd w:val="clear" w:color="auto" w:fill="CCECFF"/>
          </w:tcPr>
          <w:p>
            <w:pPr>
              <w:spacing w:after="0"/>
              <w:rPr>
                <w:sz w:val="12"/>
                <w:szCs w:val="12"/>
                <w:color w:val="auto"/>
              </w:rPr>
            </w:pPr>
          </w:p>
        </w:tc>
      </w:tr>
      <w:tr>
        <w:trPr>
          <w:trHeight w:val="142"/>
        </w:trPr>
        <w:tc>
          <w:tcPr>
            <w:tcW w:w="300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Preferred Equity</w:t>
            </w:r>
          </w:p>
        </w:tc>
        <w:tc>
          <w:tcPr>
            <w:tcW w:w="120" w:type="dxa"/>
            <w:vAlign w:val="bottom"/>
            <w:tcBorders>
              <w:bottom w:val="single" w:sz="8" w:color="CCECFF"/>
            </w:tcBorders>
          </w:tcPr>
          <w:p>
            <w:pPr>
              <w:spacing w:after="0"/>
              <w:rPr>
                <w:sz w:val="12"/>
                <w:szCs w:val="12"/>
                <w:color w:val="auto"/>
              </w:rPr>
            </w:pPr>
          </w:p>
        </w:tc>
        <w:tc>
          <w:tcPr>
            <w:tcW w:w="54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264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8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1,119,134</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1,982,263</w:t>
            </w:r>
          </w:p>
        </w:tc>
        <w:tc>
          <w:tcPr>
            <w:tcW w:w="100" w:type="dxa"/>
            <w:vAlign w:val="bottom"/>
            <w:tcBorders>
              <w:bottom w:val="single" w:sz="8" w:color="CCECFF"/>
            </w:tcBorders>
          </w:tcPr>
          <w:p>
            <w:pPr>
              <w:spacing w:after="0"/>
              <w:rPr>
                <w:sz w:val="12"/>
                <w:szCs w:val="12"/>
                <w:color w:val="auto"/>
              </w:rPr>
            </w:pPr>
          </w:p>
        </w:tc>
      </w:tr>
      <w:tr>
        <w:trPr>
          <w:trHeight w:val="142"/>
        </w:trPr>
        <w:tc>
          <w:tcPr>
            <w:tcW w:w="300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 xml:space="preserve">Common Equity/Warrants—2.2% </w:t>
            </w:r>
            <w:r>
              <w:rPr>
                <w:rFonts w:ascii="Arial" w:cs="Arial" w:eastAsia="Arial" w:hAnsi="Arial"/>
                <w:sz w:val="9"/>
                <w:szCs w:val="9"/>
                <w:b w:val="1"/>
                <w:bCs w:val="1"/>
                <w:color w:val="auto"/>
              </w:rPr>
              <w:t>(7), (8)</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2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Affinion Group Holdings, Inc.</w:t>
            </w:r>
          </w:p>
        </w:tc>
        <w:tc>
          <w:tcPr>
            <w:tcW w:w="120" w:type="dxa"/>
            <w:vAlign w:val="bottom"/>
          </w:tcPr>
          <w:p>
            <w:pPr>
              <w:spacing w:after="0"/>
              <w:rPr>
                <w:sz w:val="12"/>
                <w:szCs w:val="12"/>
                <w:color w:val="auto"/>
              </w:rPr>
            </w:pPr>
          </w:p>
        </w:tc>
        <w:tc>
          <w:tcPr>
            <w:tcW w:w="78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760" w:type="dxa"/>
            <w:vAlign w:val="bottom"/>
            <w:gridSpan w:val="2"/>
          </w:tcPr>
          <w:p>
            <w:pPr>
              <w:jc w:val="center"/>
              <w:ind w:right="140"/>
              <w:spacing w:after="0"/>
              <w:rPr>
                <w:sz w:val="20"/>
                <w:szCs w:val="20"/>
                <w:color w:val="auto"/>
              </w:rPr>
            </w:pPr>
            <w:r>
              <w:rPr>
                <w:rFonts w:ascii="Arial" w:cs="Arial" w:eastAsia="Arial" w:hAnsi="Arial"/>
                <w:sz w:val="12"/>
                <w:szCs w:val="12"/>
                <w:color w:val="auto"/>
                <w:w w:val="88"/>
              </w:rPr>
              <w:t>Consumer Goods: Durable</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99,029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3,514,572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2,263,885</w:t>
            </w:r>
          </w:p>
        </w:tc>
        <w:tc>
          <w:tcPr>
            <w:tcW w:w="100" w:type="dxa"/>
            <w:vAlign w:val="bottom"/>
          </w:tcPr>
          <w:p>
            <w:pPr>
              <w:spacing w:after="0"/>
              <w:rPr>
                <w:sz w:val="12"/>
                <w:szCs w:val="12"/>
                <w:color w:val="auto"/>
              </w:rPr>
            </w:pPr>
          </w:p>
        </w:tc>
      </w:tr>
      <w:tr>
        <w:trPr>
          <w:trHeight w:val="149"/>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Affinion Group Holdings, Inc., Series C and Series D</w:t>
            </w:r>
          </w:p>
        </w:tc>
        <w:tc>
          <w:tcPr>
            <w:tcW w:w="120" w:type="dxa"/>
            <w:vAlign w:val="bottom"/>
            <w:shd w:val="clear" w:color="auto" w:fill="CCECFF"/>
          </w:tcPr>
          <w:p>
            <w:pPr>
              <w:spacing w:after="0"/>
              <w:rPr>
                <w:sz w:val="12"/>
                <w:szCs w:val="12"/>
                <w:color w:val="auto"/>
              </w:rPr>
            </w:pPr>
          </w:p>
        </w:tc>
        <w:tc>
          <w:tcPr>
            <w:tcW w:w="78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8"/>
              </w:rPr>
              <w:t>Consumer Goods: Durable</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4,298</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1,186,649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6,398</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American Gilsonite Company</w:t>
            </w:r>
          </w:p>
        </w:tc>
        <w:tc>
          <w:tcPr>
            <w:tcW w:w="120" w:type="dxa"/>
            <w:vAlign w:val="bottom"/>
          </w:tcPr>
          <w:p>
            <w:pPr>
              <w:spacing w:after="0"/>
              <w:rPr>
                <w:sz w:val="12"/>
                <w:szCs w:val="12"/>
                <w:color w:val="auto"/>
              </w:rPr>
            </w:pPr>
          </w:p>
        </w:tc>
        <w:tc>
          <w:tcPr>
            <w:tcW w:w="78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760" w:type="dxa"/>
            <w:vAlign w:val="bottom"/>
            <w:gridSpan w:val="2"/>
          </w:tcPr>
          <w:p>
            <w:pPr>
              <w:jc w:val="center"/>
              <w:ind w:right="140"/>
              <w:spacing w:after="0"/>
              <w:rPr>
                <w:sz w:val="20"/>
                <w:szCs w:val="20"/>
                <w:color w:val="auto"/>
              </w:rPr>
            </w:pPr>
            <w:r>
              <w:rPr>
                <w:rFonts w:ascii="Arial" w:cs="Arial" w:eastAsia="Arial" w:hAnsi="Arial"/>
                <w:sz w:val="12"/>
                <w:szCs w:val="12"/>
                <w:color w:val="auto"/>
                <w:w w:val="92"/>
              </w:rPr>
              <w:t>Metals and Mining</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215,182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339,402</w:t>
            </w: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By Light Investco LP</w:t>
            </w:r>
          </w:p>
        </w:tc>
        <w:tc>
          <w:tcPr>
            <w:tcW w:w="120" w:type="dxa"/>
            <w:vAlign w:val="bottom"/>
            <w:shd w:val="clear" w:color="auto" w:fill="CCECFF"/>
          </w:tcPr>
          <w:p>
            <w:pPr>
              <w:spacing w:after="0"/>
              <w:rPr>
                <w:sz w:val="12"/>
                <w:szCs w:val="12"/>
                <w:color w:val="auto"/>
              </w:rPr>
            </w:pPr>
          </w:p>
        </w:tc>
        <w:tc>
          <w:tcPr>
            <w:tcW w:w="78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High Tech Industries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21,908</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2,190,771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2,601,944</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 xml:space="preserve">By Light Investco LP </w:t>
            </w:r>
            <w:r>
              <w:rPr>
                <w:rFonts w:ascii="Arial" w:cs="Arial" w:eastAsia="Arial" w:hAnsi="Arial"/>
                <w:sz w:val="9"/>
                <w:szCs w:val="9"/>
                <w:color w:val="auto"/>
              </w:rPr>
              <w:t>(9)</w:t>
            </w:r>
          </w:p>
        </w:tc>
        <w:tc>
          <w:tcPr>
            <w:tcW w:w="120" w:type="dxa"/>
            <w:vAlign w:val="bottom"/>
          </w:tcPr>
          <w:p>
            <w:pPr>
              <w:spacing w:after="0"/>
              <w:rPr>
                <w:sz w:val="12"/>
                <w:szCs w:val="12"/>
                <w:color w:val="auto"/>
              </w:rPr>
            </w:pPr>
          </w:p>
        </w:tc>
        <w:tc>
          <w:tcPr>
            <w:tcW w:w="78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76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High Tech Industries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5,592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Corfin InvestCo, L.P.</w:t>
            </w:r>
          </w:p>
        </w:tc>
        <w:tc>
          <w:tcPr>
            <w:tcW w:w="120" w:type="dxa"/>
            <w:vAlign w:val="bottom"/>
            <w:shd w:val="clear" w:color="auto" w:fill="CCECFF"/>
          </w:tcPr>
          <w:p>
            <w:pPr>
              <w:spacing w:after="0"/>
              <w:rPr>
                <w:sz w:val="12"/>
                <w:szCs w:val="12"/>
                <w:color w:val="auto"/>
              </w:rPr>
            </w:pPr>
          </w:p>
        </w:tc>
        <w:tc>
          <w:tcPr>
            <w:tcW w:w="78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5"/>
              </w:rPr>
              <w:t>Aerospace and Defense</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429,091</w:t>
            </w:r>
          </w:p>
        </w:tc>
        <w:tc>
          <w:tcPr>
            <w:tcW w:w="100" w:type="dxa"/>
            <w:vAlign w:val="bottom"/>
            <w:shd w:val="clear" w:color="auto" w:fill="CCECFF"/>
          </w:tcPr>
          <w:p>
            <w:pPr>
              <w:spacing w:after="0"/>
              <w:rPr>
                <w:sz w:val="12"/>
                <w:szCs w:val="12"/>
                <w:color w:val="auto"/>
              </w:rPr>
            </w:pPr>
          </w:p>
        </w:tc>
      </w:tr>
      <w:tr>
        <w:trPr>
          <w:trHeight w:val="149"/>
        </w:trPr>
        <w:tc>
          <w:tcPr>
            <w:tcW w:w="3000" w:type="dxa"/>
            <w:vAlign w:val="bottom"/>
          </w:tcPr>
          <w:p>
            <w:pPr>
              <w:spacing w:after="0"/>
              <w:rPr>
                <w:sz w:val="20"/>
                <w:szCs w:val="20"/>
                <w:color w:val="auto"/>
              </w:rPr>
            </w:pPr>
            <w:r>
              <w:rPr>
                <w:rFonts w:ascii="Arial" w:cs="Arial" w:eastAsia="Arial" w:hAnsi="Arial"/>
                <w:sz w:val="12"/>
                <w:szCs w:val="12"/>
                <w:color w:val="auto"/>
              </w:rPr>
              <w:t xml:space="preserve">Corfin InvestCo, L.P. </w:t>
            </w:r>
            <w:r>
              <w:rPr>
                <w:rFonts w:ascii="Arial" w:cs="Arial" w:eastAsia="Arial" w:hAnsi="Arial"/>
                <w:sz w:val="9"/>
                <w:szCs w:val="9"/>
                <w:color w:val="auto"/>
              </w:rPr>
              <w:t>(9)</w:t>
            </w:r>
          </w:p>
        </w:tc>
        <w:tc>
          <w:tcPr>
            <w:tcW w:w="120" w:type="dxa"/>
            <w:vAlign w:val="bottom"/>
          </w:tcPr>
          <w:p>
            <w:pPr>
              <w:spacing w:after="0"/>
              <w:rPr>
                <w:sz w:val="12"/>
                <w:szCs w:val="12"/>
                <w:color w:val="auto"/>
              </w:rPr>
            </w:pPr>
          </w:p>
        </w:tc>
        <w:tc>
          <w:tcPr>
            <w:tcW w:w="78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760" w:type="dxa"/>
            <w:vAlign w:val="bottom"/>
            <w:gridSpan w:val="2"/>
          </w:tcPr>
          <w:p>
            <w:pPr>
              <w:jc w:val="center"/>
              <w:ind w:right="140"/>
              <w:spacing w:after="0"/>
              <w:rPr>
                <w:sz w:val="20"/>
                <w:szCs w:val="20"/>
                <w:color w:val="auto"/>
              </w:rPr>
            </w:pPr>
            <w:r>
              <w:rPr>
                <w:rFonts w:ascii="Arial" w:cs="Arial" w:eastAsia="Arial" w:hAnsi="Arial"/>
                <w:sz w:val="12"/>
                <w:szCs w:val="12"/>
                <w:color w:val="auto"/>
                <w:w w:val="85"/>
              </w:rPr>
              <w:t>Aerospace and Defense</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3,000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DecoPac Holdings Inc.</w:t>
            </w:r>
          </w:p>
        </w:tc>
        <w:tc>
          <w:tcPr>
            <w:tcW w:w="120" w:type="dxa"/>
            <w:vAlign w:val="bottom"/>
            <w:shd w:val="clear" w:color="auto" w:fill="CCECFF"/>
          </w:tcPr>
          <w:p>
            <w:pPr>
              <w:spacing w:after="0"/>
              <w:rPr>
                <w:sz w:val="12"/>
                <w:szCs w:val="12"/>
                <w:color w:val="auto"/>
              </w:rPr>
            </w:pPr>
          </w:p>
        </w:tc>
        <w:tc>
          <w:tcPr>
            <w:tcW w:w="78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76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1,633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1,632,744</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1,632,744</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Faraday Holdings, LLC (Interior Specialists, Inc.)</w:t>
            </w:r>
          </w:p>
        </w:tc>
        <w:tc>
          <w:tcPr>
            <w:tcW w:w="120" w:type="dxa"/>
            <w:vAlign w:val="bottom"/>
          </w:tcPr>
          <w:p>
            <w:pPr>
              <w:spacing w:after="0"/>
              <w:rPr>
                <w:sz w:val="12"/>
                <w:szCs w:val="12"/>
                <w:color w:val="auto"/>
              </w:rPr>
            </w:pPr>
          </w:p>
        </w:tc>
        <w:tc>
          <w:tcPr>
            <w:tcW w:w="78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760" w:type="dxa"/>
            <w:vAlign w:val="bottom"/>
            <w:gridSpan w:val="2"/>
          </w:tcPr>
          <w:p>
            <w:pPr>
              <w:jc w:val="center"/>
              <w:ind w:right="120"/>
              <w:spacing w:after="0"/>
              <w:rPr>
                <w:sz w:val="20"/>
                <w:szCs w:val="20"/>
                <w:color w:val="auto"/>
              </w:rPr>
            </w:pPr>
            <w:r>
              <w:rPr>
                <w:rFonts w:ascii="Arial" w:cs="Arial" w:eastAsia="Arial" w:hAnsi="Arial"/>
                <w:sz w:val="12"/>
                <w:szCs w:val="12"/>
                <w:color w:val="auto"/>
                <w:w w:val="90"/>
              </w:rPr>
              <w:t>Construction and Building</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1,141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58,044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204,710</w:t>
            </w:r>
          </w:p>
        </w:tc>
        <w:tc>
          <w:tcPr>
            <w:tcW w:w="100" w:type="dxa"/>
            <w:vAlign w:val="bottom"/>
          </w:tcPr>
          <w:p>
            <w:pPr>
              <w:spacing w:after="0"/>
              <w:rPr>
                <w:sz w:val="12"/>
                <w:szCs w:val="12"/>
                <w:color w:val="auto"/>
              </w:rPr>
            </w:pPr>
          </w:p>
        </w:tc>
      </w:tr>
      <w:tr>
        <w:trPr>
          <w:trHeight w:val="142"/>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Gauge InfosoftCoInvest, LLC</w:t>
            </w:r>
          </w:p>
        </w:tc>
        <w:tc>
          <w:tcPr>
            <w:tcW w:w="120" w:type="dxa"/>
            <w:vAlign w:val="bottom"/>
            <w:shd w:val="clear" w:color="auto" w:fill="CCECFF"/>
          </w:tcPr>
          <w:p>
            <w:pPr>
              <w:spacing w:after="0"/>
              <w:rPr>
                <w:sz w:val="12"/>
                <w:szCs w:val="12"/>
                <w:color w:val="auto"/>
              </w:rPr>
            </w:pPr>
          </w:p>
        </w:tc>
        <w:tc>
          <w:tcPr>
            <w:tcW w:w="78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8"/>
              </w:rPr>
              <w:t>Media: Broadcasting and Subscription</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631,240</w:t>
            </w:r>
          </w:p>
        </w:tc>
        <w:tc>
          <w:tcPr>
            <w:tcW w:w="100" w:type="dxa"/>
            <w:vAlign w:val="bottom"/>
            <w:shd w:val="clear" w:color="auto" w:fill="CCECFF"/>
          </w:tcPr>
          <w:p>
            <w:pPr>
              <w:spacing w:after="0"/>
              <w:rPr>
                <w:sz w:val="12"/>
                <w:szCs w:val="12"/>
                <w:color w:val="auto"/>
              </w:rPr>
            </w:pPr>
          </w:p>
        </w:tc>
      </w:tr>
      <w:tr>
        <w:trPr>
          <w:trHeight w:val="141"/>
        </w:trPr>
        <w:tc>
          <w:tcPr>
            <w:tcW w:w="3000" w:type="dxa"/>
            <w:vAlign w:val="bottom"/>
            <w:shd w:val="clear" w:color="auto" w:fill="CCECFF"/>
          </w:tcPr>
          <w:p>
            <w:pPr>
              <w:ind w:left="100"/>
              <w:spacing w:after="0"/>
              <w:rPr>
                <w:sz w:val="20"/>
                <w:szCs w:val="20"/>
                <w:color w:val="auto"/>
              </w:rPr>
            </w:pPr>
            <w:r>
              <w:rPr>
                <w:rFonts w:ascii="Arial" w:cs="Arial" w:eastAsia="Arial" w:hAnsi="Arial"/>
                <w:sz w:val="12"/>
                <w:szCs w:val="12"/>
                <w:color w:val="auto"/>
              </w:rPr>
              <w:t>(The Infosoft Group, LLC)</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2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 xml:space="preserve">Patriot National, Inc. </w:t>
            </w:r>
            <w:r>
              <w:rPr>
                <w:rFonts w:ascii="Arial" w:cs="Arial" w:eastAsia="Arial" w:hAnsi="Arial"/>
                <w:sz w:val="9"/>
                <w:szCs w:val="9"/>
                <w:color w:val="auto"/>
              </w:rPr>
              <w:t>(13)</w:t>
            </w:r>
          </w:p>
        </w:tc>
        <w:tc>
          <w:tcPr>
            <w:tcW w:w="120" w:type="dxa"/>
            <w:vAlign w:val="bottom"/>
          </w:tcPr>
          <w:p>
            <w:pPr>
              <w:spacing w:after="0"/>
              <w:rPr>
                <w:sz w:val="12"/>
                <w:szCs w:val="12"/>
                <w:color w:val="auto"/>
              </w:rPr>
            </w:pPr>
          </w:p>
        </w:tc>
        <w:tc>
          <w:tcPr>
            <w:tcW w:w="78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760" w:type="dxa"/>
            <w:vAlign w:val="bottom"/>
            <w:gridSpan w:val="2"/>
          </w:tcPr>
          <w:p>
            <w:pPr>
              <w:jc w:val="center"/>
              <w:ind w:right="140"/>
              <w:spacing w:after="0"/>
              <w:rPr>
                <w:sz w:val="20"/>
                <w:szCs w:val="20"/>
                <w:color w:val="auto"/>
              </w:rPr>
            </w:pPr>
            <w:r>
              <w:rPr>
                <w:rFonts w:ascii="Arial" w:cs="Arial" w:eastAsia="Arial" w:hAnsi="Arial"/>
                <w:sz w:val="12"/>
                <w:szCs w:val="12"/>
                <w:color w:val="auto"/>
                <w:w w:val="87"/>
              </w:rPr>
              <w:t>Banking, Finance, Insurance and Real Estate</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11,867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27,995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16,020</w:t>
            </w:r>
          </w:p>
        </w:tc>
        <w:tc>
          <w:tcPr>
            <w:tcW w:w="100" w:type="dxa"/>
            <w:vAlign w:val="bottom"/>
          </w:tcPr>
          <w:p>
            <w:pPr>
              <w:spacing w:after="0"/>
              <w:rPr>
                <w:sz w:val="12"/>
                <w:szCs w:val="12"/>
                <w:color w:val="auto"/>
              </w:rPr>
            </w:pPr>
          </w:p>
        </w:tc>
      </w:tr>
      <w:tr>
        <w:trPr>
          <w:trHeight w:val="142"/>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TPC Broadband Investors, LP</w:t>
            </w:r>
          </w:p>
        </w:tc>
        <w:tc>
          <w:tcPr>
            <w:tcW w:w="120" w:type="dxa"/>
            <w:vAlign w:val="bottom"/>
            <w:shd w:val="clear" w:color="auto" w:fill="CCECFF"/>
          </w:tcPr>
          <w:p>
            <w:pPr>
              <w:spacing w:after="0"/>
              <w:rPr>
                <w:sz w:val="12"/>
                <w:szCs w:val="12"/>
                <w:color w:val="auto"/>
              </w:rPr>
            </w:pPr>
          </w:p>
        </w:tc>
        <w:tc>
          <w:tcPr>
            <w:tcW w:w="78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Telecommunications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657,233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657,233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657,233</w:t>
            </w:r>
          </w:p>
        </w:tc>
        <w:tc>
          <w:tcPr>
            <w:tcW w:w="100" w:type="dxa"/>
            <w:vAlign w:val="bottom"/>
            <w:shd w:val="clear" w:color="auto" w:fill="CCECFF"/>
          </w:tcPr>
          <w:p>
            <w:pPr>
              <w:spacing w:after="0"/>
              <w:rPr>
                <w:sz w:val="12"/>
                <w:szCs w:val="12"/>
                <w:color w:val="auto"/>
              </w:rPr>
            </w:pPr>
          </w:p>
        </w:tc>
      </w:tr>
      <w:tr>
        <w:trPr>
          <w:trHeight w:val="141"/>
        </w:trPr>
        <w:tc>
          <w:tcPr>
            <w:tcW w:w="3000" w:type="dxa"/>
            <w:vAlign w:val="bottom"/>
            <w:shd w:val="clear" w:color="auto" w:fill="CCECFF"/>
          </w:tcPr>
          <w:p>
            <w:pPr>
              <w:ind w:left="100"/>
              <w:spacing w:after="0"/>
              <w:rPr>
                <w:sz w:val="20"/>
                <w:szCs w:val="20"/>
                <w:color w:val="auto"/>
              </w:rPr>
            </w:pPr>
            <w:r>
              <w:rPr>
                <w:rFonts w:ascii="Arial" w:cs="Arial" w:eastAsia="Arial" w:hAnsi="Arial"/>
                <w:sz w:val="12"/>
                <w:szCs w:val="12"/>
                <w:color w:val="auto"/>
              </w:rPr>
              <w:t xml:space="preserve">(Advanced Cable Communications, LLC) </w:t>
            </w:r>
            <w:r>
              <w:rPr>
                <w:rFonts w:ascii="Arial" w:cs="Arial" w:eastAsia="Arial" w:hAnsi="Arial"/>
                <w:sz w:val="9"/>
                <w:szCs w:val="9"/>
                <w:color w:val="auto"/>
              </w:rPr>
              <w:t>(12)</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2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2"/>
        </w:trPr>
        <w:tc>
          <w:tcPr>
            <w:tcW w:w="3000" w:type="dxa"/>
            <w:vAlign w:val="bottom"/>
          </w:tcPr>
          <w:p>
            <w:pPr>
              <w:spacing w:after="0"/>
              <w:rPr>
                <w:sz w:val="20"/>
                <w:szCs w:val="20"/>
                <w:color w:val="auto"/>
              </w:rPr>
            </w:pPr>
            <w:r>
              <w:rPr>
                <w:rFonts w:ascii="Arial" w:cs="Arial" w:eastAsia="Arial" w:hAnsi="Arial"/>
                <w:sz w:val="12"/>
                <w:szCs w:val="12"/>
                <w:color w:val="auto"/>
              </w:rPr>
              <w:t>TPC Broadband Investors, LP</w:t>
            </w:r>
          </w:p>
        </w:tc>
        <w:tc>
          <w:tcPr>
            <w:tcW w:w="120" w:type="dxa"/>
            <w:vAlign w:val="bottom"/>
          </w:tcPr>
          <w:p>
            <w:pPr>
              <w:spacing w:after="0"/>
              <w:rPr>
                <w:sz w:val="12"/>
                <w:szCs w:val="12"/>
                <w:color w:val="auto"/>
              </w:rPr>
            </w:pPr>
          </w:p>
        </w:tc>
        <w:tc>
          <w:tcPr>
            <w:tcW w:w="78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76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Telecommunications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342,767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1"/>
        </w:trPr>
        <w:tc>
          <w:tcPr>
            <w:tcW w:w="3000" w:type="dxa"/>
            <w:vAlign w:val="bottom"/>
          </w:tcPr>
          <w:p>
            <w:pPr>
              <w:ind w:left="100"/>
              <w:spacing w:after="0"/>
              <w:rPr>
                <w:sz w:val="20"/>
                <w:szCs w:val="20"/>
                <w:color w:val="auto"/>
              </w:rPr>
            </w:pPr>
            <w:r>
              <w:rPr>
                <w:rFonts w:ascii="Arial" w:cs="Arial" w:eastAsia="Arial" w:hAnsi="Arial"/>
                <w:sz w:val="12"/>
                <w:szCs w:val="12"/>
                <w:color w:val="auto"/>
              </w:rPr>
              <w:t xml:space="preserve">(Advanced Cable Communications, LLC) </w:t>
            </w:r>
            <w:r>
              <w:rPr>
                <w:rFonts w:ascii="Arial" w:cs="Arial" w:eastAsia="Arial" w:hAnsi="Arial"/>
                <w:sz w:val="9"/>
                <w:szCs w:val="9"/>
                <w:color w:val="auto"/>
              </w:rPr>
              <w:t>(9), (12)</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UniTek Global Services, Inc.</w:t>
            </w:r>
          </w:p>
        </w:tc>
        <w:tc>
          <w:tcPr>
            <w:tcW w:w="120" w:type="dxa"/>
            <w:vAlign w:val="bottom"/>
            <w:shd w:val="clear" w:color="auto" w:fill="CCECFF"/>
          </w:tcPr>
          <w:p>
            <w:pPr>
              <w:spacing w:after="0"/>
              <w:rPr>
                <w:sz w:val="12"/>
                <w:szCs w:val="12"/>
                <w:color w:val="auto"/>
              </w:rPr>
            </w:pPr>
          </w:p>
        </w:tc>
        <w:tc>
          <w:tcPr>
            <w:tcW w:w="78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9"/>
              </w:rPr>
              <w:t>Telecommunications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213,739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86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1,274,388</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Pr>
          <w:p>
            <w:pPr>
              <w:spacing w:after="0"/>
              <w:rPr>
                <w:sz w:val="20"/>
                <w:szCs w:val="20"/>
                <w:color w:val="auto"/>
              </w:rPr>
            </w:pPr>
            <w:r>
              <w:rPr>
                <w:rFonts w:ascii="Arial" w:cs="Arial" w:eastAsia="Arial" w:hAnsi="Arial"/>
                <w:sz w:val="12"/>
                <w:szCs w:val="12"/>
                <w:color w:val="auto"/>
              </w:rPr>
              <w:t>UniTek Global Services, Inc. (Warrants)</w:t>
            </w:r>
          </w:p>
        </w:tc>
        <w:tc>
          <w:tcPr>
            <w:tcW w:w="120" w:type="dxa"/>
            <w:vAlign w:val="bottom"/>
          </w:tcPr>
          <w:p>
            <w:pPr>
              <w:spacing w:after="0"/>
              <w:rPr>
                <w:sz w:val="12"/>
                <w:szCs w:val="12"/>
                <w:color w:val="auto"/>
              </w:rPr>
            </w:pPr>
          </w:p>
        </w:tc>
        <w:tc>
          <w:tcPr>
            <w:tcW w:w="780" w:type="dxa"/>
            <w:vAlign w:val="bottom"/>
            <w:gridSpan w:val="2"/>
          </w:tcPr>
          <w:p>
            <w:pPr>
              <w:ind w:left="260"/>
              <w:spacing w:after="0"/>
              <w:rPr>
                <w:sz w:val="20"/>
                <w:szCs w:val="20"/>
                <w:color w:val="auto"/>
              </w:rPr>
            </w:pPr>
            <w:r>
              <w:rPr>
                <w:rFonts w:ascii="Arial" w:cs="Arial" w:eastAsia="Arial" w:hAnsi="Arial"/>
                <w:sz w:val="12"/>
                <w:szCs w:val="12"/>
                <w:color w:val="auto"/>
              </w:rPr>
              <w:t>—</w:t>
            </w:r>
          </w:p>
        </w:tc>
        <w:tc>
          <w:tcPr>
            <w:tcW w:w="276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Telecommunications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23,889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2"/>
        </w:trPr>
        <w:tc>
          <w:tcPr>
            <w:tcW w:w="3000" w:type="dxa"/>
            <w:vAlign w:val="bottom"/>
            <w:tcBorders>
              <w:top w:val="single" w:sz="8" w:color="CCECFF"/>
            </w:tcBorders>
            <w:shd w:val="clear" w:color="auto" w:fill="CCECFF"/>
          </w:tcPr>
          <w:p>
            <w:pPr>
              <w:spacing w:after="0"/>
              <w:rPr>
                <w:sz w:val="20"/>
                <w:szCs w:val="20"/>
                <w:color w:val="auto"/>
              </w:rPr>
            </w:pPr>
            <w:r>
              <w:rPr>
                <w:rFonts w:ascii="Arial" w:cs="Arial" w:eastAsia="Arial" w:hAnsi="Arial"/>
                <w:sz w:val="12"/>
                <w:szCs w:val="12"/>
                <w:b w:val="1"/>
                <w:bCs w:val="1"/>
                <w:color w:val="auto"/>
              </w:rPr>
              <w:t>Total Common Equity/Warrants</w:t>
            </w:r>
          </w:p>
        </w:tc>
        <w:tc>
          <w:tcPr>
            <w:tcW w:w="120" w:type="dxa"/>
            <w:vAlign w:val="bottom"/>
            <w:tcBorders>
              <w:top w:val="single" w:sz="8" w:color="CCECFF"/>
            </w:tcBorders>
            <w:shd w:val="clear" w:color="auto" w:fill="CCECFF"/>
          </w:tcPr>
          <w:p>
            <w:pPr>
              <w:spacing w:after="0"/>
              <w:rPr>
                <w:sz w:val="12"/>
                <w:szCs w:val="12"/>
                <w:color w:val="auto"/>
              </w:rPr>
            </w:pPr>
          </w:p>
        </w:tc>
        <w:tc>
          <w:tcPr>
            <w:tcW w:w="540" w:type="dxa"/>
            <w:vAlign w:val="bottom"/>
            <w:tcBorders>
              <w:top w:val="single" w:sz="8" w:color="CCECFF"/>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2640" w:type="dxa"/>
            <w:vAlign w:val="bottom"/>
            <w:tcBorders>
              <w:top w:val="single" w:sz="8" w:color="CCECFF"/>
            </w:tcBorders>
            <w:shd w:val="clear" w:color="auto" w:fill="CCECFF"/>
          </w:tcPr>
          <w:p>
            <w:pPr>
              <w:spacing w:after="0"/>
              <w:rPr>
                <w:sz w:val="12"/>
                <w:szCs w:val="12"/>
                <w:color w:val="auto"/>
              </w:rPr>
            </w:pPr>
          </w:p>
        </w:tc>
        <w:tc>
          <w:tcPr>
            <w:tcW w:w="120" w:type="dxa"/>
            <w:vAlign w:val="bottom"/>
            <w:tcBorders>
              <w:top w:val="single" w:sz="8" w:color="CCECFF"/>
            </w:tcBorders>
            <w:shd w:val="clear" w:color="auto" w:fill="CCECFF"/>
          </w:tcPr>
          <w:p>
            <w:pPr>
              <w:spacing w:after="0"/>
              <w:rPr>
                <w:sz w:val="12"/>
                <w:szCs w:val="12"/>
                <w:color w:val="auto"/>
              </w:rPr>
            </w:pPr>
          </w:p>
        </w:tc>
        <w:tc>
          <w:tcPr>
            <w:tcW w:w="680" w:type="dxa"/>
            <w:vAlign w:val="bottom"/>
            <w:tcBorders>
              <w:top w:val="single" w:sz="8" w:color="CCECFF"/>
            </w:tcBorders>
            <w:shd w:val="clear" w:color="auto" w:fill="CCECFF"/>
          </w:tcPr>
          <w:p>
            <w:pPr>
              <w:spacing w:after="0"/>
              <w:rPr>
                <w:sz w:val="12"/>
                <w:szCs w:val="12"/>
                <w:color w:val="auto"/>
              </w:rPr>
            </w:pPr>
          </w:p>
        </w:tc>
        <w:tc>
          <w:tcPr>
            <w:tcW w:w="280" w:type="dxa"/>
            <w:vAlign w:val="bottom"/>
            <w:tcBorders>
              <w:top w:val="single" w:sz="8" w:color="CCECFF"/>
            </w:tcBorders>
            <w:shd w:val="clear" w:color="auto" w:fill="CCECFF"/>
          </w:tcPr>
          <w:p>
            <w:pPr>
              <w:spacing w:after="0"/>
              <w:rPr>
                <w:sz w:val="12"/>
                <w:szCs w:val="12"/>
                <w:color w:val="auto"/>
              </w:rPr>
            </w:pPr>
          </w:p>
        </w:tc>
        <w:tc>
          <w:tcPr>
            <w:tcW w:w="680" w:type="dxa"/>
            <w:vAlign w:val="bottom"/>
            <w:tcBorders>
              <w:top w:val="single" w:sz="8" w:color="CCECFF"/>
            </w:tcBorders>
            <w:shd w:val="clear" w:color="auto" w:fill="CCECFF"/>
          </w:tcPr>
          <w:p>
            <w:pPr>
              <w:spacing w:after="0"/>
              <w:rPr>
                <w:sz w:val="12"/>
                <w:szCs w:val="12"/>
                <w:color w:val="auto"/>
              </w:rPr>
            </w:pPr>
          </w:p>
        </w:tc>
        <w:tc>
          <w:tcPr>
            <w:tcW w:w="220" w:type="dxa"/>
            <w:vAlign w:val="bottom"/>
            <w:tcBorders>
              <w:top w:val="single" w:sz="8" w:color="CCECFF"/>
            </w:tcBorders>
            <w:shd w:val="clear" w:color="auto" w:fill="CCECFF"/>
          </w:tcPr>
          <w:p>
            <w:pPr>
              <w:spacing w:after="0"/>
              <w:rPr>
                <w:sz w:val="12"/>
                <w:szCs w:val="12"/>
                <w:color w:val="auto"/>
              </w:rPr>
            </w:pPr>
          </w:p>
        </w:tc>
        <w:tc>
          <w:tcPr>
            <w:tcW w:w="680" w:type="dxa"/>
            <w:vAlign w:val="bottom"/>
            <w:tcBorders>
              <w:top w:val="single" w:sz="8" w:color="CCECFF"/>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bottom w:val="single" w:sz="8" w:color="auto"/>
            </w:tcBorders>
            <w:shd w:val="clear" w:color="auto" w:fill="CCECFF"/>
          </w:tcPr>
          <w:p>
            <w:pPr>
              <w:spacing w:after="0"/>
              <w:rPr>
                <w:sz w:val="12"/>
                <w:szCs w:val="12"/>
                <w:color w:val="auto"/>
              </w:rPr>
            </w:pPr>
          </w:p>
        </w:tc>
        <w:tc>
          <w:tcPr>
            <w:tcW w:w="6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10,283,190</w:t>
            </w:r>
          </w:p>
        </w:tc>
        <w:tc>
          <w:tcPr>
            <w:tcW w:w="24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bottom w:val="single" w:sz="8" w:color="auto"/>
            </w:tcBorders>
            <w:shd w:val="clear" w:color="auto" w:fill="CCECFF"/>
          </w:tcPr>
          <w:p>
            <w:pPr>
              <w:spacing w:after="0"/>
              <w:rPr>
                <w:sz w:val="12"/>
                <w:szCs w:val="12"/>
                <w:color w:val="auto"/>
              </w:rPr>
            </w:pPr>
          </w:p>
        </w:tc>
        <w:tc>
          <w:tcPr>
            <w:tcW w:w="6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10,057,055</w:t>
            </w:r>
          </w:p>
        </w:tc>
        <w:tc>
          <w:tcPr>
            <w:tcW w:w="100" w:type="dxa"/>
            <w:vAlign w:val="bottom"/>
            <w:tcBorders>
              <w:top w:val="single" w:sz="8" w:color="CCECFF"/>
            </w:tcBorders>
            <w:shd w:val="clear" w:color="auto" w:fill="CCECFF"/>
          </w:tcPr>
          <w:p>
            <w:pPr>
              <w:spacing w:after="0"/>
              <w:rPr>
                <w:sz w:val="12"/>
                <w:szCs w:val="12"/>
                <w:color w:val="auto"/>
              </w:rPr>
            </w:pPr>
          </w:p>
        </w:tc>
      </w:tr>
      <w:tr>
        <w:trPr>
          <w:trHeight w:val="142"/>
        </w:trPr>
        <w:tc>
          <w:tcPr>
            <w:tcW w:w="3900" w:type="dxa"/>
            <w:vAlign w:val="bottom"/>
            <w:tcBorders>
              <w:bottom w:val="single" w:sz="8" w:color="CCECFF"/>
            </w:tcBorders>
            <w:gridSpan w:val="4"/>
          </w:tcPr>
          <w:p>
            <w:pPr>
              <w:spacing w:after="0"/>
              <w:rPr>
                <w:sz w:val="20"/>
                <w:szCs w:val="20"/>
                <w:color w:val="auto"/>
              </w:rPr>
            </w:pPr>
            <w:r>
              <w:rPr>
                <w:rFonts w:ascii="Arial" w:cs="Arial" w:eastAsia="Arial" w:hAnsi="Arial"/>
                <w:sz w:val="12"/>
                <w:szCs w:val="12"/>
                <w:b w:val="1"/>
                <w:bCs w:val="1"/>
                <w:color w:val="auto"/>
                <w:w w:val="94"/>
              </w:rPr>
              <w:t>Total Investments in Non-Controlled, Non-Affiliated Portfolio Companies</w:t>
            </w:r>
          </w:p>
        </w:tc>
        <w:tc>
          <w:tcPr>
            <w:tcW w:w="264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8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665,514,821</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5"/>
              </w:rPr>
              <w:t>666,973,639</w:t>
            </w:r>
          </w:p>
        </w:tc>
        <w:tc>
          <w:tcPr>
            <w:tcW w:w="100" w:type="dxa"/>
            <w:vAlign w:val="bottom"/>
            <w:tcBorders>
              <w:bottom w:val="single" w:sz="8" w:color="CCECFF"/>
            </w:tcBorders>
          </w:tcPr>
          <w:p>
            <w:pPr>
              <w:spacing w:after="0"/>
              <w:rPr>
                <w:sz w:val="12"/>
                <w:szCs w:val="12"/>
                <w:color w:val="auto"/>
              </w:rPr>
            </w:pPr>
          </w:p>
        </w:tc>
      </w:tr>
      <w:tr>
        <w:trPr>
          <w:trHeight w:val="142"/>
        </w:trPr>
        <w:tc>
          <w:tcPr>
            <w:tcW w:w="3900" w:type="dxa"/>
            <w:vAlign w:val="bottom"/>
            <w:gridSpan w:val="4"/>
            <w:shd w:val="clear" w:color="auto" w:fill="CCECFF"/>
          </w:tcPr>
          <w:p>
            <w:pPr>
              <w:spacing w:after="0"/>
              <w:rPr>
                <w:sz w:val="20"/>
                <w:szCs w:val="20"/>
                <w:color w:val="auto"/>
              </w:rPr>
            </w:pPr>
            <w:r>
              <w:rPr>
                <w:rFonts w:ascii="Arial" w:cs="Arial" w:eastAsia="Arial" w:hAnsi="Arial"/>
                <w:sz w:val="12"/>
                <w:szCs w:val="12"/>
                <w:b w:val="1"/>
                <w:bCs w:val="1"/>
                <w:color w:val="auto"/>
                <w:w w:val="98"/>
              </w:rPr>
              <w:t xml:space="preserve">Investments in Controlled, Affiliated Portfolio Companies—9.5% </w:t>
            </w:r>
            <w:r>
              <w:rPr>
                <w:rFonts w:ascii="Arial" w:cs="Arial" w:eastAsia="Arial" w:hAnsi="Arial"/>
                <w:sz w:val="9"/>
                <w:szCs w:val="9"/>
                <w:b w:val="1"/>
                <w:bCs w:val="1"/>
                <w:color w:val="auto"/>
                <w:w w:val="98"/>
              </w:rPr>
              <w:t>(3), (4)</w:t>
            </w:r>
          </w:p>
        </w:tc>
        <w:tc>
          <w:tcPr>
            <w:tcW w:w="2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9"/>
        </w:trPr>
        <w:tc>
          <w:tcPr>
            <w:tcW w:w="3000" w:type="dxa"/>
            <w:vAlign w:val="bottom"/>
          </w:tcPr>
          <w:p>
            <w:pPr>
              <w:spacing w:after="0"/>
              <w:rPr>
                <w:sz w:val="20"/>
                <w:szCs w:val="20"/>
                <w:color w:val="auto"/>
              </w:rPr>
            </w:pPr>
            <w:r>
              <w:rPr>
                <w:rFonts w:ascii="Arial" w:cs="Arial" w:eastAsia="Arial" w:hAnsi="Arial"/>
                <w:sz w:val="12"/>
                <w:szCs w:val="12"/>
                <w:b w:val="1"/>
                <w:bCs w:val="1"/>
                <w:color w:val="auto"/>
              </w:rPr>
              <w:t>Subordinated Debt/Corporate Notes—6.6%</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PennantPark Senior Secured Loan Fund I LLC </w:t>
            </w:r>
            <w:r>
              <w:rPr>
                <w:rFonts w:ascii="Arial" w:cs="Arial" w:eastAsia="Arial" w:hAnsi="Arial"/>
                <w:sz w:val="9"/>
                <w:szCs w:val="9"/>
                <w:color w:val="auto"/>
              </w:rPr>
              <w:t>(8), (10)</w:t>
            </w:r>
          </w:p>
        </w:tc>
        <w:tc>
          <w:tcPr>
            <w:tcW w:w="660" w:type="dxa"/>
            <w:vAlign w:val="bottom"/>
            <w:gridSpan w:val="2"/>
            <w:shd w:val="clear" w:color="auto" w:fill="CCECFF"/>
          </w:tcPr>
          <w:p>
            <w:pPr>
              <w:jc w:val="center"/>
              <w:ind w:left="62"/>
              <w:spacing w:after="0"/>
              <w:rPr>
                <w:sz w:val="20"/>
                <w:szCs w:val="20"/>
                <w:color w:val="auto"/>
              </w:rPr>
            </w:pPr>
            <w:r>
              <w:rPr>
                <w:rFonts w:ascii="Arial" w:cs="Arial" w:eastAsia="Arial" w:hAnsi="Arial"/>
                <w:sz w:val="12"/>
                <w:szCs w:val="12"/>
                <w:color w:val="auto"/>
                <w:w w:val="89"/>
              </w:rPr>
              <w:t>05/06/2024</w:t>
            </w:r>
          </w:p>
        </w:tc>
        <w:tc>
          <w:tcPr>
            <w:tcW w:w="24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8"/>
              </w:rPr>
              <w:t>Financial Services</w:t>
            </w:r>
          </w:p>
        </w:tc>
        <w:tc>
          <w:tcPr>
            <w:tcW w:w="96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6.34%</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L+500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30,100,000</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30,100,000</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30,100,000</w:t>
            </w:r>
          </w:p>
        </w:tc>
        <w:tc>
          <w:tcPr>
            <w:tcW w:w="100" w:type="dxa"/>
            <w:vAlign w:val="bottom"/>
            <w:shd w:val="clear" w:color="auto" w:fill="CCECFF"/>
          </w:tcPr>
          <w:p>
            <w:pPr>
              <w:spacing w:after="0"/>
              <w:rPr>
                <w:sz w:val="12"/>
                <w:szCs w:val="12"/>
                <w:color w:val="auto"/>
              </w:rPr>
            </w:pPr>
          </w:p>
        </w:tc>
      </w:tr>
      <w:tr>
        <w:trPr>
          <w:trHeight w:val="142"/>
        </w:trPr>
        <w:tc>
          <w:tcPr>
            <w:tcW w:w="3000" w:type="dxa"/>
            <w:vAlign w:val="bottom"/>
          </w:tcPr>
          <w:p>
            <w:pPr>
              <w:spacing w:after="0"/>
              <w:rPr>
                <w:sz w:val="20"/>
                <w:szCs w:val="20"/>
                <w:color w:val="auto"/>
              </w:rPr>
            </w:pPr>
            <w:r>
              <w:rPr>
                <w:rFonts w:ascii="Arial" w:cs="Arial" w:eastAsia="Arial" w:hAnsi="Arial"/>
                <w:sz w:val="12"/>
                <w:szCs w:val="12"/>
                <w:b w:val="1"/>
                <w:bCs w:val="1"/>
                <w:color w:val="auto"/>
              </w:rPr>
              <w:t xml:space="preserve">Equity Interests—2.9% </w:t>
            </w:r>
            <w:r>
              <w:rPr>
                <w:rFonts w:ascii="Arial" w:cs="Arial" w:eastAsia="Arial" w:hAnsi="Arial"/>
                <w:sz w:val="9"/>
                <w:szCs w:val="9"/>
                <w:b w:val="1"/>
                <w:bCs w:val="1"/>
                <w:color w:val="auto"/>
              </w:rPr>
              <w:t>(7), (8)</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PennantPark Senior Secured Loan Fund I LLC </w:t>
            </w:r>
            <w:r>
              <w:rPr>
                <w:rFonts w:ascii="Arial" w:cs="Arial" w:eastAsia="Arial" w:hAnsi="Arial"/>
                <w:sz w:val="9"/>
                <w:szCs w:val="9"/>
                <w:color w:val="auto"/>
              </w:rPr>
              <w:t>(10)</w:t>
            </w:r>
          </w:p>
        </w:tc>
        <w:tc>
          <w:tcPr>
            <w:tcW w:w="120" w:type="dxa"/>
            <w:vAlign w:val="bottom"/>
            <w:shd w:val="clear" w:color="auto" w:fill="CCECFF"/>
          </w:tcPr>
          <w:p>
            <w:pPr>
              <w:spacing w:after="0"/>
              <w:rPr>
                <w:sz w:val="12"/>
                <w:szCs w:val="12"/>
                <w:color w:val="auto"/>
              </w:rPr>
            </w:pPr>
          </w:p>
        </w:tc>
        <w:tc>
          <w:tcPr>
            <w:tcW w:w="780" w:type="dxa"/>
            <w:vAlign w:val="bottom"/>
            <w:gridSpan w:val="2"/>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8"/>
              </w:rPr>
              <w:t>Financial Services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92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12,900,000</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13,425,143</w:t>
            </w:r>
          </w:p>
        </w:tc>
        <w:tc>
          <w:tcPr>
            <w:tcW w:w="100" w:type="dxa"/>
            <w:vAlign w:val="bottom"/>
            <w:shd w:val="clear" w:color="auto" w:fill="CCECFF"/>
          </w:tcPr>
          <w:p>
            <w:pPr>
              <w:spacing w:after="0"/>
              <w:rPr>
                <w:sz w:val="12"/>
                <w:szCs w:val="12"/>
                <w:color w:val="auto"/>
              </w:rPr>
            </w:pPr>
          </w:p>
        </w:tc>
      </w:tr>
      <w:tr>
        <w:trPr>
          <w:trHeight w:val="142"/>
        </w:trPr>
        <w:tc>
          <w:tcPr>
            <w:tcW w:w="3900" w:type="dxa"/>
            <w:vAlign w:val="bottom"/>
            <w:tcBorders>
              <w:bottom w:val="single" w:sz="8" w:color="CCECFF"/>
            </w:tcBorders>
            <w:gridSpan w:val="4"/>
          </w:tcPr>
          <w:p>
            <w:pPr>
              <w:spacing w:after="0"/>
              <w:rPr>
                <w:sz w:val="20"/>
                <w:szCs w:val="20"/>
                <w:color w:val="auto"/>
              </w:rPr>
            </w:pPr>
            <w:r>
              <w:rPr>
                <w:rFonts w:ascii="Arial" w:cs="Arial" w:eastAsia="Arial" w:hAnsi="Arial"/>
                <w:sz w:val="12"/>
                <w:szCs w:val="12"/>
                <w:b w:val="1"/>
                <w:bCs w:val="1"/>
                <w:color w:val="auto"/>
              </w:rPr>
              <w:t>Total Investments in Controlled, Affiliated Portfolio Companies</w:t>
            </w:r>
          </w:p>
        </w:tc>
        <w:tc>
          <w:tcPr>
            <w:tcW w:w="264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8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43,000,000</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43,525,143</w:t>
            </w:r>
          </w:p>
        </w:tc>
        <w:tc>
          <w:tcPr>
            <w:tcW w:w="100" w:type="dxa"/>
            <w:vAlign w:val="bottom"/>
            <w:tcBorders>
              <w:bottom w:val="single" w:sz="8" w:color="CCECFF"/>
            </w:tcBorders>
          </w:tcPr>
          <w:p>
            <w:pPr>
              <w:spacing w:after="0"/>
              <w:rPr>
                <w:sz w:val="12"/>
                <w:szCs w:val="12"/>
                <w:color w:val="auto"/>
              </w:rPr>
            </w:pPr>
          </w:p>
        </w:tc>
      </w:tr>
      <w:tr>
        <w:trPr>
          <w:trHeight w:val="142"/>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Total Investments—155.2%</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2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89"/>
              </w:rPr>
              <w:t>708,514,821</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5"/>
              </w:rPr>
              <w:t>710,498,782</w:t>
            </w:r>
          </w:p>
        </w:tc>
        <w:tc>
          <w:tcPr>
            <w:tcW w:w="100" w:type="dxa"/>
            <w:vAlign w:val="bottom"/>
            <w:shd w:val="clear" w:color="auto" w:fill="CCECFF"/>
          </w:tcPr>
          <w:p>
            <w:pPr>
              <w:spacing w:after="0"/>
              <w:rPr>
                <w:sz w:val="12"/>
                <w:szCs w:val="12"/>
                <w:color w:val="auto"/>
              </w:rPr>
            </w:pPr>
          </w:p>
        </w:tc>
      </w:tr>
      <w:tr>
        <w:trPr>
          <w:trHeight w:val="142"/>
        </w:trPr>
        <w:tc>
          <w:tcPr>
            <w:tcW w:w="3000" w:type="dxa"/>
            <w:vAlign w:val="bottom"/>
          </w:tcPr>
          <w:p>
            <w:pPr>
              <w:spacing w:after="0"/>
              <w:rPr>
                <w:sz w:val="20"/>
                <w:szCs w:val="20"/>
                <w:color w:val="auto"/>
              </w:rPr>
            </w:pPr>
            <w:r>
              <w:rPr>
                <w:rFonts w:ascii="Arial" w:cs="Arial" w:eastAsia="Arial" w:hAnsi="Arial"/>
                <w:sz w:val="12"/>
                <w:szCs w:val="12"/>
                <w:b w:val="1"/>
                <w:bCs w:val="1"/>
                <w:color w:val="auto"/>
              </w:rPr>
              <w:t>Cash and Cash Equivalents—4.1%</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00" w:type="dxa"/>
            <w:vAlign w:val="bottom"/>
            <w:shd w:val="clear" w:color="auto" w:fill="CCECFF"/>
          </w:tcPr>
          <w:p>
            <w:pPr>
              <w:spacing w:after="0"/>
              <w:rPr>
                <w:sz w:val="20"/>
                <w:szCs w:val="20"/>
                <w:color w:val="auto"/>
              </w:rPr>
            </w:pPr>
            <w:r>
              <w:rPr>
                <w:rFonts w:ascii="Arial" w:cs="Arial" w:eastAsia="Arial" w:hAnsi="Arial"/>
                <w:sz w:val="12"/>
                <w:szCs w:val="12"/>
                <w:color w:val="auto"/>
              </w:rPr>
              <w:t>BlackRock Federal FD Institutional 30</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2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16,818,166</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16,818,166</w:t>
            </w:r>
          </w:p>
        </w:tc>
        <w:tc>
          <w:tcPr>
            <w:tcW w:w="100" w:type="dxa"/>
            <w:vAlign w:val="bottom"/>
            <w:shd w:val="clear" w:color="auto" w:fill="CCECFF"/>
          </w:tcPr>
          <w:p>
            <w:pPr>
              <w:spacing w:after="0"/>
              <w:rPr>
                <w:sz w:val="12"/>
                <w:szCs w:val="12"/>
                <w:color w:val="auto"/>
              </w:rPr>
            </w:pPr>
          </w:p>
        </w:tc>
      </w:tr>
      <w:tr>
        <w:trPr>
          <w:trHeight w:val="148"/>
        </w:trPr>
        <w:tc>
          <w:tcPr>
            <w:tcW w:w="3000" w:type="dxa"/>
            <w:vAlign w:val="bottom"/>
            <w:tcBorders>
              <w:bottom w:val="single" w:sz="8" w:color="CCECFF"/>
            </w:tcBorders>
          </w:tcPr>
          <w:p>
            <w:pPr>
              <w:spacing w:after="0"/>
              <w:rPr>
                <w:sz w:val="20"/>
                <w:szCs w:val="20"/>
                <w:color w:val="auto"/>
              </w:rPr>
            </w:pPr>
            <w:r>
              <w:rPr>
                <w:rFonts w:ascii="Arial" w:cs="Arial" w:eastAsia="Arial" w:hAnsi="Arial"/>
                <w:sz w:val="12"/>
                <w:szCs w:val="12"/>
                <w:color w:val="auto"/>
              </w:rPr>
              <w:t>BNY Mellon Cash</w:t>
            </w:r>
          </w:p>
        </w:tc>
        <w:tc>
          <w:tcPr>
            <w:tcW w:w="120" w:type="dxa"/>
            <w:vAlign w:val="bottom"/>
            <w:tcBorders>
              <w:bottom w:val="single" w:sz="8" w:color="CCECFF"/>
            </w:tcBorders>
          </w:tcPr>
          <w:p>
            <w:pPr>
              <w:spacing w:after="0"/>
              <w:rPr>
                <w:sz w:val="12"/>
                <w:szCs w:val="12"/>
                <w:color w:val="auto"/>
              </w:rPr>
            </w:pPr>
          </w:p>
        </w:tc>
        <w:tc>
          <w:tcPr>
            <w:tcW w:w="54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264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8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2,029,507</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2,092,590</w:t>
            </w:r>
          </w:p>
        </w:tc>
        <w:tc>
          <w:tcPr>
            <w:tcW w:w="100" w:type="dxa"/>
            <w:vAlign w:val="bottom"/>
            <w:tcBorders>
              <w:bottom w:val="single" w:sz="8" w:color="CCECFF"/>
            </w:tcBorders>
          </w:tcPr>
          <w:p>
            <w:pPr>
              <w:spacing w:after="0"/>
              <w:rPr>
                <w:sz w:val="12"/>
                <w:szCs w:val="12"/>
                <w:color w:val="auto"/>
              </w:rPr>
            </w:pPr>
          </w:p>
        </w:tc>
      </w:tr>
      <w:tr>
        <w:trPr>
          <w:trHeight w:val="142"/>
        </w:trPr>
        <w:tc>
          <w:tcPr>
            <w:tcW w:w="300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Cash and Cash Equivalents</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2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18,847,673</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18,910,756</w:t>
            </w:r>
          </w:p>
        </w:tc>
        <w:tc>
          <w:tcPr>
            <w:tcW w:w="100" w:type="dxa"/>
            <w:vAlign w:val="bottom"/>
            <w:shd w:val="clear" w:color="auto" w:fill="CCECFF"/>
          </w:tcPr>
          <w:p>
            <w:pPr>
              <w:spacing w:after="0"/>
              <w:rPr>
                <w:sz w:val="12"/>
                <w:szCs w:val="12"/>
                <w:color w:val="auto"/>
              </w:rPr>
            </w:pPr>
          </w:p>
        </w:tc>
      </w:tr>
      <w:tr>
        <w:trPr>
          <w:trHeight w:val="182"/>
        </w:trPr>
        <w:tc>
          <w:tcPr>
            <w:tcW w:w="300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Investments and Cash Equivalents—159.3%</w:t>
            </w:r>
          </w:p>
        </w:tc>
        <w:tc>
          <w:tcPr>
            <w:tcW w:w="120" w:type="dxa"/>
            <w:vAlign w:val="bottom"/>
            <w:tcBorders>
              <w:bottom w:val="single" w:sz="8" w:color="CCECFF"/>
            </w:tcBorders>
          </w:tcPr>
          <w:p>
            <w:pPr>
              <w:spacing w:after="0"/>
              <w:rPr>
                <w:sz w:val="15"/>
                <w:szCs w:val="15"/>
                <w:color w:val="auto"/>
              </w:rPr>
            </w:pPr>
          </w:p>
        </w:tc>
        <w:tc>
          <w:tcPr>
            <w:tcW w:w="540" w:type="dxa"/>
            <w:vAlign w:val="bottom"/>
            <w:tcBorders>
              <w:bottom w:val="single" w:sz="8" w:color="CCECFF"/>
            </w:tcBorders>
          </w:tcPr>
          <w:p>
            <w:pPr>
              <w:spacing w:after="0"/>
              <w:rPr>
                <w:sz w:val="15"/>
                <w:szCs w:val="15"/>
                <w:color w:val="auto"/>
              </w:rPr>
            </w:pPr>
          </w:p>
        </w:tc>
        <w:tc>
          <w:tcPr>
            <w:tcW w:w="240" w:type="dxa"/>
            <w:vAlign w:val="bottom"/>
            <w:tcBorders>
              <w:bottom w:val="single" w:sz="8" w:color="CCECFF"/>
            </w:tcBorders>
          </w:tcPr>
          <w:p>
            <w:pPr>
              <w:spacing w:after="0"/>
              <w:rPr>
                <w:sz w:val="15"/>
                <w:szCs w:val="15"/>
                <w:color w:val="auto"/>
              </w:rPr>
            </w:pPr>
          </w:p>
        </w:tc>
        <w:tc>
          <w:tcPr>
            <w:tcW w:w="2640" w:type="dxa"/>
            <w:vAlign w:val="bottom"/>
            <w:tcBorders>
              <w:bottom w:val="single" w:sz="8" w:color="CCECFF"/>
            </w:tcBorders>
          </w:tcPr>
          <w:p>
            <w:pPr>
              <w:spacing w:after="0"/>
              <w:rPr>
                <w:sz w:val="15"/>
                <w:szCs w:val="15"/>
                <w:color w:val="auto"/>
              </w:rPr>
            </w:pPr>
          </w:p>
        </w:tc>
        <w:tc>
          <w:tcPr>
            <w:tcW w:w="120" w:type="dxa"/>
            <w:vAlign w:val="bottom"/>
            <w:tcBorders>
              <w:bottom w:val="single" w:sz="8" w:color="CCECFF"/>
            </w:tcBorders>
          </w:tcPr>
          <w:p>
            <w:pPr>
              <w:spacing w:after="0"/>
              <w:rPr>
                <w:sz w:val="15"/>
                <w:szCs w:val="15"/>
                <w:color w:val="auto"/>
              </w:rPr>
            </w:pPr>
          </w:p>
        </w:tc>
        <w:tc>
          <w:tcPr>
            <w:tcW w:w="680" w:type="dxa"/>
            <w:vAlign w:val="bottom"/>
            <w:tcBorders>
              <w:bottom w:val="single" w:sz="8" w:color="CCECFF"/>
            </w:tcBorders>
          </w:tcPr>
          <w:p>
            <w:pPr>
              <w:spacing w:after="0"/>
              <w:rPr>
                <w:sz w:val="15"/>
                <w:szCs w:val="15"/>
                <w:color w:val="auto"/>
              </w:rPr>
            </w:pPr>
          </w:p>
        </w:tc>
        <w:tc>
          <w:tcPr>
            <w:tcW w:w="280" w:type="dxa"/>
            <w:vAlign w:val="bottom"/>
            <w:tcBorders>
              <w:bottom w:val="single" w:sz="8" w:color="CCECFF"/>
            </w:tcBorders>
          </w:tcPr>
          <w:p>
            <w:pPr>
              <w:spacing w:after="0"/>
              <w:rPr>
                <w:sz w:val="15"/>
                <w:szCs w:val="15"/>
                <w:color w:val="auto"/>
              </w:rPr>
            </w:pPr>
          </w:p>
        </w:tc>
        <w:tc>
          <w:tcPr>
            <w:tcW w:w="680" w:type="dxa"/>
            <w:vAlign w:val="bottom"/>
            <w:tcBorders>
              <w:bottom w:val="single" w:sz="8" w:color="CCECFF"/>
            </w:tcBorders>
          </w:tcPr>
          <w:p>
            <w:pPr>
              <w:spacing w:after="0"/>
              <w:rPr>
                <w:sz w:val="15"/>
                <w:szCs w:val="15"/>
                <w:color w:val="auto"/>
              </w:rPr>
            </w:pPr>
          </w:p>
        </w:tc>
        <w:tc>
          <w:tcPr>
            <w:tcW w:w="220" w:type="dxa"/>
            <w:vAlign w:val="bottom"/>
            <w:tcBorders>
              <w:bottom w:val="single" w:sz="8" w:color="CCECFF"/>
            </w:tcBorders>
          </w:tcPr>
          <w:p>
            <w:pPr>
              <w:spacing w:after="0"/>
              <w:rPr>
                <w:sz w:val="15"/>
                <w:szCs w:val="15"/>
                <w:color w:val="auto"/>
              </w:rPr>
            </w:pPr>
          </w:p>
        </w:tc>
        <w:tc>
          <w:tcPr>
            <w:tcW w:w="680" w:type="dxa"/>
            <w:vAlign w:val="bottom"/>
            <w:tcBorders>
              <w:bottom w:val="single" w:sz="8" w:color="CCECFF"/>
            </w:tcBorders>
          </w:tcPr>
          <w:p>
            <w:pPr>
              <w:spacing w:after="0"/>
              <w:rPr>
                <w:sz w:val="15"/>
                <w:szCs w:val="15"/>
                <w:color w:val="auto"/>
              </w:rPr>
            </w:pPr>
          </w:p>
        </w:tc>
        <w:tc>
          <w:tcPr>
            <w:tcW w:w="240" w:type="dxa"/>
            <w:vAlign w:val="bottom"/>
            <w:tcBorders>
              <w:bottom w:val="single" w:sz="8" w:color="CCECFF"/>
            </w:tcBorders>
          </w:tcPr>
          <w:p>
            <w:pPr>
              <w:spacing w:after="0"/>
              <w:rPr>
                <w:sz w:val="15"/>
                <w:szCs w:val="15"/>
                <w:color w:val="auto"/>
              </w:rPr>
            </w:pPr>
          </w:p>
        </w:tc>
        <w:tc>
          <w:tcPr>
            <w:tcW w:w="80" w:type="dxa"/>
            <w:vAlign w:val="bottom"/>
            <w:tcBorders>
              <w:bottom w:val="single" w:sz="8" w:color="auto"/>
            </w:tcBorders>
          </w:tcPr>
          <w:p>
            <w:pPr>
              <w:jc w:val="right"/>
              <w:ind w:right="17"/>
              <w:spacing w:after="0"/>
              <w:rPr>
                <w:sz w:val="20"/>
                <w:szCs w:val="20"/>
                <w:color w:val="auto"/>
              </w:rPr>
            </w:pPr>
            <w:r>
              <w:rPr>
                <w:rFonts w:ascii="Arial" w:cs="Arial" w:eastAsia="Arial" w:hAnsi="Arial"/>
                <w:sz w:val="5"/>
                <w:szCs w:val="5"/>
                <w:color w:val="auto"/>
                <w:w w:val="70"/>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727,362,494</w:t>
            </w:r>
          </w:p>
        </w:tc>
        <w:tc>
          <w:tcPr>
            <w:tcW w:w="240" w:type="dxa"/>
            <w:vAlign w:val="bottom"/>
            <w:tcBorders>
              <w:bottom w:val="single" w:sz="8" w:color="CCECFF"/>
            </w:tcBorders>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5"/>
              </w:rPr>
              <w:t>729,409,538</w:t>
            </w:r>
          </w:p>
        </w:tc>
        <w:tc>
          <w:tcPr>
            <w:tcW w:w="100" w:type="dxa"/>
            <w:vAlign w:val="bottom"/>
            <w:tcBorders>
              <w:bottom w:val="single" w:sz="8" w:color="CCECFF"/>
            </w:tcBorders>
          </w:tcPr>
          <w:p>
            <w:pPr>
              <w:spacing w:after="0"/>
              <w:rPr>
                <w:sz w:val="15"/>
                <w:szCs w:val="15"/>
                <w:color w:val="auto"/>
              </w:rPr>
            </w:pPr>
          </w:p>
        </w:tc>
      </w:tr>
      <w:tr>
        <w:trPr>
          <w:trHeight w:val="129"/>
        </w:trPr>
        <w:tc>
          <w:tcPr>
            <w:tcW w:w="3000" w:type="dxa"/>
            <w:vAlign w:val="bottom"/>
            <w:shd w:val="clear" w:color="auto" w:fill="CCECFF"/>
          </w:tcPr>
          <w:p>
            <w:pPr>
              <w:spacing w:after="0" w:line="129" w:lineRule="exact"/>
              <w:rPr>
                <w:sz w:val="20"/>
                <w:szCs w:val="20"/>
                <w:color w:val="auto"/>
              </w:rPr>
            </w:pPr>
            <w:r>
              <w:rPr>
                <w:rFonts w:ascii="Arial" w:cs="Arial" w:eastAsia="Arial" w:hAnsi="Arial"/>
                <w:sz w:val="12"/>
                <w:szCs w:val="12"/>
                <w:b w:val="1"/>
                <w:bCs w:val="1"/>
                <w:color w:val="auto"/>
              </w:rPr>
              <w:t>Liabilities in Excess of Other Assets—(59.3)%</w:t>
            </w: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80" w:type="dxa"/>
            <w:vAlign w:val="bottom"/>
            <w:gridSpan w:val="2"/>
            <w:shd w:val="clear" w:color="auto" w:fill="CCECFF"/>
          </w:tcPr>
          <w:p>
            <w:pPr>
              <w:jc w:val="right"/>
              <w:ind w:right="60"/>
              <w:spacing w:after="0" w:line="129" w:lineRule="exact"/>
              <w:rPr>
                <w:sz w:val="20"/>
                <w:szCs w:val="20"/>
                <w:color w:val="auto"/>
              </w:rPr>
            </w:pPr>
            <w:r>
              <w:rPr>
                <w:rFonts w:ascii="Arial" w:cs="Arial" w:eastAsia="Arial" w:hAnsi="Arial"/>
                <w:sz w:val="12"/>
                <w:szCs w:val="12"/>
                <w:color w:val="auto"/>
                <w:w w:val="93"/>
              </w:rPr>
              <w:t>(271,503,264)</w:t>
            </w:r>
          </w:p>
        </w:tc>
      </w:tr>
      <w:tr>
        <w:trPr>
          <w:trHeight w:val="149"/>
        </w:trPr>
        <w:tc>
          <w:tcPr>
            <w:tcW w:w="3000" w:type="dxa"/>
            <w:vAlign w:val="bottom"/>
          </w:tcPr>
          <w:p>
            <w:pPr>
              <w:spacing w:after="0"/>
              <w:rPr>
                <w:sz w:val="20"/>
                <w:szCs w:val="20"/>
                <w:color w:val="auto"/>
              </w:rPr>
            </w:pPr>
            <w:r>
              <w:rPr>
                <w:rFonts w:ascii="Arial" w:cs="Arial" w:eastAsia="Arial" w:hAnsi="Arial"/>
                <w:sz w:val="12"/>
                <w:szCs w:val="12"/>
                <w:b w:val="1"/>
                <w:bCs w:val="1"/>
                <w:color w:val="auto"/>
              </w:rPr>
              <w:t>Net Assets—100.0%</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5"/>
              </w:rPr>
              <w:t>457,906,274</w:t>
            </w:r>
          </w:p>
        </w:tc>
        <w:tc>
          <w:tcPr>
            <w:tcW w:w="100" w:type="dxa"/>
            <w:vAlign w:val="bottom"/>
          </w:tcPr>
          <w:p>
            <w:pPr>
              <w:spacing w:after="0"/>
              <w:rPr>
                <w:sz w:val="12"/>
                <w:szCs w:val="12"/>
                <w:color w:val="auto"/>
              </w:rPr>
            </w:pPr>
          </w:p>
        </w:tc>
      </w:tr>
      <w:tr>
        <w:trPr>
          <w:trHeight w:val="20"/>
        </w:trPr>
        <w:tc>
          <w:tcPr>
            <w:tcW w:w="3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8599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163" w:lineRule="exact"/>
        <w:rPr>
          <w:sz w:val="20"/>
          <w:szCs w:val="20"/>
          <w:color w:val="auto"/>
        </w:rPr>
      </w:pPr>
    </w:p>
    <w:p>
      <w:pPr>
        <w:ind w:left="380" w:right="120" w:hanging="372"/>
        <w:spacing w:after="0" w:line="252" w:lineRule="auto"/>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LIBOR or “L,” EURIBOR or “E,” or Prime rate, or “P.” All securities are subject to a LIBOR or Prime rate floor where a spread is provided, unless noted. The spread provided includes PIK interest and other fee rates, if any.</w:t>
      </w:r>
    </w:p>
    <w:p>
      <w:pPr>
        <w:spacing w:after="0" w:line="20" w:lineRule="exact"/>
        <w:rPr>
          <w:rFonts w:ascii="Arial" w:cs="Arial" w:eastAsia="Arial" w:hAnsi="Arial"/>
          <w:sz w:val="12"/>
          <w:szCs w:val="12"/>
          <w:color w:val="auto"/>
        </w:rPr>
      </w:pPr>
    </w:p>
    <w:p>
      <w:pPr>
        <w:ind w:left="380" w:hanging="372"/>
        <w:spacing w:after="0"/>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Valued based on our accounting policy (See Note 2).</w:t>
      </w:r>
    </w:p>
    <w:p>
      <w:pPr>
        <w:spacing w:after="0" w:line="37" w:lineRule="exact"/>
        <w:rPr>
          <w:rFonts w:ascii="Arial" w:cs="Arial" w:eastAsia="Arial" w:hAnsi="Arial"/>
          <w:sz w:val="12"/>
          <w:szCs w:val="12"/>
          <w:color w:val="auto"/>
        </w:rPr>
      </w:pPr>
    </w:p>
    <w:p>
      <w:pPr>
        <w:ind w:left="380" w:hanging="372"/>
        <w:spacing w:after="0" w:line="252" w:lineRule="auto"/>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spacing w:after="0" w:line="20" w:lineRule="exact"/>
        <w:rPr>
          <w:rFonts w:ascii="Arial" w:cs="Arial" w:eastAsia="Arial" w:hAnsi="Arial"/>
          <w:sz w:val="12"/>
          <w:szCs w:val="12"/>
          <w:color w:val="auto"/>
        </w:rPr>
      </w:pPr>
    </w:p>
    <w:p>
      <w:pPr>
        <w:ind w:left="380" w:hanging="372"/>
        <w:spacing w:after="0" w:line="252" w:lineRule="auto"/>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w:t>
      </w:r>
    </w:p>
    <w:p>
      <w:pPr>
        <w:spacing w:after="0" w:line="20" w:lineRule="exact"/>
        <w:rPr>
          <w:rFonts w:ascii="Arial" w:cs="Arial" w:eastAsia="Arial" w:hAnsi="Arial"/>
          <w:sz w:val="12"/>
          <w:szCs w:val="12"/>
          <w:color w:val="auto"/>
        </w:rPr>
      </w:pPr>
    </w:p>
    <w:p>
      <w:pPr>
        <w:ind w:left="380" w:right="360" w:hanging="372"/>
        <w:spacing w:after="0" w:line="252" w:lineRule="auto"/>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Security is exempt from registration under Rule 144A promulgated under the Securities Act of 1933, as amended, or the Securities Act. The security may be resold in transactions that are exempt from registration, normally to qualified institutional buyers.</w:t>
      </w:r>
    </w:p>
    <w:p>
      <w:pPr>
        <w:spacing w:after="0" w:line="20" w:lineRule="exact"/>
        <w:rPr>
          <w:rFonts w:ascii="Arial" w:cs="Arial" w:eastAsia="Arial" w:hAnsi="Arial"/>
          <w:sz w:val="12"/>
          <w:szCs w:val="12"/>
          <w:color w:val="auto"/>
        </w:rPr>
      </w:pPr>
    </w:p>
    <w:p>
      <w:pPr>
        <w:ind w:left="380" w:hanging="372"/>
        <w:spacing w:after="0"/>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Non-income producing securities.</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securities, or a portion thereof, are not pledged as collateral under the Credit Facility. All other securities are pledged as collateral under the Credit Facility and held through Funding I.</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4"/>
        </w:numPr>
        <w:rPr>
          <w:rFonts w:ascii="Arial" w:cs="Arial" w:eastAsia="Arial" w:hAnsi="Arial"/>
          <w:sz w:val="11"/>
          <w:szCs w:val="11"/>
          <w:color w:val="auto"/>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49" w:lineRule="exact"/>
        <w:rPr>
          <w:rFonts w:ascii="Arial" w:cs="Arial" w:eastAsia="Arial" w:hAnsi="Arial"/>
          <w:sz w:val="11"/>
          <w:szCs w:val="11"/>
          <w:color w:val="auto"/>
        </w:rPr>
      </w:pPr>
    </w:p>
    <w:p>
      <w:pPr>
        <w:ind w:left="380" w:right="20" w:hanging="372"/>
        <w:spacing w:after="0" w:line="252" w:lineRule="auto"/>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September 30, 2017, qualifying assets represent 87% of our total assets and non-qualifying assets represent 13% of our total assets.</w:t>
      </w:r>
    </w:p>
    <w:p>
      <w:pPr>
        <w:spacing w:after="0" w:line="20" w:lineRule="exact"/>
        <w:rPr>
          <w:rFonts w:ascii="Arial" w:cs="Arial" w:eastAsia="Arial" w:hAnsi="Arial"/>
          <w:sz w:val="12"/>
          <w:szCs w:val="12"/>
          <w:color w:val="auto"/>
        </w:rPr>
      </w:pPr>
    </w:p>
    <w:p>
      <w:pPr>
        <w:ind w:left="380" w:hanging="372"/>
        <w:spacing w:after="0"/>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Par amount is denominated in Australian Dollars (A$), Canadian Dollars (C$) or in Euros (€) as denoted.</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Investment is held through our Taxable Subsidiary (See Note 1).</w:t>
      </w:r>
    </w:p>
    <w:p>
      <w:pPr>
        <w:spacing w:after="0" w:line="37" w:lineRule="exact"/>
        <w:rPr>
          <w:rFonts w:ascii="Arial" w:cs="Arial" w:eastAsia="Arial" w:hAnsi="Arial"/>
          <w:sz w:val="12"/>
          <w:szCs w:val="12"/>
          <w:color w:val="auto"/>
        </w:rPr>
      </w:pPr>
    </w:p>
    <w:p>
      <w:pPr>
        <w:ind w:left="340" w:hanging="320"/>
        <w:spacing w:after="0"/>
        <w:tabs>
          <w:tab w:leader="none" w:pos="340" w:val="left"/>
        </w:tabs>
        <w:numPr>
          <w:ilvl w:val="1"/>
          <w:numId w:val="4"/>
        </w:numPr>
        <w:rPr>
          <w:rFonts w:ascii="Arial" w:cs="Arial" w:eastAsia="Arial" w:hAnsi="Arial"/>
          <w:sz w:val="12"/>
          <w:szCs w:val="12"/>
          <w:color w:val="auto"/>
        </w:rPr>
      </w:pPr>
      <w:r>
        <w:rPr>
          <w:rFonts w:ascii="Arial" w:cs="Arial" w:eastAsia="Arial" w:hAnsi="Arial"/>
          <w:sz w:val="12"/>
          <w:szCs w:val="12"/>
          <w:color w:val="auto"/>
        </w:rPr>
        <w:t>The security was not valued using significant unobservable inputs. The value of all other securities was determined using significant unobservable inputs (See Note 5).</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ind w:right="-19"/>
        <w:spacing w:after="0" w:line="225" w:lineRule="auto"/>
        <w:rPr>
          <w:sz w:val="20"/>
          <w:szCs w:val="20"/>
          <w:color w:val="auto"/>
        </w:rPr>
      </w:pPr>
      <w:r>
        <w:rPr>
          <w:rFonts w:ascii="Arial" w:cs="Arial" w:eastAsia="Arial" w:hAnsi="Arial"/>
          <w:sz w:val="14"/>
          <w:szCs w:val="14"/>
          <w:b w:val="1"/>
          <w:bCs w:val="1"/>
          <w:color w:val="auto"/>
        </w:rPr>
        <w:t>NOTES TO CONSOLIDATED FINANCIAL STATEMENTS</w:t>
      </w:r>
    </w:p>
    <w:p>
      <w:pPr>
        <w:jc w:val="center"/>
        <w:ind w:right="-19"/>
        <w:spacing w:after="0" w:line="221" w:lineRule="auto"/>
        <w:rPr>
          <w:sz w:val="20"/>
          <w:szCs w:val="20"/>
          <w:color w:val="auto"/>
        </w:rPr>
      </w:pPr>
      <w:r>
        <w:rPr>
          <w:rFonts w:ascii="Arial" w:cs="Arial" w:eastAsia="Arial" w:hAnsi="Arial"/>
          <w:sz w:val="14"/>
          <w:szCs w:val="14"/>
          <w:b w:val="1"/>
          <w:bCs w:val="1"/>
          <w:color w:val="auto"/>
        </w:rPr>
        <w:t>JUNE 30, 2018</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ORGANIZATION</w:t>
      </w:r>
    </w:p>
    <w:p>
      <w:pPr>
        <w:spacing w:after="0" w:line="140" w:lineRule="exact"/>
        <w:rPr>
          <w:sz w:val="20"/>
          <w:szCs w:val="20"/>
          <w:color w:val="auto"/>
        </w:rPr>
      </w:pPr>
    </w:p>
    <w:p>
      <w:pPr>
        <w:ind w:right="60" w:firstLine="438"/>
        <w:spacing w:after="0" w:line="253" w:lineRule="auto"/>
        <w:rPr>
          <w:sz w:val="20"/>
          <w:szCs w:val="20"/>
          <w:color w:val="auto"/>
        </w:rPr>
      </w:pPr>
      <w:r>
        <w:rPr>
          <w:rFonts w:ascii="Arial" w:cs="Arial" w:eastAsia="Arial" w:hAnsi="Arial"/>
          <w:sz w:val="14"/>
          <w:szCs w:val="14"/>
          <w:color w:val="auto"/>
        </w:rPr>
        <w:t>PennantPark Floating Rate Capital Ltd. was organized as a Maryland corporation in October 2010. We are a closed-end, externally managed, non-diversified investment company that has elected to be treated as a BDC under the 1940 Act.</w:t>
      </w:r>
    </w:p>
    <w:p>
      <w:pPr>
        <w:spacing w:after="0" w:line="106" w:lineRule="exact"/>
        <w:rPr>
          <w:sz w:val="20"/>
          <w:szCs w:val="20"/>
          <w:color w:val="auto"/>
        </w:rPr>
      </w:pPr>
    </w:p>
    <w:p>
      <w:pPr>
        <w:ind w:firstLine="438"/>
        <w:spacing w:after="0" w:line="228" w:lineRule="auto"/>
        <w:rPr>
          <w:sz w:val="20"/>
          <w:szCs w:val="20"/>
          <w:color w:val="auto"/>
        </w:rPr>
      </w:pPr>
      <w:r>
        <w:rPr>
          <w:rFonts w:ascii="Arial" w:cs="Arial" w:eastAsia="Arial" w:hAnsi="Arial"/>
          <w:sz w:val="14"/>
          <w:szCs w:val="14"/>
          <w:color w:val="auto"/>
        </w:rPr>
        <w:t>Our investment objectives are to generate both current income and capital appreciation while seeking to preserve capital. We seek to achieve our investment objective by investing primarily in loans bearing a variable-rate of interest, or Floating Rate Loans, and other investments made to U.S. middle-market private companies whose debt is rated below investment grade. Floating Rate Loans pay interest at variable rates, which are determined periodically, on the basis of a floating base lending rate such as LIBOR, with or without a floor, plus a fixed spread. Under normal market conditions, we generally expect that at least 80% of the value of our Managed Assets, which means our net assets plus any borrowings for investment purposes, will be invested in Floating Rate Loans and other investments bearing a variable rate of interest, which may include, from time to time, variable rate derivative instruments. We generally expect that first lien secured debt, will represent at least 65% of our overall portfolio. We generally expect to invest up to 35% of our overall portfolio opportunistically in other types of investments, including second lien secured debt, subordinated debt, and, to a lesser extent, equity investments.</w:t>
      </w:r>
    </w:p>
    <w:p>
      <w:pPr>
        <w:spacing w:after="0" w:line="117" w:lineRule="exact"/>
        <w:rPr>
          <w:sz w:val="20"/>
          <w:szCs w:val="20"/>
          <w:color w:val="auto"/>
        </w:rPr>
      </w:pPr>
    </w:p>
    <w:p>
      <w:pPr>
        <w:ind w:right="220" w:firstLine="438"/>
        <w:spacing w:after="0" w:line="290" w:lineRule="auto"/>
        <w:rPr>
          <w:sz w:val="20"/>
          <w:szCs w:val="20"/>
          <w:color w:val="auto"/>
        </w:rPr>
      </w:pPr>
      <w:r>
        <w:rPr>
          <w:rFonts w:ascii="Arial" w:cs="Arial" w:eastAsia="Arial" w:hAnsi="Arial"/>
          <w:sz w:val="13"/>
          <w:szCs w:val="13"/>
          <w:color w:val="auto"/>
        </w:rPr>
        <w:t>We entered into an investment management agreement, or the Investment Management Agreement, with the Investment Adviser, an external adviser that manages our day-to-day operations. We also entered into an administration agreement, or the Administration Agreement, with the Administrator, which provides the administrative services necessary for us to operate.</w:t>
      </w:r>
    </w:p>
    <w:p>
      <w:pPr>
        <w:spacing w:after="0" w:line="84" w:lineRule="exact"/>
        <w:rPr>
          <w:sz w:val="20"/>
          <w:szCs w:val="20"/>
          <w:color w:val="auto"/>
        </w:rPr>
      </w:pPr>
    </w:p>
    <w:p>
      <w:pPr>
        <w:ind w:firstLine="438"/>
        <w:spacing w:after="0" w:line="255" w:lineRule="auto"/>
        <w:rPr>
          <w:sz w:val="20"/>
          <w:szCs w:val="20"/>
          <w:color w:val="auto"/>
        </w:rPr>
      </w:pPr>
      <w:r>
        <w:rPr>
          <w:rFonts w:ascii="Arial" w:cs="Arial" w:eastAsia="Arial" w:hAnsi="Arial"/>
          <w:sz w:val="13"/>
          <w:szCs w:val="13"/>
          <w:color w:val="auto"/>
        </w:rPr>
        <w:t>Funding I, our wholly owned subsidiary and a special purpose entity, was organized in Delaware as a limited liability company in May 2011. We formed Funding I in order to establish our Credit Facility. The Investment Adviser serves as the collateral manager to Funding I and has irrevocably directed that the management fee owed with respect to such services is to be paid to us so long as the Investment Adviser remains the collateral manager. This arrangement does not increase our consolidated management fee. The Credit Facility allows Funding I to borrow up to $405 million at LIBOR plus 200 basis points during the revolving period. The Credit Facility is secured by all of the assets held by Funding I. See Note 10.</w:t>
      </w:r>
    </w:p>
    <w:p>
      <w:pPr>
        <w:spacing w:after="0" w:line="107" w:lineRule="exact"/>
        <w:rPr>
          <w:sz w:val="20"/>
          <w:szCs w:val="20"/>
          <w:color w:val="auto"/>
        </w:rPr>
      </w:pPr>
    </w:p>
    <w:p>
      <w:pPr>
        <w:ind w:right="140" w:firstLine="438"/>
        <w:spacing w:after="0" w:line="290" w:lineRule="auto"/>
        <w:rPr>
          <w:sz w:val="20"/>
          <w:szCs w:val="20"/>
          <w:color w:val="auto"/>
        </w:rPr>
      </w:pPr>
      <w:r>
        <w:rPr>
          <w:rFonts w:ascii="Arial" w:cs="Arial" w:eastAsia="Arial" w:hAnsi="Arial"/>
          <w:sz w:val="13"/>
          <w:szCs w:val="13"/>
          <w:color w:val="auto"/>
        </w:rPr>
        <w:t>We have formed and expect to continue to form certain taxable subsidiaries, including the Taxable Subsidiary, which are subject to tax as corporations. The Taxable Subsidiary allows us to hold equity securities of certain portfolio companies treated as pass-through entities for U.S. federal income tax purposes while facilitating our ability to qualify as a RIC under the Code.</w:t>
      </w:r>
    </w:p>
    <w:p>
      <w:pPr>
        <w:spacing w:after="0" w:line="84" w:lineRule="exact"/>
        <w:rPr>
          <w:sz w:val="20"/>
          <w:szCs w:val="20"/>
          <w:color w:val="auto"/>
        </w:rPr>
      </w:pPr>
    </w:p>
    <w:p>
      <w:pPr>
        <w:ind w:left="440"/>
        <w:spacing w:after="0"/>
        <w:rPr>
          <w:sz w:val="20"/>
          <w:szCs w:val="20"/>
          <w:color w:val="auto"/>
        </w:rPr>
      </w:pPr>
      <w:r>
        <w:rPr>
          <w:rFonts w:ascii="Arial" w:cs="Arial" w:eastAsia="Arial" w:hAnsi="Arial"/>
          <w:sz w:val="13"/>
          <w:szCs w:val="13"/>
          <w:color w:val="auto"/>
        </w:rPr>
        <w:t>In May 2017, we and Trinity Universal Insurance Company, or Trinity, a subsidiary of Kemper Corporation (NYSE: KMPR), or Kemper, formed PSSL, an unconsolidated joint venture.</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PSSL invests primarily in middle-market and other corporate debt securities consistent with our strategy. PSSL was formed as a Delaware limited liability company. See Note 4.</w:t>
      </w:r>
    </w:p>
    <w:p>
      <w:pPr>
        <w:spacing w:after="0" w:line="124" w:lineRule="exact"/>
        <w:rPr>
          <w:sz w:val="20"/>
          <w:szCs w:val="20"/>
          <w:color w:val="auto"/>
        </w:rPr>
      </w:pPr>
    </w:p>
    <w:p>
      <w:pPr>
        <w:ind w:right="400" w:firstLine="438"/>
        <w:spacing w:after="0" w:line="238" w:lineRule="auto"/>
        <w:rPr>
          <w:sz w:val="20"/>
          <w:szCs w:val="20"/>
          <w:color w:val="auto"/>
        </w:rPr>
      </w:pPr>
      <w:r>
        <w:rPr>
          <w:rFonts w:ascii="Arial" w:cs="Arial" w:eastAsia="Arial" w:hAnsi="Arial"/>
          <w:sz w:val="14"/>
          <w:szCs w:val="14"/>
          <w:color w:val="auto"/>
        </w:rPr>
        <w:t>In November 2017, we completed a follow-on public offering of 6,292,000 shares of common stock at a public offering price of $14.15 per share resulting in net proceeds of approximately $88.0 million. The Investment Adviser paid approximately $2.1 million of the sales load payable to the underwriters. We are not obligated to repay the sales load paid by our Investment Adviser.</w:t>
      </w:r>
    </w:p>
    <w:p>
      <w:pPr>
        <w:spacing w:after="0" w:line="115" w:lineRule="exact"/>
        <w:rPr>
          <w:sz w:val="20"/>
          <w:szCs w:val="20"/>
          <w:color w:val="auto"/>
        </w:rPr>
      </w:pPr>
    </w:p>
    <w:p>
      <w:pPr>
        <w:ind w:right="180" w:firstLine="438"/>
        <w:spacing w:after="0" w:line="233" w:lineRule="auto"/>
        <w:rPr>
          <w:sz w:val="20"/>
          <w:szCs w:val="20"/>
          <w:color w:val="auto"/>
        </w:rPr>
      </w:pPr>
      <w:r>
        <w:rPr>
          <w:rFonts w:ascii="Arial" w:cs="Arial" w:eastAsia="Arial" w:hAnsi="Arial"/>
          <w:sz w:val="14"/>
          <w:szCs w:val="14"/>
          <w:color w:val="auto"/>
        </w:rPr>
        <w:t>In November 2017, we issued $138.6 million of our 2023 Notes. The principal on the 2023 Notes will be payable in four annual installments as follows: 15% of the original principal amount on December 15, 2020, 15% of the original principal amount on December 15, 2021, 15% of the original principal amount on December 15, 2022 and 55% on December 15, 2023. The 2023 Notes are general, unsecured obligations and rank equal in right of payment with all of our existing and future senior unsecured indebtedness. The 2023 Notes are listed on the Tel Aviv Stock Exchange, or the TASE. In connection with this offering, we have dual listed our common stock on the TASE.</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SIGNIFICANT ACCOUNTING POLICIES</w:t>
      </w:r>
    </w:p>
    <w:p>
      <w:pPr>
        <w:spacing w:after="0" w:line="140" w:lineRule="exact"/>
        <w:rPr>
          <w:sz w:val="20"/>
          <w:szCs w:val="20"/>
          <w:color w:val="auto"/>
        </w:rPr>
      </w:pPr>
    </w:p>
    <w:p>
      <w:pPr>
        <w:ind w:right="60" w:firstLine="438"/>
        <w:spacing w:after="0" w:line="247" w:lineRule="auto"/>
        <w:rPr>
          <w:sz w:val="20"/>
          <w:szCs w:val="20"/>
          <w:color w:val="auto"/>
        </w:rPr>
      </w:pPr>
      <w:r>
        <w:rPr>
          <w:rFonts w:ascii="Arial" w:cs="Arial" w:eastAsia="Arial" w:hAnsi="Arial"/>
          <w:sz w:val="13"/>
          <w:szCs w:val="13"/>
          <w:color w:val="auto"/>
        </w:rPr>
        <w:t>The preparation of our Consolidated Financial Statements in conformity with U.S. generally accepted accounting principles, or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 balances and transactions. References to the Financial Accounting Standards Board, or FASB, Accounting Standards Codification, as amended, or ASC, serve as a single source of accounting literature. Subsequent events are evaluated and disclosed as appropriate for events occurring through the date the Consolidated Financial Statements are issued.</w:t>
      </w:r>
    </w:p>
    <w:p>
      <w:pPr>
        <w:spacing w:after="0" w:line="111" w:lineRule="exact"/>
        <w:rPr>
          <w:sz w:val="20"/>
          <w:szCs w:val="20"/>
          <w:color w:val="auto"/>
        </w:rPr>
      </w:pPr>
    </w:p>
    <w:p>
      <w:pPr>
        <w:ind w:right="280" w:firstLine="438"/>
        <w:spacing w:after="0" w:line="238" w:lineRule="auto"/>
        <w:rPr>
          <w:sz w:val="20"/>
          <w:szCs w:val="20"/>
          <w:color w:val="auto"/>
        </w:rPr>
      </w:pPr>
      <w:r>
        <w:rPr>
          <w:rFonts w:ascii="Arial" w:cs="Arial" w:eastAsia="Arial" w:hAnsi="Arial"/>
          <w:sz w:val="14"/>
          <w:szCs w:val="14"/>
          <w:color w:val="auto"/>
        </w:rPr>
        <w:t>Our Consolidated Financial Statements are prepared in accordance with GAAP, consistent with ASC Topic 946, Financial Services – Investment Companies, and pursuant to the requirements for reporting on Form 10-K/Q and Articles 6, 10 and 12 of Regulation S-X, as appropriate. In accordance with Article 6-09 of Regulation S-X, we have provided a Consolidated Statement of Changes in Net Assets in lieu of a Consolidated Statement of Changes in Stockholders’ Equity.</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4"/>
          <w:szCs w:val="14"/>
          <w:color w:val="auto"/>
        </w:rPr>
        <w:t>Our significant accounting policies consistently applied are as follows:</w:t>
      </w:r>
    </w:p>
    <w:p>
      <w:pPr>
        <w:spacing w:after="0" w:line="136"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(a) Investment Valuations</w:t>
      </w:r>
    </w:p>
    <w:p>
      <w:pPr>
        <w:spacing w:after="0" w:line="136" w:lineRule="exact"/>
        <w:rPr>
          <w:sz w:val="20"/>
          <w:szCs w:val="20"/>
          <w:color w:val="auto"/>
        </w:rPr>
      </w:pPr>
    </w:p>
    <w:p>
      <w:pPr>
        <w:ind w:firstLine="438"/>
        <w:spacing w:after="0" w:line="247" w:lineRule="auto"/>
        <w:rPr>
          <w:sz w:val="20"/>
          <w:szCs w:val="20"/>
          <w:color w:val="auto"/>
        </w:rPr>
      </w:pPr>
      <w:r>
        <w:rPr>
          <w:rFonts w:ascii="Arial" w:cs="Arial" w:eastAsia="Arial" w:hAnsi="Arial"/>
          <w:sz w:val="13"/>
          <w:szCs w:val="13"/>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jc w:val="center"/>
        <w:ind w:right="-79"/>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ind w:right="-79"/>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79"/>
        <w:spacing w:after="0" w:line="221" w:lineRule="auto"/>
        <w:rPr>
          <w:sz w:val="20"/>
          <w:szCs w:val="20"/>
          <w:color w:val="auto"/>
        </w:rPr>
      </w:pPr>
      <w:r>
        <w:rPr>
          <w:rFonts w:ascii="Arial" w:cs="Arial" w:eastAsia="Arial" w:hAnsi="Arial"/>
          <w:sz w:val="14"/>
          <w:szCs w:val="14"/>
          <w:b w:val="1"/>
          <w:bCs w:val="1"/>
          <w:color w:val="auto"/>
        </w:rPr>
        <w:t>JUNE 30, 2018</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right="300" w:firstLine="438"/>
        <w:spacing w:after="0" w:line="290" w:lineRule="auto"/>
        <w:rPr>
          <w:sz w:val="20"/>
          <w:szCs w:val="20"/>
          <w:color w:val="auto"/>
        </w:rPr>
      </w:pPr>
      <w:r>
        <w:rPr>
          <w:rFonts w:ascii="Arial" w:cs="Arial" w:eastAsia="Arial" w:hAnsi="Arial"/>
          <w:sz w:val="13"/>
          <w:szCs w:val="13"/>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84" w:lineRule="exact"/>
        <w:rPr>
          <w:sz w:val="20"/>
          <w:szCs w:val="20"/>
          <w:color w:val="auto"/>
        </w:rPr>
      </w:pPr>
    </w:p>
    <w:p>
      <w:pPr>
        <w:ind w:left="900" w:right="220" w:hanging="447"/>
        <w:spacing w:after="0" w:line="253" w:lineRule="auto"/>
        <w:tabs>
          <w:tab w:leader="none" w:pos="900" w:val="left"/>
        </w:tabs>
        <w:numPr>
          <w:ilvl w:val="0"/>
          <w:numId w:val="5"/>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our Investment Adviser responsible for the portfolio investment;</w:t>
      </w:r>
    </w:p>
    <w:p>
      <w:pPr>
        <w:spacing w:after="0" w:line="106" w:lineRule="exact"/>
        <w:rPr>
          <w:rFonts w:ascii="Arial" w:cs="Arial" w:eastAsia="Arial" w:hAnsi="Arial"/>
          <w:sz w:val="14"/>
          <w:szCs w:val="14"/>
          <w:color w:val="auto"/>
        </w:rPr>
      </w:pPr>
    </w:p>
    <w:p>
      <w:pPr>
        <w:ind w:left="900" w:hanging="447"/>
        <w:spacing w:after="0"/>
        <w:tabs>
          <w:tab w:leader="none" w:pos="900" w:val="left"/>
        </w:tabs>
        <w:numPr>
          <w:ilvl w:val="0"/>
          <w:numId w:val="5"/>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our Investment Adviser;</w:t>
      </w:r>
    </w:p>
    <w:p>
      <w:pPr>
        <w:spacing w:after="0" w:line="136" w:lineRule="exact"/>
        <w:rPr>
          <w:rFonts w:ascii="Arial" w:cs="Arial" w:eastAsia="Arial" w:hAnsi="Arial"/>
          <w:sz w:val="14"/>
          <w:szCs w:val="14"/>
          <w:color w:val="auto"/>
        </w:rPr>
      </w:pPr>
    </w:p>
    <w:p>
      <w:pPr>
        <w:jc w:val="both"/>
        <w:ind w:left="900" w:right="20" w:hanging="447"/>
        <w:spacing w:after="0" w:line="264" w:lineRule="auto"/>
        <w:tabs>
          <w:tab w:leader="none" w:pos="900" w:val="left"/>
        </w:tabs>
        <w:numPr>
          <w:ilvl w:val="0"/>
          <w:numId w:val="5"/>
        </w:numPr>
        <w:rPr>
          <w:rFonts w:ascii="Arial" w:cs="Arial" w:eastAsia="Arial" w:hAnsi="Arial"/>
          <w:sz w:val="13"/>
          <w:szCs w:val="13"/>
          <w:color w:val="auto"/>
        </w:rPr>
      </w:pPr>
      <w:r>
        <w:rPr>
          <w:rFonts w:ascii="Arial" w:cs="Arial" w:eastAsia="Arial" w:hAnsi="Arial"/>
          <w:sz w:val="13"/>
          <w:szCs w:val="13"/>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00" w:lineRule="exact"/>
        <w:rPr>
          <w:rFonts w:ascii="Arial" w:cs="Arial" w:eastAsia="Arial" w:hAnsi="Arial"/>
          <w:sz w:val="13"/>
          <w:szCs w:val="13"/>
          <w:color w:val="auto"/>
        </w:rPr>
      </w:pPr>
    </w:p>
    <w:p>
      <w:pPr>
        <w:ind w:left="900" w:right="260" w:hanging="447"/>
        <w:spacing w:after="0" w:line="238" w:lineRule="auto"/>
        <w:tabs>
          <w:tab w:leader="none" w:pos="90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115" w:lineRule="exact"/>
        <w:rPr>
          <w:rFonts w:ascii="Arial" w:cs="Arial" w:eastAsia="Arial" w:hAnsi="Arial"/>
          <w:sz w:val="14"/>
          <w:szCs w:val="14"/>
          <w:color w:val="auto"/>
        </w:rPr>
      </w:pPr>
    </w:p>
    <w:p>
      <w:pPr>
        <w:ind w:left="900" w:right="20" w:hanging="447"/>
        <w:spacing w:after="0" w:line="253" w:lineRule="auto"/>
        <w:tabs>
          <w:tab w:leader="none" w:pos="900" w:val="left"/>
        </w:tabs>
        <w:numPr>
          <w:ilvl w:val="0"/>
          <w:numId w:val="5"/>
        </w:numPr>
        <w:rPr>
          <w:rFonts w:ascii="Arial" w:cs="Arial" w:eastAsia="Arial" w:hAnsi="Arial"/>
          <w:sz w:val="14"/>
          <w:szCs w:val="14"/>
          <w:color w:val="auto"/>
        </w:rPr>
      </w:pPr>
      <w:r>
        <w:rPr>
          <w:rFonts w:ascii="Arial" w:cs="Arial" w:eastAsia="Arial" w:hAnsi="Arial"/>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06" w:lineRule="exact"/>
        <w:rPr>
          <w:sz w:val="20"/>
          <w:szCs w:val="20"/>
          <w:color w:val="auto"/>
        </w:rPr>
      </w:pPr>
    </w:p>
    <w:p>
      <w:pPr>
        <w:ind w:right="180" w:firstLine="438"/>
        <w:spacing w:after="0" w:line="255" w:lineRule="auto"/>
        <w:rPr>
          <w:sz w:val="20"/>
          <w:szCs w:val="20"/>
          <w:color w:val="auto"/>
        </w:rPr>
      </w:pPr>
      <w:r>
        <w:rPr>
          <w:rFonts w:ascii="Arial" w:cs="Arial" w:eastAsia="Arial" w:hAnsi="Arial"/>
          <w:sz w:val="13"/>
          <w:szCs w:val="13"/>
          <w:color w:val="auto"/>
        </w:rPr>
        <w:t>Our board of directors generally uses market quotations to assess the value of our investments for which market quotations are readily available. We obtain these market values from independent pricing services or at 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07"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(b) Security Transactions, Revenue Recognition, and Realized/Unrealized Gains or Losses</w:t>
      </w:r>
    </w:p>
    <w:p>
      <w:pPr>
        <w:spacing w:after="0" w:line="136" w:lineRule="exact"/>
        <w:rPr>
          <w:sz w:val="20"/>
          <w:szCs w:val="20"/>
          <w:color w:val="auto"/>
        </w:rPr>
      </w:pPr>
    </w:p>
    <w:p>
      <w:pPr>
        <w:ind w:firstLine="438"/>
        <w:spacing w:after="0" w:line="233" w:lineRule="auto"/>
        <w:rPr>
          <w:sz w:val="20"/>
          <w:szCs w:val="20"/>
          <w:color w:val="auto"/>
        </w:rPr>
      </w:pPr>
      <w:r>
        <w:rPr>
          <w:rFonts w:ascii="Arial" w:cs="Arial" w:eastAsia="Arial" w:hAnsi="Arial"/>
          <w:sz w:val="14"/>
          <w:szCs w:val="14"/>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prepayment penalties. Net change in unrealized appreciation or depreciation reflects the change in the fair values of our portfolio investments, the Credit Facility and the 2023 Notes during the reporting period, including any reversal of previously recorded unrealized appreciation or depreciation, when gains or losses are realized.</w:t>
      </w:r>
    </w:p>
    <w:p>
      <w:pPr>
        <w:spacing w:after="0" w:line="117" w:lineRule="exact"/>
        <w:rPr>
          <w:sz w:val="20"/>
          <w:szCs w:val="20"/>
          <w:color w:val="auto"/>
        </w:rPr>
      </w:pPr>
    </w:p>
    <w:p>
      <w:pPr>
        <w:ind w:right="20" w:firstLine="438"/>
        <w:spacing w:after="0" w:line="227" w:lineRule="auto"/>
        <w:rPr>
          <w:sz w:val="20"/>
          <w:szCs w:val="20"/>
          <w:color w:val="auto"/>
        </w:rPr>
      </w:pPr>
      <w:r>
        <w:rPr>
          <w:rFonts w:ascii="Arial" w:cs="Arial" w:eastAsia="Arial" w:hAnsi="Arial"/>
          <w:sz w:val="14"/>
          <w:szCs w:val="14"/>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or OID, market discount or premium and deferred financing costs on liabilities, which we do not fair value, are capitalized and then accreted or amortized using the effective interest method as interest income or, in the case of deferred financing costs, as interest expense.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 Litigation settlements are accounted for in accordance with the gain contingency provisions of ASC Subtopic 450-30, Gain Contingencies, or ASC-450-30.</w:t>
      </w:r>
    </w:p>
    <w:p>
      <w:pPr>
        <w:spacing w:after="0" w:line="118" w:lineRule="exact"/>
        <w:rPr>
          <w:sz w:val="20"/>
          <w:szCs w:val="20"/>
          <w:color w:val="auto"/>
        </w:rPr>
      </w:pPr>
    </w:p>
    <w:p>
      <w:pPr>
        <w:ind w:right="260" w:firstLine="438"/>
        <w:spacing w:after="0" w:line="233" w:lineRule="auto"/>
        <w:rPr>
          <w:sz w:val="20"/>
          <w:szCs w:val="20"/>
          <w:color w:val="auto"/>
        </w:rPr>
      </w:pPr>
      <w:r>
        <w:rPr>
          <w:rFonts w:ascii="Arial" w:cs="Arial" w:eastAsia="Arial" w:hAnsi="Arial"/>
          <w:sz w:val="14"/>
          <w:szCs w:val="14"/>
          <w:color w:val="auto"/>
        </w:rPr>
        <w:t>Loans are placed on non-accrual status when principal or interest payments are past due 30 days or more and/or if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(c) Income Taxes</w:t>
      </w:r>
    </w:p>
    <w:p>
      <w:pPr>
        <w:spacing w:after="0" w:line="136" w:lineRule="exact"/>
        <w:rPr>
          <w:sz w:val="20"/>
          <w:szCs w:val="20"/>
          <w:color w:val="auto"/>
        </w:rPr>
      </w:pPr>
    </w:p>
    <w:p>
      <w:pPr>
        <w:ind w:right="60" w:firstLine="434"/>
        <w:spacing w:after="0" w:line="247" w:lineRule="auto"/>
        <w:rPr>
          <w:sz w:val="20"/>
          <w:szCs w:val="20"/>
          <w:color w:val="auto"/>
        </w:rPr>
      </w:pPr>
      <w:r>
        <w:rPr>
          <w:rFonts w:ascii="Arial" w:cs="Arial" w:eastAsia="Arial" w:hAnsi="Arial"/>
          <w:sz w:val="13"/>
          <w:szCs w:val="13"/>
          <w:color w:val="auto"/>
        </w:rPr>
        <w:t>We have complied with the requirements of Subchapter M of the Code and expect to be treated as a RIC for federal income tax purposes. In this regard, we account for income taxes using the asset and liability method prescribed by ASC Topic 740, Income Taxes, or ASC 740. Under this method, income taxes are provided for amounts currently payable and for amounts deferred as tax assets and liabilities based on differences between the financial statement carrying amounts and the tax basis of existing assets and liabilities. Based upon our qualification and election to be treated as a RIC for federal income tax purposes, we typically do not incur any material federal income taxes. However, we may choose to retain a portion of our calendar year income, which may result in the imposition of an excise tax, or we may incur taxes through our taxable subsidiaries, including the Taxable Subsidiary. For the three and nine months ended June 30, 2018, we recorded a provision for taxes of $0.2 million and $0.6 million, respectively, pertaining to U.S. federal excise tax. For the three and nine months ended June 30, 2017, we recorded a provision for taxes of $0.1 million and $0.2 million, respectively, pertaining to U.S. federal excise tax.</w:t>
      </w:r>
    </w:p>
    <w:p>
      <w:pPr>
        <w:spacing w:after="0" w:line="111" w:lineRule="exact"/>
        <w:rPr>
          <w:sz w:val="20"/>
          <w:szCs w:val="20"/>
          <w:color w:val="auto"/>
        </w:rPr>
      </w:pPr>
    </w:p>
    <w:p>
      <w:pPr>
        <w:ind w:right="140" w:firstLine="438"/>
        <w:spacing w:after="0" w:line="248" w:lineRule="auto"/>
        <w:rPr>
          <w:sz w:val="20"/>
          <w:szCs w:val="20"/>
          <w:color w:val="auto"/>
        </w:rPr>
      </w:pPr>
      <w:r>
        <w:rPr>
          <w:rFonts w:ascii="Arial" w:cs="Arial" w:eastAsia="Arial" w:hAnsi="Arial"/>
          <w:sz w:val="13"/>
          <w:szCs w:val="13"/>
          <w:color w:val="auto"/>
        </w:rPr>
        <w:t>We recognize the effect of a tax position in our Consolidated Financial Statements in accordance with ASC 740 when it is more likely than not, based on the technical merits, that the position will be sustained upon examination by the applicable tax authority. Tax positions not considered to satisfy the “more-likely-than-not” threshold would be recorded as a tax expense or benefit. Penalties or interest, if applicable, that may be assessed relating to income taxes would be classified as other operating expenses in the financial statements. As of June 30, 2018, there were no tax accruals relating to uncertain tax positions and no amounts accrued for any related interest or penalties with respect to the periods presented herein. The Company’s determinations regarding ASC 740 may be subject to review and adjustment at a later date based upon factors including, but not limited to, an on-going analysis of tax laws, regulations and interpretations thereof. Although the Company files both federal and state income tax returns, the Company’s major tax jurisdiction is federal.</w:t>
      </w:r>
    </w:p>
    <w:p>
      <w:pPr>
        <w:spacing w:after="0" w:line="113" w:lineRule="exact"/>
        <w:rPr>
          <w:sz w:val="20"/>
          <w:szCs w:val="20"/>
          <w:color w:val="auto"/>
        </w:rPr>
      </w:pPr>
    </w:p>
    <w:p>
      <w:pPr>
        <w:ind w:right="40" w:firstLine="438"/>
        <w:spacing w:after="0" w:line="264" w:lineRule="auto"/>
        <w:rPr>
          <w:sz w:val="20"/>
          <w:szCs w:val="20"/>
          <w:color w:val="auto"/>
        </w:rPr>
      </w:pPr>
      <w:r>
        <w:rPr>
          <w:rFonts w:ascii="Arial" w:cs="Arial" w:eastAsia="Arial" w:hAnsi="Arial"/>
          <w:sz w:val="13"/>
          <w:szCs w:val="13"/>
          <w:color w:val="auto"/>
        </w:rPr>
        <w:t>Because federal income tax regulations differ from GAAP, distributions in accordance with tax regulations may differ from net investment income and net realized gains recognized for financial reporting purposes. Differences between tax regulations and GAAP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200" w:lineRule="exact"/>
        <w:rPr>
          <w:sz w:val="20"/>
          <w:szCs w:val="20"/>
          <w:color w:val="auto"/>
        </w:rPr>
      </w:pPr>
    </w:p>
    <w:p>
      <w:pPr>
        <w:spacing w:after="0" w:line="265"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15" w:name="page16"/>
    <w:bookmarkEnd w:id="15"/>
    <w:p>
      <w:pPr>
        <w:jc w:val="center"/>
        <w:ind w:right="-39"/>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ind w:right="-39"/>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39"/>
        <w:spacing w:after="0" w:line="221" w:lineRule="auto"/>
        <w:rPr>
          <w:sz w:val="20"/>
          <w:szCs w:val="20"/>
          <w:color w:val="auto"/>
        </w:rPr>
      </w:pPr>
      <w:r>
        <w:rPr>
          <w:rFonts w:ascii="Arial" w:cs="Arial" w:eastAsia="Arial" w:hAnsi="Arial"/>
          <w:sz w:val="14"/>
          <w:szCs w:val="14"/>
          <w:b w:val="1"/>
          <w:bCs w:val="1"/>
          <w:color w:val="auto"/>
        </w:rPr>
        <w:t>JUNE 30, 2018</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(d) Distributions and Capital Transactions</w:t>
      </w:r>
    </w:p>
    <w:p>
      <w:pPr>
        <w:spacing w:after="0" w:line="136" w:lineRule="exact"/>
        <w:rPr>
          <w:sz w:val="20"/>
          <w:szCs w:val="20"/>
          <w:color w:val="auto"/>
        </w:rPr>
      </w:pPr>
    </w:p>
    <w:p>
      <w:pPr>
        <w:ind w:right="80" w:firstLine="438"/>
        <w:spacing w:after="0" w:line="238" w:lineRule="auto"/>
        <w:rPr>
          <w:sz w:val="20"/>
          <w:szCs w:val="20"/>
          <w:color w:val="auto"/>
        </w:rPr>
      </w:pPr>
      <w:r>
        <w:rPr>
          <w:rFonts w:ascii="Arial" w:cs="Arial" w:eastAsia="Arial" w:hAnsi="Arial"/>
          <w:sz w:val="14"/>
          <w:szCs w:val="14"/>
          <w:color w:val="auto"/>
        </w:rPr>
        <w:t>Distributions to common stockholders are recorded on the ex-dividend date. The amount to be paid, if any, as a distribution is determined by the board of directors each quarter and is generally based upon the earnings estimated by management. Net realized capital gains, if any, are distributed at least annually. The tax attributes for distributions will generally include ordinary income and capital gains, but may also include certain tax-qualified dividends and/or a return of capital.</w:t>
      </w:r>
    </w:p>
    <w:p>
      <w:pPr>
        <w:spacing w:after="0" w:line="115" w:lineRule="exact"/>
        <w:rPr>
          <w:sz w:val="20"/>
          <w:szCs w:val="20"/>
          <w:color w:val="auto"/>
        </w:rPr>
      </w:pPr>
    </w:p>
    <w:p>
      <w:pPr>
        <w:ind w:right="340" w:firstLine="438"/>
        <w:spacing w:after="0" w:line="253" w:lineRule="auto"/>
        <w:rPr>
          <w:sz w:val="20"/>
          <w:szCs w:val="20"/>
          <w:color w:val="auto"/>
        </w:rPr>
      </w:pPr>
      <w:r>
        <w:rPr>
          <w:rFonts w:ascii="Arial" w:cs="Arial" w:eastAsia="Arial" w:hAnsi="Arial"/>
          <w:sz w:val="14"/>
          <w:szCs w:val="14"/>
          <w:color w:val="auto"/>
        </w:rPr>
        <w:t>Capital transactions, in connection with our dividend reinvestment plan, which was terminated on November 22, 2017, or through offerings of our common stock, are recorded when issued and offering costs are charged as a reduction of capital upon issuance of our common stock.</w:t>
      </w:r>
    </w:p>
    <w:p>
      <w:pPr>
        <w:spacing w:after="0" w:line="106" w:lineRule="exact"/>
        <w:rPr>
          <w:sz w:val="20"/>
          <w:szCs w:val="20"/>
          <w:color w:val="auto"/>
        </w:rPr>
      </w:pPr>
    </w:p>
    <w:p>
      <w:pPr>
        <w:ind w:left="460" w:hanging="204"/>
        <w:spacing w:after="0"/>
        <w:tabs>
          <w:tab w:leader="none" w:pos="460" w:val="left"/>
        </w:tabs>
        <w:numPr>
          <w:ilvl w:val="0"/>
          <w:numId w:val="6"/>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Foreign Currency Translation</w:t>
      </w:r>
    </w:p>
    <w:p>
      <w:pPr>
        <w:spacing w:after="0" w:line="136" w:lineRule="exact"/>
        <w:rPr>
          <w:rFonts w:ascii="Arial" w:cs="Arial" w:eastAsia="Arial" w:hAnsi="Arial"/>
          <w:sz w:val="14"/>
          <w:szCs w:val="14"/>
          <w:b w:val="1"/>
          <w:bCs w:val="1"/>
          <w:i w:val="1"/>
          <w:iCs w:val="1"/>
          <w:color w:val="auto"/>
        </w:rPr>
      </w:pPr>
    </w:p>
    <w:p>
      <w:pPr>
        <w:ind w:left="440"/>
        <w:spacing w:after="0"/>
        <w:rPr>
          <w:rFonts w:ascii="Arial" w:cs="Arial" w:eastAsia="Arial" w:hAnsi="Arial"/>
          <w:sz w:val="14"/>
          <w:szCs w:val="14"/>
          <w:b w:val="1"/>
          <w:bCs w:val="1"/>
          <w:i w:val="1"/>
          <w:iCs w:val="1"/>
          <w:color w:val="auto"/>
        </w:rPr>
      </w:pPr>
      <w:r>
        <w:rPr>
          <w:rFonts w:ascii="Arial" w:cs="Arial" w:eastAsia="Arial" w:hAnsi="Arial"/>
          <w:sz w:val="14"/>
          <w:szCs w:val="14"/>
          <w:color w:val="auto"/>
        </w:rPr>
        <w:t>Our books and records are maintained in U.S. dollars. Any foreign currency amounts are translated into U.S. dollars on the following basis:</w:t>
      </w:r>
    </w:p>
    <w:p>
      <w:pPr>
        <w:spacing w:after="0" w:line="136" w:lineRule="exact"/>
        <w:rPr>
          <w:rFonts w:ascii="Arial" w:cs="Arial" w:eastAsia="Arial" w:hAnsi="Arial"/>
          <w:sz w:val="14"/>
          <w:szCs w:val="14"/>
          <w:b w:val="1"/>
          <w:bCs w:val="1"/>
          <w:i w:val="1"/>
          <w:iCs w:val="1"/>
          <w:color w:val="auto"/>
        </w:rPr>
      </w:pPr>
    </w:p>
    <w:p>
      <w:pPr>
        <w:ind w:left="1180" w:hanging="362"/>
        <w:spacing w:after="0"/>
        <w:tabs>
          <w:tab w:leader="none" w:pos="1180" w:val="left"/>
        </w:tabs>
        <w:numPr>
          <w:ilvl w:val="1"/>
          <w:numId w:val="6"/>
        </w:numPr>
        <w:rPr>
          <w:rFonts w:ascii="Arial" w:cs="Arial" w:eastAsia="Arial" w:hAnsi="Arial"/>
          <w:sz w:val="14"/>
          <w:szCs w:val="14"/>
          <w:color w:val="auto"/>
        </w:rPr>
      </w:pPr>
      <w:r>
        <w:rPr>
          <w:rFonts w:ascii="Arial" w:cs="Arial" w:eastAsia="Arial" w:hAnsi="Arial"/>
          <w:sz w:val="14"/>
          <w:szCs w:val="14"/>
          <w:color w:val="auto"/>
        </w:rPr>
        <w:t>Fair value of investment securities, other assets and liabilities – at the exchange rates prevailing at the end of the applicable period; and</w:t>
      </w:r>
    </w:p>
    <w:p>
      <w:pPr>
        <w:spacing w:after="0" w:line="136" w:lineRule="exact"/>
        <w:rPr>
          <w:rFonts w:ascii="Arial" w:cs="Arial" w:eastAsia="Arial" w:hAnsi="Arial"/>
          <w:sz w:val="14"/>
          <w:szCs w:val="14"/>
          <w:color w:val="auto"/>
        </w:rPr>
      </w:pPr>
    </w:p>
    <w:p>
      <w:pPr>
        <w:ind w:left="1180" w:hanging="362"/>
        <w:spacing w:after="0"/>
        <w:tabs>
          <w:tab w:leader="none" w:pos="1180" w:val="left"/>
        </w:tabs>
        <w:numPr>
          <w:ilvl w:val="1"/>
          <w:numId w:val="6"/>
        </w:numPr>
        <w:rPr>
          <w:rFonts w:ascii="Arial" w:cs="Arial" w:eastAsia="Arial" w:hAnsi="Arial"/>
          <w:sz w:val="14"/>
          <w:szCs w:val="14"/>
          <w:color w:val="auto"/>
        </w:rPr>
      </w:pPr>
      <w:r>
        <w:rPr>
          <w:rFonts w:ascii="Arial" w:cs="Arial" w:eastAsia="Arial" w:hAnsi="Arial"/>
          <w:sz w:val="14"/>
          <w:szCs w:val="14"/>
          <w:color w:val="auto"/>
        </w:rPr>
        <w:t>Purchases and sales of investment securities, income and expenses – at the exchange rates prevailing on the respective dates of such transactions.</w:t>
      </w:r>
    </w:p>
    <w:p>
      <w:pPr>
        <w:spacing w:after="0" w:line="136" w:lineRule="exact"/>
        <w:rPr>
          <w:sz w:val="20"/>
          <w:szCs w:val="20"/>
          <w:color w:val="auto"/>
        </w:rPr>
      </w:pPr>
    </w:p>
    <w:p>
      <w:pPr>
        <w:jc w:val="both"/>
        <w:ind w:right="20" w:firstLine="438"/>
        <w:spacing w:after="0" w:line="238" w:lineRule="auto"/>
        <w:rPr>
          <w:sz w:val="20"/>
          <w:szCs w:val="20"/>
          <w:color w:val="auto"/>
        </w:rPr>
      </w:pPr>
      <w:r>
        <w:rPr>
          <w:rFonts w:ascii="Arial" w:cs="Arial" w:eastAsia="Arial" w:hAnsi="Arial"/>
          <w:sz w:val="14"/>
          <w:szCs w:val="14"/>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values of investments and liabilities held. Such fluctuations are included with the net realized and unrealized gain or loss from investments and liabilities.</w:t>
      </w:r>
    </w:p>
    <w:p>
      <w:pPr>
        <w:spacing w:after="0" w:line="115" w:lineRule="exact"/>
        <w:rPr>
          <w:sz w:val="20"/>
          <w:szCs w:val="20"/>
          <w:color w:val="auto"/>
        </w:rPr>
      </w:pPr>
    </w:p>
    <w:p>
      <w:pPr>
        <w:jc w:val="both"/>
        <w:ind w:right="140" w:firstLine="438"/>
        <w:spacing w:after="0" w:line="238" w:lineRule="auto"/>
        <w:rPr>
          <w:sz w:val="20"/>
          <w:szCs w:val="20"/>
          <w:color w:val="auto"/>
        </w:rPr>
      </w:pPr>
      <w:r>
        <w:rPr>
          <w:rFonts w:ascii="Arial" w:cs="Arial" w:eastAsia="Arial" w:hAnsi="Arial"/>
          <w:sz w:val="14"/>
          <w:szCs w:val="14"/>
          <w:color w:val="auto"/>
        </w:rPr>
        <w:t>Foreign security and currency translations may involve certain considerations and risks not typically associated with investing in U.S. companies and U.S. government securities. These risks include, but are not limited to, currency fluctuations and revaluations and future adverse political, social and economic developments, which could cause investments in foreign markets to be less liquid and prices to be more volatile than those of comparable U.S. companies or U.S. government securities.</w:t>
      </w:r>
    </w:p>
    <w:p>
      <w:pPr>
        <w:spacing w:after="0" w:line="115"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(f) Consolidation</w:t>
      </w:r>
    </w:p>
    <w:p>
      <w:pPr>
        <w:spacing w:after="0" w:line="136" w:lineRule="exact"/>
        <w:rPr>
          <w:sz w:val="20"/>
          <w:szCs w:val="20"/>
          <w:color w:val="auto"/>
        </w:rPr>
      </w:pPr>
    </w:p>
    <w:p>
      <w:pPr>
        <w:jc w:val="both"/>
        <w:ind w:right="60" w:firstLine="438"/>
        <w:spacing w:after="0" w:line="233" w:lineRule="auto"/>
        <w:rPr>
          <w:sz w:val="20"/>
          <w:szCs w:val="20"/>
          <w:color w:val="auto"/>
        </w:rPr>
      </w:pPr>
      <w:r>
        <w:rPr>
          <w:rFonts w:ascii="Arial" w:cs="Arial" w:eastAsia="Arial" w:hAnsi="Arial"/>
          <w:sz w:val="14"/>
          <w:szCs w:val="14"/>
          <w:color w:val="auto"/>
        </w:rPr>
        <w:t>As permitted under Regulation S-X and as explained by ASC paragraph 946-810-45-3, PennantPark Floating Rate Capital Ltd. will generally not consolidate its investment in a company other than an investment company subsidiary or a controlled operating company whose business consists of providing services to us. Accordingly, we have consolidated the results of our taxable subsidiaries, including the Taxable Subsidiary, in our Consolidated Financial Statements. We do not consolidate our non-controlling interest in PSSL. See further description of our investment in PSSL in Note 4.</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(g) Asset Transfers and Servicing</w:t>
      </w:r>
    </w:p>
    <w:p>
      <w:pPr>
        <w:spacing w:after="0" w:line="136" w:lineRule="exact"/>
        <w:rPr>
          <w:sz w:val="20"/>
          <w:szCs w:val="20"/>
          <w:color w:val="auto"/>
        </w:rPr>
      </w:pPr>
    </w:p>
    <w:p>
      <w:pPr>
        <w:ind w:right="60" w:firstLine="438"/>
        <w:spacing w:after="0" w:line="238" w:lineRule="auto"/>
        <w:rPr>
          <w:sz w:val="20"/>
          <w:szCs w:val="20"/>
          <w:color w:val="auto"/>
        </w:rPr>
      </w:pPr>
      <w:r>
        <w:rPr>
          <w:rFonts w:ascii="Arial" w:cs="Arial" w:eastAsia="Arial" w:hAnsi="Arial"/>
          <w:sz w:val="14"/>
          <w:szCs w:val="14"/>
          <w:color w:val="auto"/>
        </w:rPr>
        <w:t>Asset transfers that do not meet ASC Topic 860, Transfers and Servicing, requirements for sale accounting treatment are reflected in the Consolidated Statements of Assets and Liabilities and Consolidated Schedules of Investments as investments. The creditors of Funding I have received a security interest in all of its assets and such assets are not intended to be available to the creditors of PennantPark Floating Rate Capital Ltd. or any of its affiliates.</w:t>
      </w:r>
    </w:p>
    <w:p>
      <w:pPr>
        <w:spacing w:after="0" w:line="115"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(h) Recent Accounting Pronouncements</w:t>
      </w:r>
    </w:p>
    <w:p>
      <w:pPr>
        <w:spacing w:after="0" w:line="123" w:lineRule="exact"/>
        <w:rPr>
          <w:sz w:val="20"/>
          <w:szCs w:val="20"/>
          <w:color w:val="auto"/>
        </w:rPr>
      </w:pPr>
    </w:p>
    <w:p>
      <w:pPr>
        <w:ind w:right="180" w:firstLine="438"/>
        <w:spacing w:after="0" w:line="255" w:lineRule="auto"/>
        <w:rPr>
          <w:sz w:val="20"/>
          <w:szCs w:val="20"/>
          <w:color w:val="auto"/>
        </w:rPr>
      </w:pPr>
      <w:r>
        <w:rPr>
          <w:rFonts w:ascii="Arial" w:cs="Arial" w:eastAsia="Arial" w:hAnsi="Arial"/>
          <w:sz w:val="13"/>
          <w:szCs w:val="13"/>
          <w:color w:val="auto"/>
        </w:rPr>
        <w:t>In May 2014, the FASB issued guidance to establish a comprehensive and converged standard on revenue recognition to enable financial statement users to better understand and consistently analyze an entity’s revenue across industries, transactions, and geographies. An amended guidance defers the effective date of the new guidance to interim reporting periods within annual reporting periods beginning after December 15, 2017. Public business entities are permitted to apply this guidance early, but not before the original effective date (i.e., interim periods within annual periods beginning after December 15, 2016). The Company has evaluated this guidance and determined it will not have a material impact on its financial statements.</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 AGREEMENTS AND RELATED PARTY TRANSACTIONS</w:t>
      </w:r>
    </w:p>
    <w:p>
      <w:pPr>
        <w:spacing w:after="0" w:line="140" w:lineRule="exact"/>
        <w:rPr>
          <w:sz w:val="20"/>
          <w:szCs w:val="20"/>
          <w:color w:val="auto"/>
        </w:rPr>
      </w:pPr>
    </w:p>
    <w:p>
      <w:pPr>
        <w:ind w:right="40" w:firstLine="438"/>
        <w:spacing w:after="0" w:line="251" w:lineRule="auto"/>
        <w:rPr>
          <w:sz w:val="20"/>
          <w:szCs w:val="20"/>
          <w:color w:val="auto"/>
        </w:rPr>
      </w:pPr>
      <w:r>
        <w:rPr>
          <w:rFonts w:ascii="Arial" w:cs="Arial" w:eastAsia="Arial" w:hAnsi="Arial"/>
          <w:sz w:val="13"/>
          <w:szCs w:val="13"/>
          <w:color w:val="auto"/>
        </w:rPr>
        <w:t>The Investment Management Agreement with the Investment Adviser was reapproved by our board of directors, including a majority of our directors who are not interested persons of us or the Investment Adviser, in February 2018. Under the Investment Management Agreement, the Investment Adviser, subject to the overall supervision of our board of directors, manages the day-to-day operations of and provides investment advisory services to us. The Investment Adviser serves as the collateral manager to Funding I and has irrevocably directed that the management fee owed with respect to such services is to be paid to the Company so long as the Investment Adviser remains the collateral manager. This arrangement does not increase our consolidated management fee. For providing these services, the Investment Adviser receives a fee from us consisting of two components—a base management fee and an incentive fee.</w:t>
      </w:r>
    </w:p>
    <w:p>
      <w:pPr>
        <w:spacing w:after="0" w:line="109" w:lineRule="exact"/>
        <w:rPr>
          <w:sz w:val="20"/>
          <w:szCs w:val="20"/>
          <w:color w:val="auto"/>
        </w:rPr>
      </w:pPr>
    </w:p>
    <w:p>
      <w:pPr>
        <w:ind w:firstLine="438"/>
        <w:spacing w:after="0" w:line="227" w:lineRule="auto"/>
        <w:rPr>
          <w:sz w:val="20"/>
          <w:szCs w:val="20"/>
          <w:color w:val="auto"/>
        </w:rPr>
      </w:pPr>
      <w:r>
        <w:rPr>
          <w:rFonts w:ascii="Arial" w:cs="Arial" w:eastAsia="Arial" w:hAnsi="Arial"/>
          <w:sz w:val="14"/>
          <w:szCs w:val="14"/>
          <w:color w:val="auto"/>
        </w:rPr>
        <w:t>The base management fee is calculated at an annual rate of 1.00% of our “average adjusted gross assets,” which equals our gross assets (net of U.S. Treasury Bills, temporary draws under any credit facility, cash and cash equivalents, repurchase agreements or other balance sheet transactions undertaken at the end of a fiscal quarter for purposes of preserving investment flexibility for the next quarter and unfunded commitments, if any) and is payable quarterly in arrears.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the three and nine months ended June 30, 2018, the Investment Adviser earned a base management fee of $2.2 million and $5.9 million, respectively, from us. For the three and nine months ended June 30, 2017, the Investment Adviser earned a base management fee of $1.8 million and $5.1 million, respectively, from us.</w:t>
      </w:r>
    </w:p>
    <w:p>
      <w:pPr>
        <w:spacing w:after="0" w:line="118"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incentive fee has two parts, as follows:</w:t>
      </w:r>
    </w:p>
    <w:p>
      <w:pPr>
        <w:spacing w:after="0" w:line="136" w:lineRule="exact"/>
        <w:rPr>
          <w:sz w:val="20"/>
          <w:szCs w:val="20"/>
          <w:color w:val="auto"/>
        </w:rPr>
      </w:pPr>
    </w:p>
    <w:p>
      <w:pPr>
        <w:jc w:val="both"/>
        <w:ind w:right="400" w:firstLine="438"/>
        <w:spacing w:after="0" w:line="238" w:lineRule="auto"/>
        <w:rPr>
          <w:sz w:val="20"/>
          <w:szCs w:val="20"/>
          <w:color w:val="auto"/>
        </w:rPr>
      </w:pPr>
      <w:r>
        <w:rPr>
          <w:rFonts w:ascii="Arial" w:cs="Arial" w:eastAsia="Arial" w:hAnsi="Arial"/>
          <w:sz w:val="14"/>
          <w:szCs w:val="14"/>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ind w:right="-19"/>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19"/>
        <w:spacing w:after="0" w:line="221" w:lineRule="auto"/>
        <w:rPr>
          <w:sz w:val="20"/>
          <w:szCs w:val="20"/>
          <w:color w:val="auto"/>
        </w:rPr>
      </w:pPr>
      <w:r>
        <w:rPr>
          <w:rFonts w:ascii="Arial" w:cs="Arial" w:eastAsia="Arial" w:hAnsi="Arial"/>
          <w:sz w:val="14"/>
          <w:szCs w:val="14"/>
          <w:b w:val="1"/>
          <w:bCs w:val="1"/>
          <w:color w:val="auto"/>
        </w:rPr>
        <w:t>JUNE 30, 2018</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right="40"/>
        <w:spacing w:after="0" w:line="223" w:lineRule="auto"/>
        <w:rPr>
          <w:sz w:val="20"/>
          <w:szCs w:val="20"/>
          <w:color w:val="auto"/>
        </w:rPr>
      </w:pPr>
      <w:r>
        <w:rPr>
          <w:rFonts w:ascii="Arial" w:cs="Arial" w:eastAsia="Arial" w:hAnsi="Arial"/>
          <w:sz w:val="14"/>
          <w:szCs w:val="14"/>
          <w:color w:val="auto"/>
        </w:rPr>
        <w:t>companies, accrued during the calendar quarter, minus our operating expenses for the quarter (including the base management fee, any expenses payable under the Administration Agreement and any interest expense or amendment fees under any credit facility and distribution paid on any issued and outstanding preferred stock, but excluding the incentive fee). Pre-Incentive Fee Net Investment Income includes, in the case of investments with a deferred interest feature (such as OID,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 (2) 50% of our Pre-Incentive Fee Net Investment Income with</w:t>
      </w:r>
    </w:p>
    <w:p>
      <w:pPr>
        <w:spacing w:after="0" w:line="3" w:lineRule="exact"/>
        <w:rPr>
          <w:sz w:val="20"/>
          <w:szCs w:val="20"/>
          <w:color w:val="auto"/>
        </w:rPr>
      </w:pPr>
    </w:p>
    <w:p>
      <w:pPr>
        <w:ind w:right="60"/>
        <w:spacing w:after="0" w:line="221" w:lineRule="auto"/>
        <w:rPr>
          <w:sz w:val="20"/>
          <w:szCs w:val="20"/>
          <w:color w:val="auto"/>
        </w:rPr>
      </w:pPr>
      <w:r>
        <w:rPr>
          <w:rFonts w:ascii="Arial" w:cs="Arial" w:eastAsia="Arial" w:hAnsi="Arial"/>
          <w:sz w:val="14"/>
          <w:szCs w:val="14"/>
          <w:color w:val="auto"/>
        </w:rPr>
        <w:t>respect to that portion of such Pre-Incentive Fee Net Investment Income, if any, that exceeds the hurdle rate but is less than 2.9167% in any calendar quarter (11.67% annualized) (we refer to this portion of our Pre-Incentive Fee Net Investment Income (which exceeds the hurdle but is less than 2.9167%) as the “catch-up,” which is meant</w:t>
      </w:r>
    </w:p>
    <w:p>
      <w:pPr>
        <w:spacing w:after="0" w:line="1" w:lineRule="exact"/>
        <w:rPr>
          <w:sz w:val="20"/>
          <w:szCs w:val="20"/>
          <w:color w:val="auto"/>
        </w:rPr>
      </w:pPr>
    </w:p>
    <w:p>
      <w:pPr>
        <w:spacing w:after="0" w:line="227" w:lineRule="auto"/>
        <w:rPr>
          <w:sz w:val="20"/>
          <w:szCs w:val="20"/>
          <w:color w:val="auto"/>
        </w:rPr>
      </w:pPr>
      <w:r>
        <w:rPr>
          <w:rFonts w:ascii="Arial" w:cs="Arial" w:eastAsia="Arial" w:hAnsi="Arial"/>
          <w:sz w:val="14"/>
          <w:szCs w:val="14"/>
          <w:color w:val="auto"/>
        </w:rPr>
        <w:t>to provide our Investment Adviser with 20% of our Pre-Incentive Fee Net Investment Income, as if a hurdle did not apply, if this net investment income exceeds 2.9167% in any calendar quarter), and (3) 20% of the amount of our Pre-Incentive Fee Net Investment Income, if any, that exceeds 2.9167% in any calendar quarter. These calculations are pro-rated for any share issuances or repurchases during the relevant quarter, if applicable. For the three and nine months ended June 30, 2018, the Investment Adviser earned $1.3 million and $1.6 million, respectively, in incentive fees on net investment income from us. For the three and nine months ended June 30, 2017, the Investment Adviser earned $0.8 million and $2.3 million, respectively, in incentive fees on net investment income from us.</w:t>
      </w:r>
    </w:p>
    <w:p>
      <w:pPr>
        <w:spacing w:after="0" w:line="118" w:lineRule="exact"/>
        <w:rPr>
          <w:sz w:val="20"/>
          <w:szCs w:val="20"/>
          <w:color w:val="auto"/>
        </w:rPr>
      </w:pPr>
    </w:p>
    <w:p>
      <w:pPr>
        <w:ind w:right="120" w:firstLine="438"/>
        <w:spacing w:after="0" w:line="229" w:lineRule="auto"/>
        <w:rPr>
          <w:sz w:val="20"/>
          <w:szCs w:val="20"/>
          <w:color w:val="auto"/>
        </w:rPr>
      </w:pPr>
      <w:r>
        <w:rPr>
          <w:rFonts w:ascii="Arial" w:cs="Arial" w:eastAsia="Arial" w:hAnsi="Arial"/>
          <w:sz w:val="14"/>
          <w:szCs w:val="14"/>
          <w:color w:val="auto"/>
        </w:rPr>
        <w:t>The second part of the incentive fee is determined and payable in arrears as of the end of each calendar year (or upon termination of the Investment Management Agreement, as of the termination date) and equals 20%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the three and nine months ended June 30, 2018, the Investment Adviser accrued an incentive fee on capital gains of zero and $(0.1) million, respectively, as calculated under the Investment Management Agreement (as described above). For both the three and nine months ended June 30, 2017, the Investment Adviser accrued an incentive fee on capital gains of $0.2 million, as calculated under the Investment Management Agreement (as described above).</w:t>
      </w:r>
    </w:p>
    <w:p>
      <w:pPr>
        <w:spacing w:after="0" w:line="118" w:lineRule="exact"/>
        <w:rPr>
          <w:sz w:val="20"/>
          <w:szCs w:val="20"/>
          <w:color w:val="auto"/>
        </w:rPr>
      </w:pPr>
    </w:p>
    <w:p>
      <w:pPr>
        <w:ind w:right="20" w:firstLine="438"/>
        <w:spacing w:after="0" w:line="226" w:lineRule="auto"/>
        <w:rPr>
          <w:sz w:val="20"/>
          <w:szCs w:val="20"/>
          <w:color w:val="auto"/>
        </w:rPr>
      </w:pPr>
      <w:r>
        <w:rPr>
          <w:rFonts w:ascii="Arial" w:cs="Arial" w:eastAsia="Arial" w:hAnsi="Arial"/>
          <w:sz w:val="14"/>
          <w:szCs w:val="14"/>
          <w:color w:val="auto"/>
        </w:rPr>
        <w:t>Under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20% of such amount, less the aggregate amount of actual capital gains related to incentive fees paid in all prior years. If such amount is negative, then there is no accrual for such year. There can be no assurance that such unrealized capital appreciation will be realized in the future. The incentive fee accrued for under GAAP on our unrealized and realized capital gains for the three and nine months ended June 30, 2018 was $(1.0) million and $(0.6) million, respectively. The incentive fee accrued for under GAAP on our unrealized and realized capital gains for the three and nine months ended June 30, 2017 was $0.4 million and $0.9 million, respectively.</w:t>
      </w:r>
    </w:p>
    <w:p>
      <w:pPr>
        <w:spacing w:after="0" w:line="121" w:lineRule="exact"/>
        <w:rPr>
          <w:sz w:val="20"/>
          <w:szCs w:val="20"/>
          <w:color w:val="auto"/>
        </w:rPr>
      </w:pPr>
    </w:p>
    <w:p>
      <w:pPr>
        <w:ind w:right="60" w:firstLine="438"/>
        <w:spacing w:after="0" w:line="226" w:lineRule="auto"/>
        <w:rPr>
          <w:sz w:val="20"/>
          <w:szCs w:val="20"/>
          <w:color w:val="auto"/>
        </w:rPr>
      </w:pPr>
      <w:r>
        <w:rPr>
          <w:rFonts w:ascii="Arial" w:cs="Arial" w:eastAsia="Arial" w:hAnsi="Arial"/>
          <w:sz w:val="14"/>
          <w:szCs w:val="14"/>
          <w:color w:val="auto"/>
        </w:rPr>
        <w:t>The Administration Agreement with the Administrator was reapproved by our board of directors, including a majority of the directors who are not interested persons of us, in February 2018. Under the Administration Agreement, the Administrator provides administrative services and office facilities to us. For providing these services, facilities and personnel, we have agreed to reimburse the Administrator for its allocable portion of overhead and other expenses incurred by the Administrator in performing its obligations under the Administration Agreement, including rent and our allocable portion of the costs of compensation and related expenses of our Chief Compliance Officer, Chief Financial Officer and their respective staffs. The Administrator also offers, on our behalf, significant managerial assistance to portfolio companies to which we are required to offer such assistance. Reimbursement for certain of these costs is included in administrative services expenses in the Consolidated Statements of Operations. For the three and nine months ended June 30, 2018, we reimbursed the Investment Adviser approximately $0.4 million and $1.2 million, respectively, including expenses the Investment Adviser incurred on behalf of the Administrator, for services described above. For the three and nine months ended June 30, 2017, we reimbursed the Investment Adviser approximately $0.3 million and $1.3 million, respectively, including expenses the Investment Adviser incurred on behalf of the Administrator, for services described above.</w:t>
      </w:r>
    </w:p>
    <w:p>
      <w:pPr>
        <w:spacing w:after="0" w:line="121" w:lineRule="exact"/>
        <w:rPr>
          <w:sz w:val="20"/>
          <w:szCs w:val="20"/>
          <w:color w:val="auto"/>
        </w:rPr>
      </w:pPr>
    </w:p>
    <w:p>
      <w:pPr>
        <w:ind w:right="380" w:firstLine="438"/>
        <w:spacing w:after="0" w:line="255" w:lineRule="auto"/>
        <w:rPr>
          <w:sz w:val="20"/>
          <w:szCs w:val="20"/>
          <w:color w:val="auto"/>
        </w:rPr>
      </w:pPr>
      <w:r>
        <w:rPr>
          <w:rFonts w:ascii="Arial" w:cs="Arial" w:eastAsia="Arial" w:hAnsi="Arial"/>
          <w:sz w:val="13"/>
          <w:szCs w:val="13"/>
          <w:color w:val="auto"/>
        </w:rPr>
        <w:t>During both the three and nine months ended June 30, 2018, the Company purchased $3.9 million in total investments from an affiliated fund managed by our Investment Adviser in accordance with, and pursuant to procedures adopted under, Rule 17a-7 under the 1940 Act. During the three and nine months ended June 30, 2017, the Company purchased zero and $38.1 million, respectively, from and sold zero and $5.0 million in total investments, respectively, to an affiliated fund managed by our Investment Adviser in accordance with, and pursuant to procedures adopted under, Rule 17a-7 under the 1940 Act. Realized gains on those sales amounted to zero and less than $0.1 million.</w:t>
      </w:r>
    </w:p>
    <w:p>
      <w:pPr>
        <w:spacing w:after="0" w:line="107" w:lineRule="exact"/>
        <w:rPr>
          <w:sz w:val="20"/>
          <w:szCs w:val="20"/>
          <w:color w:val="auto"/>
        </w:rPr>
      </w:pPr>
    </w:p>
    <w:p>
      <w:pPr>
        <w:jc w:val="both"/>
        <w:ind w:right="20" w:firstLine="438"/>
        <w:spacing w:after="0" w:line="290" w:lineRule="auto"/>
        <w:rPr>
          <w:sz w:val="20"/>
          <w:szCs w:val="20"/>
          <w:color w:val="auto"/>
        </w:rPr>
      </w:pPr>
      <w:r>
        <w:rPr>
          <w:rFonts w:ascii="Arial" w:cs="Arial" w:eastAsia="Arial" w:hAnsi="Arial"/>
          <w:sz w:val="13"/>
          <w:szCs w:val="13"/>
          <w:color w:val="auto"/>
        </w:rPr>
        <w:t>For the three and nine months ended June 30, 2018, we sold $27.1 million and $60.6 million, respectively, in investments to PSSL at fair value and recognized $0.4 million of net realized gains, for both periods. For both the three and nine months ended June 30, 2017, we sold $71.0 million in total investments to PSSL at fair value and recognized $0.4 million of net realized gains.</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INVESTMENTS</w:t>
      </w:r>
    </w:p>
    <w:p>
      <w:pPr>
        <w:spacing w:after="0" w:line="140" w:lineRule="exact"/>
        <w:rPr>
          <w:sz w:val="20"/>
          <w:szCs w:val="20"/>
          <w:color w:val="auto"/>
        </w:rPr>
      </w:pPr>
    </w:p>
    <w:p>
      <w:pPr>
        <w:ind w:right="180" w:firstLine="438"/>
        <w:spacing w:after="0" w:line="233" w:lineRule="auto"/>
        <w:rPr>
          <w:sz w:val="20"/>
          <w:szCs w:val="20"/>
          <w:color w:val="auto"/>
        </w:rPr>
      </w:pPr>
      <w:r>
        <w:rPr>
          <w:rFonts w:ascii="Arial" w:cs="Arial" w:eastAsia="Arial" w:hAnsi="Arial"/>
          <w:sz w:val="14"/>
          <w:szCs w:val="14"/>
          <w:color w:val="auto"/>
        </w:rPr>
        <w:t>Purchases of investments, including PIK interest, for the three and nine months ended June 30, 2018 totaled $165.5 million and $481.2 million, respectively. For the same periods in the prior year, purchases of investments, including PIK interest, totaled $136.9 million and $408.2 million, respectively. Sales and repayments of investments for the three and nine months ended June 30, 2018 totaled $87.9 million and $283.6 million, respectively. For the same periods in the prior year, sales and repayments of investments totaled $172.9 million and $314.8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line="221" w:lineRule="auto"/>
        <w:rPr>
          <w:sz w:val="20"/>
          <w:szCs w:val="20"/>
          <w:color w:val="auto"/>
        </w:rPr>
      </w:pPr>
      <w:r>
        <w:rPr>
          <w:rFonts w:ascii="Arial" w:cs="Arial" w:eastAsia="Arial" w:hAnsi="Arial"/>
          <w:sz w:val="14"/>
          <w:szCs w:val="14"/>
          <w:b w:val="1"/>
          <w:bCs w:val="1"/>
          <w:color w:val="auto"/>
        </w:rPr>
        <w:t>JUNE 30, 2018</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540" w:type="dxa"/>
            <w:vAlign w:val="bottom"/>
            <w:gridSpan w:val="2"/>
          </w:tcPr>
          <w:p>
            <w:pPr>
              <w:ind w:left="440"/>
              <w:spacing w:after="0"/>
              <w:rPr>
                <w:sz w:val="20"/>
                <w:szCs w:val="20"/>
                <w:color w:val="auto"/>
              </w:rPr>
            </w:pPr>
            <w:r>
              <w:rPr>
                <w:rFonts w:ascii="Arial" w:cs="Arial" w:eastAsia="Arial" w:hAnsi="Arial"/>
                <w:sz w:val="14"/>
                <w:szCs w:val="14"/>
                <w:color w:val="auto"/>
                <w:w w:val="93"/>
              </w:rPr>
              <w:t>Investments and cash and cash equivalents consisted of the following:</w:t>
            </w: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3"/>
        </w:trPr>
        <w:tc>
          <w:tcPr>
            <w:tcW w:w="4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Investment Classification</w:t>
            </w:r>
          </w:p>
        </w:tc>
        <w:tc>
          <w:tcPr>
            <w:tcW w:w="320" w:type="dxa"/>
            <w:vAlign w:val="bottom"/>
          </w:tcPr>
          <w:p>
            <w:pPr>
              <w:spacing w:after="0"/>
              <w:rPr>
                <w:sz w:val="24"/>
                <w:szCs w:val="24"/>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 2018</w:t>
            </w: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40" w:type="dxa"/>
            <w:vAlign w:val="bottom"/>
            <w:gridSpan w:val="6"/>
          </w:tcPr>
          <w:p>
            <w:pPr>
              <w:ind w:left="640"/>
              <w:spacing w:after="0"/>
              <w:rPr>
                <w:sz w:val="20"/>
                <w:szCs w:val="20"/>
                <w:color w:val="auto"/>
              </w:rPr>
            </w:pPr>
            <w:r>
              <w:rPr>
                <w:rFonts w:ascii="Arial" w:cs="Arial" w:eastAsia="Arial" w:hAnsi="Arial"/>
                <w:sz w:val="14"/>
                <w:szCs w:val="14"/>
                <w:b w:val="1"/>
                <w:bCs w:val="1"/>
                <w:color w:val="auto"/>
              </w:rPr>
              <w:t>September 30, 2017</w:t>
            </w:r>
          </w:p>
        </w:tc>
        <w:tc>
          <w:tcPr>
            <w:tcW w:w="0" w:type="dxa"/>
            <w:vAlign w:val="bottom"/>
          </w:tcPr>
          <w:p>
            <w:pPr>
              <w:spacing w:after="0"/>
              <w:rPr>
                <w:sz w:val="1"/>
                <w:szCs w:val="1"/>
                <w:color w:val="auto"/>
              </w:rPr>
            </w:pPr>
          </w:p>
        </w:tc>
      </w:tr>
      <w:tr>
        <w:trPr>
          <w:trHeight w:val="156"/>
        </w:trPr>
        <w:tc>
          <w:tcPr>
            <w:tcW w:w="4540" w:type="dxa"/>
            <w:vAlign w:val="bottom"/>
            <w:gridSpan w:val="2"/>
            <w:vMerge w:val="continue"/>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508"/>
              <w:spacing w:after="0" w:line="155" w:lineRule="exact"/>
              <w:rPr>
                <w:sz w:val="20"/>
                <w:szCs w:val="20"/>
                <w:color w:val="auto"/>
              </w:rPr>
            </w:pPr>
            <w:r>
              <w:rPr>
                <w:rFonts w:ascii="Arial" w:cs="Arial" w:eastAsia="Arial" w:hAnsi="Arial"/>
                <w:sz w:val="14"/>
                <w:szCs w:val="14"/>
                <w:b w:val="1"/>
                <w:bCs w:val="1"/>
                <w:color w:val="auto"/>
              </w:rPr>
              <w:t>Cost</w:t>
            </w:r>
          </w:p>
        </w:tc>
        <w:tc>
          <w:tcPr>
            <w:tcW w:w="2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ind w:right="328"/>
              <w:spacing w:after="0" w:line="155" w:lineRule="exact"/>
              <w:rPr>
                <w:sz w:val="20"/>
                <w:szCs w:val="20"/>
                <w:color w:val="auto"/>
              </w:rPr>
            </w:pPr>
            <w:r>
              <w:rPr>
                <w:rFonts w:ascii="Arial" w:cs="Arial" w:eastAsia="Arial" w:hAnsi="Arial"/>
                <w:sz w:val="14"/>
                <w:szCs w:val="14"/>
                <w:b w:val="1"/>
                <w:bCs w:val="1"/>
                <w:color w:val="auto"/>
              </w:rPr>
              <w:t>Fair Value</w:t>
            </w:r>
          </w:p>
        </w:tc>
        <w:tc>
          <w:tcPr>
            <w:tcW w:w="28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gridSpan w:val="2"/>
          </w:tcPr>
          <w:p>
            <w:pPr>
              <w:ind w:left="240"/>
              <w:spacing w:after="0" w:line="155" w:lineRule="exact"/>
              <w:rPr>
                <w:sz w:val="20"/>
                <w:szCs w:val="20"/>
                <w:color w:val="auto"/>
              </w:rPr>
            </w:pPr>
            <w:r>
              <w:rPr>
                <w:rFonts w:ascii="Arial" w:cs="Arial" w:eastAsia="Arial" w:hAnsi="Arial"/>
                <w:sz w:val="14"/>
                <w:szCs w:val="14"/>
                <w:b w:val="1"/>
                <w:bCs w:val="1"/>
                <w:color w:val="auto"/>
              </w:rPr>
              <w:t>Cost</w:t>
            </w:r>
          </w:p>
        </w:tc>
        <w:tc>
          <w:tcPr>
            <w:tcW w:w="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ind w:right="348"/>
              <w:spacing w:after="0" w:line="155" w:lineRule="exact"/>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38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First lien</w:t>
            </w:r>
          </w:p>
        </w:tc>
        <w:tc>
          <w:tcPr>
            <w:tcW w:w="160" w:type="dxa"/>
            <w:vAlign w:val="bottom"/>
            <w:tcBorders>
              <w:top w:val="single" w:sz="8" w:color="CCECFF"/>
            </w:tcBorders>
            <w:shd w:val="clear" w:color="auto" w:fill="CCECFF"/>
          </w:tcPr>
          <w:p>
            <w:pPr>
              <w:spacing w:after="0"/>
              <w:rPr>
                <w:sz w:val="13"/>
                <w:szCs w:val="13"/>
                <w:color w:val="auto"/>
              </w:rPr>
            </w:pPr>
          </w:p>
        </w:tc>
        <w:tc>
          <w:tcPr>
            <w:tcW w:w="320" w:type="dxa"/>
            <w:vAlign w:val="bottom"/>
            <w:tcBorders>
              <w:top w:val="single" w:sz="8" w:color="auto"/>
            </w:tcBorders>
            <w:shd w:val="clear" w:color="auto" w:fill="CCECFF"/>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738,022,050</w:t>
            </w:r>
          </w:p>
        </w:tc>
        <w:tc>
          <w:tcPr>
            <w:tcW w:w="280" w:type="dxa"/>
            <w:vAlign w:val="bottom"/>
            <w:tcBorders>
              <w:top w:val="single" w:sz="8" w:color="CCECFF"/>
            </w:tcBorders>
            <w:shd w:val="clear" w:color="auto" w:fill="CCECFF"/>
          </w:tcPr>
          <w:p>
            <w:pPr>
              <w:spacing w:after="0"/>
              <w:rPr>
                <w:sz w:val="13"/>
                <w:szCs w:val="13"/>
                <w:color w:val="auto"/>
              </w:rPr>
            </w:pPr>
          </w:p>
        </w:tc>
        <w:tc>
          <w:tcPr>
            <w:tcW w:w="340" w:type="dxa"/>
            <w:vAlign w:val="bottom"/>
            <w:tcBorders>
              <w:top w:val="single" w:sz="8" w:color="auto"/>
            </w:tcBorders>
            <w:shd w:val="clear" w:color="auto" w:fill="CCECFF"/>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737,251,004</w:t>
            </w:r>
          </w:p>
        </w:tc>
        <w:tc>
          <w:tcPr>
            <w:tcW w:w="280" w:type="dxa"/>
            <w:vAlign w:val="bottom"/>
            <w:tcBorders>
              <w:top w:val="single" w:sz="8" w:color="CCECFF"/>
            </w:tcBorders>
            <w:shd w:val="clear" w:color="auto" w:fill="CCECFF"/>
          </w:tcPr>
          <w:p>
            <w:pPr>
              <w:spacing w:after="0"/>
              <w:rPr>
                <w:sz w:val="13"/>
                <w:szCs w:val="13"/>
                <w:color w:val="auto"/>
              </w:rPr>
            </w:pPr>
          </w:p>
        </w:tc>
        <w:tc>
          <w:tcPr>
            <w:tcW w:w="320" w:type="dxa"/>
            <w:vAlign w:val="bottom"/>
            <w:tcBorders>
              <w:top w:val="single" w:sz="8" w:color="auto"/>
            </w:tcBorders>
            <w:shd w:val="clear" w:color="auto" w:fill="CCECFF"/>
          </w:tcPr>
          <w:p>
            <w:pPr>
              <w:jc w:val="right"/>
              <w:ind w:right="209"/>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607,582,054</w:t>
            </w:r>
          </w:p>
        </w:tc>
        <w:tc>
          <w:tcPr>
            <w:tcW w:w="260" w:type="dxa"/>
            <w:vAlign w:val="bottom"/>
            <w:tcBorders>
              <w:top w:val="single" w:sz="8" w:color="CCECFF"/>
            </w:tcBorders>
            <w:shd w:val="clear" w:color="auto" w:fill="CCECFF"/>
          </w:tcPr>
          <w:p>
            <w:pPr>
              <w:spacing w:after="0"/>
              <w:rPr>
                <w:sz w:val="13"/>
                <w:szCs w:val="13"/>
                <w:color w:val="auto"/>
              </w:rPr>
            </w:pPr>
          </w:p>
        </w:tc>
        <w:tc>
          <w:tcPr>
            <w:tcW w:w="2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jc w:val="right"/>
              <w:ind w:right="109"/>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609,668,554</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540" w:type="dxa"/>
            <w:vAlign w:val="bottom"/>
            <w:gridSpan w:val="2"/>
          </w:tcPr>
          <w:p>
            <w:pPr>
              <w:spacing w:after="0"/>
              <w:rPr>
                <w:sz w:val="20"/>
                <w:szCs w:val="20"/>
                <w:color w:val="auto"/>
              </w:rPr>
            </w:pPr>
            <w:r>
              <w:rPr>
                <w:rFonts w:ascii="Arial" w:cs="Arial" w:eastAsia="Arial" w:hAnsi="Arial"/>
                <w:sz w:val="14"/>
                <w:szCs w:val="14"/>
                <w:color w:val="auto"/>
              </w:rPr>
              <w:t xml:space="preserve">First lien in PSSL </w:t>
            </w:r>
            <w:r>
              <w:rPr>
                <w:rFonts w:ascii="Arial" w:cs="Arial" w:eastAsia="Arial" w:hAnsi="Arial"/>
                <w:sz w:val="12"/>
                <w:szCs w:val="12"/>
                <w:color w:val="auto"/>
              </w:rPr>
              <w:t>(1)</w:t>
            </w: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82,687,500</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82,687,500</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5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Second lien</w:t>
            </w:r>
          </w:p>
        </w:tc>
        <w:tc>
          <w:tcPr>
            <w:tcW w:w="320" w:type="dxa"/>
            <w:vAlign w:val="bottom"/>
            <w:shd w:val="clear" w:color="auto" w:fill="CCECFF"/>
          </w:tcPr>
          <w:p>
            <w:pPr>
              <w:spacing w:after="0"/>
              <w:rPr>
                <w:sz w:val="14"/>
                <w:szCs w:val="14"/>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35,125,094</w:t>
            </w:r>
          </w:p>
        </w:tc>
        <w:tc>
          <w:tcPr>
            <w:tcW w:w="28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1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35,221,588</w:t>
            </w:r>
          </w:p>
        </w:tc>
        <w:tc>
          <w:tcPr>
            <w:tcW w:w="28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39,263,036</w:t>
            </w:r>
          </w:p>
        </w:tc>
        <w:tc>
          <w:tcPr>
            <w:tcW w:w="26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37,833,394</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40" w:type="dxa"/>
            <w:vAlign w:val="bottom"/>
            <w:gridSpan w:val="2"/>
          </w:tcPr>
          <w:p>
            <w:pPr>
              <w:spacing w:after="0"/>
              <w:rPr>
                <w:sz w:val="20"/>
                <w:szCs w:val="20"/>
                <w:color w:val="auto"/>
              </w:rPr>
            </w:pPr>
            <w:r>
              <w:rPr>
                <w:rFonts w:ascii="Arial" w:cs="Arial" w:eastAsia="Arial" w:hAnsi="Arial"/>
                <w:sz w:val="14"/>
                <w:szCs w:val="14"/>
                <w:color w:val="auto"/>
              </w:rPr>
              <w:t>Subordinated debt / corporate notes</w:t>
            </w: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190,664</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196,384</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7,267,407</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7,432,373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 xml:space="preserve">Subordinated debt in PSSL </w:t>
            </w:r>
            <w:r>
              <w:rPr>
                <w:rFonts w:ascii="Arial" w:cs="Arial" w:eastAsia="Arial" w:hAnsi="Arial"/>
                <w:sz w:val="12"/>
                <w:szCs w:val="12"/>
                <w:color w:val="auto"/>
              </w:rPr>
              <w:t>(1)</w:t>
            </w:r>
          </w:p>
        </w:tc>
        <w:tc>
          <w:tcPr>
            <w:tcW w:w="320" w:type="dxa"/>
            <w:vAlign w:val="bottom"/>
            <w:shd w:val="clear" w:color="auto" w:fill="CCECFF"/>
          </w:tcPr>
          <w:p>
            <w:pPr>
              <w:spacing w:after="0"/>
              <w:rPr>
                <w:sz w:val="14"/>
                <w:szCs w:val="14"/>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380" w:type="dxa"/>
            <w:vAlign w:val="bottom"/>
            <w:gridSpan w:val="2"/>
            <w:shd w:val="clear" w:color="auto" w:fill="CCECFF"/>
          </w:tcPr>
          <w:p>
            <w:pPr>
              <w:jc w:val="right"/>
              <w:ind w:right="3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CFF"/>
          </w:tcPr>
          <w:p>
            <w:pPr>
              <w:spacing w:after="0"/>
              <w:rPr>
                <w:sz w:val="14"/>
                <w:szCs w:val="14"/>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30,100,000</w:t>
            </w:r>
          </w:p>
        </w:tc>
        <w:tc>
          <w:tcPr>
            <w:tcW w:w="26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30,100,000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40" w:type="dxa"/>
            <w:vAlign w:val="bottom"/>
            <w:gridSpan w:val="2"/>
          </w:tcPr>
          <w:p>
            <w:pPr>
              <w:spacing w:after="0"/>
              <w:rPr>
                <w:sz w:val="20"/>
                <w:szCs w:val="20"/>
                <w:color w:val="auto"/>
              </w:rPr>
            </w:pPr>
            <w:r>
              <w:rPr>
                <w:rFonts w:ascii="Arial" w:cs="Arial" w:eastAsia="Arial" w:hAnsi="Arial"/>
                <w:sz w:val="14"/>
                <w:szCs w:val="14"/>
                <w:color w:val="auto"/>
              </w:rPr>
              <w:t>Equity</w:t>
            </w: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13,546,765</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14,897,339</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11,402,324</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12,039,318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Equity interests in PSSL</w:t>
            </w:r>
          </w:p>
        </w:tc>
        <w:tc>
          <w:tcPr>
            <w:tcW w:w="320" w:type="dxa"/>
            <w:vAlign w:val="bottom"/>
            <w:tcBorders>
              <w:bottom w:val="single" w:sz="8" w:color="auto"/>
            </w:tcBorders>
            <w:shd w:val="clear" w:color="auto" w:fill="CCECFF"/>
          </w:tcPr>
          <w:p>
            <w:pPr>
              <w:spacing w:after="0"/>
              <w:rPr>
                <w:sz w:val="14"/>
                <w:szCs w:val="14"/>
                <w:color w:val="auto"/>
              </w:rPr>
            </w:pPr>
          </w:p>
        </w:tc>
        <w:tc>
          <w:tcPr>
            <w:tcW w:w="11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35,437,500</w:t>
            </w:r>
          </w:p>
        </w:tc>
        <w:tc>
          <w:tcPr>
            <w:tcW w:w="280" w:type="dxa"/>
            <w:vAlign w:val="bottom"/>
            <w:shd w:val="clear" w:color="auto" w:fill="CCECFF"/>
          </w:tcPr>
          <w:p>
            <w:pPr>
              <w:spacing w:after="0"/>
              <w:rPr>
                <w:sz w:val="14"/>
                <w:szCs w:val="14"/>
                <w:color w:val="auto"/>
              </w:rPr>
            </w:pPr>
          </w:p>
        </w:tc>
        <w:tc>
          <w:tcPr>
            <w:tcW w:w="340" w:type="dxa"/>
            <w:vAlign w:val="bottom"/>
            <w:tcBorders>
              <w:bottom w:val="single" w:sz="8" w:color="auto"/>
            </w:tcBorders>
            <w:shd w:val="clear" w:color="auto" w:fill="CCECFF"/>
          </w:tcPr>
          <w:p>
            <w:pPr>
              <w:spacing w:after="0"/>
              <w:rPr>
                <w:sz w:val="14"/>
                <w:szCs w:val="14"/>
                <w:color w:val="auto"/>
              </w:rPr>
            </w:pPr>
          </w:p>
        </w:tc>
        <w:tc>
          <w:tcPr>
            <w:tcW w:w="11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36,898,972</w:t>
            </w:r>
          </w:p>
        </w:tc>
        <w:tc>
          <w:tcPr>
            <w:tcW w:w="280" w:type="dxa"/>
            <w:vAlign w:val="bottom"/>
            <w:shd w:val="clear" w:color="auto" w:fill="CCECFF"/>
          </w:tcPr>
          <w:p>
            <w:pPr>
              <w:spacing w:after="0"/>
              <w:rPr>
                <w:sz w:val="14"/>
                <w:szCs w:val="14"/>
                <w:color w:val="auto"/>
              </w:rPr>
            </w:pPr>
          </w:p>
        </w:tc>
        <w:tc>
          <w:tcPr>
            <w:tcW w:w="320" w:type="dxa"/>
            <w:vAlign w:val="bottom"/>
            <w:tcBorders>
              <w:bottom w:val="single" w:sz="8" w:color="auto"/>
            </w:tcBorders>
            <w:shd w:val="clear" w:color="auto" w:fill="CCECFF"/>
          </w:tcPr>
          <w:p>
            <w:pPr>
              <w:spacing w:after="0"/>
              <w:rPr>
                <w:sz w:val="14"/>
                <w:szCs w:val="14"/>
                <w:color w:val="auto"/>
              </w:rPr>
            </w:pPr>
          </w:p>
        </w:tc>
        <w:tc>
          <w:tcPr>
            <w:tcW w:w="11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12,900,000</w:t>
            </w:r>
          </w:p>
        </w:tc>
        <w:tc>
          <w:tcPr>
            <w:tcW w:w="26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20" w:type="dxa"/>
            <w:vAlign w:val="bottom"/>
            <w:tcBorders>
              <w:bottom w:val="single" w:sz="8" w:color="auto"/>
            </w:tcBorders>
            <w:shd w:val="clear" w:color="auto" w:fill="CCECFF"/>
          </w:tcPr>
          <w:p>
            <w:pPr>
              <w:spacing w:after="0"/>
              <w:rPr>
                <w:sz w:val="14"/>
                <w:szCs w:val="14"/>
                <w:color w:val="auto"/>
              </w:rPr>
            </w:pPr>
          </w:p>
        </w:tc>
        <w:tc>
          <w:tcPr>
            <w:tcW w:w="12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13,425,143</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540" w:type="dxa"/>
            <w:vAlign w:val="bottom"/>
            <w:tcBorders>
              <w:bottom w:val="single" w:sz="8" w:color="CCECFF"/>
            </w:tcBorders>
            <w:gridSpan w:val="2"/>
          </w:tcPr>
          <w:p>
            <w:pPr>
              <w:spacing w:after="0" w:line="155" w:lineRule="exact"/>
              <w:rPr>
                <w:sz w:val="20"/>
                <w:szCs w:val="20"/>
                <w:color w:val="auto"/>
              </w:rPr>
            </w:pPr>
            <w:r>
              <w:rPr>
                <w:rFonts w:ascii="Arial" w:cs="Arial" w:eastAsia="Arial" w:hAnsi="Arial"/>
                <w:sz w:val="14"/>
                <w:szCs w:val="14"/>
                <w:color w:val="auto"/>
              </w:rPr>
              <w:t>Total investments</w:t>
            </w:r>
          </w:p>
        </w:tc>
        <w:tc>
          <w:tcPr>
            <w:tcW w:w="3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905,009,573</w:t>
            </w:r>
          </w:p>
        </w:tc>
        <w:tc>
          <w:tcPr>
            <w:tcW w:w="280" w:type="dxa"/>
            <w:vAlign w:val="bottom"/>
            <w:tcBorders>
              <w:bottom w:val="single" w:sz="8" w:color="CCEC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907,152,787</w:t>
            </w:r>
          </w:p>
        </w:tc>
        <w:tc>
          <w:tcPr>
            <w:tcW w:w="280" w:type="dxa"/>
            <w:vAlign w:val="bottom"/>
            <w:tcBorders>
              <w:bottom w:val="single" w:sz="8" w:color="CCEC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708,514,821</w:t>
            </w:r>
          </w:p>
        </w:tc>
        <w:tc>
          <w:tcPr>
            <w:tcW w:w="260" w:type="dxa"/>
            <w:vAlign w:val="bottom"/>
            <w:tcBorders>
              <w:bottom w:val="single" w:sz="8" w:color="CCECFF"/>
            </w:tcBorders>
          </w:tcPr>
          <w:p>
            <w:pPr>
              <w:spacing w:after="0"/>
              <w:rPr>
                <w:sz w:val="13"/>
                <w:szCs w:val="13"/>
                <w:color w:val="auto"/>
              </w:rPr>
            </w:pPr>
          </w:p>
        </w:tc>
        <w:tc>
          <w:tcPr>
            <w:tcW w:w="20" w:type="dxa"/>
            <w:vAlign w:val="bottom"/>
            <w:tcBorders>
              <w:bottom w:val="single" w:sz="8" w:color="CCEC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710,498,782</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540" w:type="dxa"/>
            <w:vAlign w:val="bottom"/>
            <w:gridSpan w:val="2"/>
            <w:shd w:val="clear" w:color="auto" w:fill="CCECFF"/>
          </w:tcPr>
          <w:p>
            <w:pPr>
              <w:spacing w:after="0" w:line="155" w:lineRule="exact"/>
              <w:rPr>
                <w:sz w:val="20"/>
                <w:szCs w:val="20"/>
                <w:color w:val="auto"/>
              </w:rPr>
            </w:pPr>
            <w:r>
              <w:rPr>
                <w:rFonts w:ascii="Arial" w:cs="Arial" w:eastAsia="Arial" w:hAnsi="Arial"/>
                <w:sz w:val="14"/>
                <w:szCs w:val="14"/>
                <w:color w:val="auto"/>
              </w:rPr>
              <w:t>Cash and cash equivalents</w:t>
            </w:r>
          </w:p>
        </w:tc>
        <w:tc>
          <w:tcPr>
            <w:tcW w:w="320" w:type="dxa"/>
            <w:vAlign w:val="bottom"/>
            <w:tcBorders>
              <w:bottom w:val="single" w:sz="8" w:color="auto"/>
            </w:tcBorders>
            <w:shd w:val="clear" w:color="auto" w:fill="CCECFF"/>
          </w:tcPr>
          <w:p>
            <w:pPr>
              <w:spacing w:after="0"/>
              <w:rPr>
                <w:sz w:val="13"/>
                <w:szCs w:val="13"/>
                <w:color w:val="auto"/>
              </w:rPr>
            </w:pPr>
          </w:p>
        </w:tc>
        <w:tc>
          <w:tcPr>
            <w:tcW w:w="11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31,303,697</w:t>
            </w:r>
          </w:p>
        </w:tc>
        <w:tc>
          <w:tcPr>
            <w:tcW w:w="280" w:type="dxa"/>
            <w:vAlign w:val="bottom"/>
            <w:shd w:val="clear" w:color="auto" w:fill="CCECFF"/>
          </w:tcPr>
          <w:p>
            <w:pPr>
              <w:spacing w:after="0"/>
              <w:rPr>
                <w:sz w:val="13"/>
                <w:szCs w:val="13"/>
                <w:color w:val="auto"/>
              </w:rPr>
            </w:pPr>
          </w:p>
        </w:tc>
        <w:tc>
          <w:tcPr>
            <w:tcW w:w="340" w:type="dxa"/>
            <w:vAlign w:val="bottom"/>
            <w:tcBorders>
              <w:bottom w:val="single" w:sz="8" w:color="auto"/>
            </w:tcBorders>
            <w:shd w:val="clear" w:color="auto" w:fill="CCECFF"/>
          </w:tcPr>
          <w:p>
            <w:pPr>
              <w:spacing w:after="0"/>
              <w:rPr>
                <w:sz w:val="13"/>
                <w:szCs w:val="13"/>
                <w:color w:val="auto"/>
              </w:rPr>
            </w:pPr>
          </w:p>
        </w:tc>
        <w:tc>
          <w:tcPr>
            <w:tcW w:w="11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31,178,070</w:t>
            </w:r>
          </w:p>
        </w:tc>
        <w:tc>
          <w:tcPr>
            <w:tcW w:w="280" w:type="dxa"/>
            <w:vAlign w:val="bottom"/>
            <w:shd w:val="clear" w:color="auto" w:fill="CCECFF"/>
          </w:tcPr>
          <w:p>
            <w:pPr>
              <w:spacing w:after="0"/>
              <w:rPr>
                <w:sz w:val="13"/>
                <w:szCs w:val="13"/>
                <w:color w:val="auto"/>
              </w:rPr>
            </w:pPr>
          </w:p>
        </w:tc>
        <w:tc>
          <w:tcPr>
            <w:tcW w:w="320" w:type="dxa"/>
            <w:vAlign w:val="bottom"/>
            <w:tcBorders>
              <w:bottom w:val="single" w:sz="8" w:color="auto"/>
            </w:tcBorders>
            <w:shd w:val="clear" w:color="auto" w:fill="CCECFF"/>
          </w:tcPr>
          <w:p>
            <w:pPr>
              <w:spacing w:after="0"/>
              <w:rPr>
                <w:sz w:val="13"/>
                <w:szCs w:val="13"/>
                <w:color w:val="auto"/>
              </w:rPr>
            </w:pPr>
          </w:p>
        </w:tc>
        <w:tc>
          <w:tcPr>
            <w:tcW w:w="11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18,847,673</w:t>
            </w:r>
          </w:p>
        </w:tc>
        <w:tc>
          <w:tcPr>
            <w:tcW w:w="26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220" w:type="dxa"/>
            <w:vAlign w:val="bottom"/>
            <w:tcBorders>
              <w:bottom w:val="single" w:sz="8" w:color="auto"/>
            </w:tcBorders>
            <w:shd w:val="clear" w:color="auto" w:fill="CCECFF"/>
          </w:tcPr>
          <w:p>
            <w:pPr>
              <w:spacing w:after="0"/>
              <w:rPr>
                <w:sz w:val="13"/>
                <w:szCs w:val="13"/>
                <w:color w:val="auto"/>
              </w:rPr>
            </w:pPr>
          </w:p>
        </w:tc>
        <w:tc>
          <w:tcPr>
            <w:tcW w:w="12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18,910,756</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540" w:type="dxa"/>
            <w:vAlign w:val="bottom"/>
            <w:gridSpan w:val="2"/>
          </w:tcPr>
          <w:p>
            <w:pPr>
              <w:spacing w:after="0" w:line="155" w:lineRule="exact"/>
              <w:rPr>
                <w:sz w:val="20"/>
                <w:szCs w:val="20"/>
                <w:color w:val="auto"/>
              </w:rPr>
            </w:pPr>
            <w:r>
              <w:rPr>
                <w:rFonts w:ascii="Arial" w:cs="Arial" w:eastAsia="Arial" w:hAnsi="Arial"/>
                <w:sz w:val="14"/>
                <w:szCs w:val="14"/>
                <w:color w:val="auto"/>
              </w:rPr>
              <w:t>Total investments and cash and cash equivalents</w:t>
            </w:r>
          </w:p>
        </w:tc>
        <w:tc>
          <w:tcPr>
            <w:tcW w:w="320" w:type="dxa"/>
            <w:vAlign w:val="bottom"/>
            <w:tcBorders>
              <w:bottom w:val="single" w:sz="8" w:color="auto"/>
            </w:tcBorders>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936,313,270</w:t>
            </w:r>
          </w:p>
        </w:tc>
        <w:tc>
          <w:tcPr>
            <w:tcW w:w="280" w:type="dxa"/>
            <w:vAlign w:val="bottom"/>
          </w:tcPr>
          <w:p>
            <w:pPr>
              <w:spacing w:after="0"/>
              <w:rPr>
                <w:sz w:val="13"/>
                <w:szCs w:val="13"/>
                <w:color w:val="auto"/>
              </w:rPr>
            </w:pPr>
          </w:p>
        </w:tc>
        <w:tc>
          <w:tcPr>
            <w:tcW w:w="340" w:type="dxa"/>
            <w:vAlign w:val="bottom"/>
            <w:tcBorders>
              <w:bottom w:val="single" w:sz="8" w:color="auto"/>
            </w:tcBorders>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938,330,857</w:t>
            </w:r>
          </w:p>
        </w:tc>
        <w:tc>
          <w:tcPr>
            <w:tcW w:w="280" w:type="dxa"/>
            <w:vAlign w:val="bottom"/>
          </w:tcPr>
          <w:p>
            <w:pPr>
              <w:spacing w:after="0"/>
              <w:rPr>
                <w:sz w:val="13"/>
                <w:szCs w:val="13"/>
                <w:color w:val="auto"/>
              </w:rPr>
            </w:pPr>
          </w:p>
        </w:tc>
        <w:tc>
          <w:tcPr>
            <w:tcW w:w="320" w:type="dxa"/>
            <w:vAlign w:val="bottom"/>
            <w:tcBorders>
              <w:bottom w:val="single" w:sz="8" w:color="auto"/>
            </w:tcBorders>
          </w:tcPr>
          <w:p>
            <w:pPr>
              <w:jc w:val="right"/>
              <w:ind w:right="209"/>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727,362,494</w:t>
            </w:r>
          </w:p>
        </w:tc>
        <w:tc>
          <w:tcPr>
            <w:tcW w:w="2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729,409,538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380" w:hanging="372"/>
        <w:spacing w:after="0"/>
        <w:tabs>
          <w:tab w:leader="none" w:pos="380" w:val="left"/>
        </w:tabs>
        <w:numPr>
          <w:ilvl w:val="0"/>
          <w:numId w:val="7"/>
        </w:numPr>
        <w:rPr>
          <w:rFonts w:ascii="Arial" w:cs="Arial" w:eastAsia="Arial" w:hAnsi="Arial"/>
          <w:sz w:val="12"/>
          <w:szCs w:val="12"/>
          <w:color w:val="auto"/>
        </w:rPr>
      </w:pPr>
      <w:r>
        <w:rPr>
          <w:rFonts w:ascii="Arial" w:cs="Arial" w:eastAsia="Arial" w:hAnsi="Arial"/>
          <w:sz w:val="14"/>
          <w:szCs w:val="14"/>
          <w:color w:val="auto"/>
        </w:rPr>
        <w:t>During the three months ended March 31, 2018, our subordinated debt in PSSL was exchanged into first lien secured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185991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59915" cy="8890"/>
                    </a:xfrm>
                    <a:prstGeom prst="rect">
                      <a:avLst/>
                    </a:prstGeom>
                    <a:noFill/>
                  </pic:spPr>
                </pic:pic>
              </a:graphicData>
            </a:graphic>
          </wp:anchor>
        </w:drawing>
      </w:r>
    </w:p>
    <w:p>
      <w:pPr>
        <w:spacing w:after="0" w:line="116" w:lineRule="exact"/>
        <w:rPr>
          <w:sz w:val="20"/>
          <w:szCs w:val="20"/>
          <w:color w:val="auto"/>
        </w:rPr>
      </w:pPr>
    </w:p>
    <w:p>
      <w:pPr>
        <w:ind w:firstLine="438"/>
        <w:spacing w:after="0" w:line="253" w:lineRule="auto"/>
        <w:rPr>
          <w:sz w:val="20"/>
          <w:szCs w:val="20"/>
          <w:color w:val="auto"/>
        </w:rPr>
      </w:pPr>
      <w:r>
        <w:rPr>
          <w:rFonts w:ascii="Arial" w:cs="Arial" w:eastAsia="Arial" w:hAnsi="Arial"/>
          <w:sz w:val="14"/>
          <w:szCs w:val="14"/>
          <w:color w:val="auto"/>
        </w:rPr>
        <w:t>The table below describes investments by industry classification and enumerates the percentage, by fair value, of the total portfolio assets (excluding cash and cash equivalents) in such industries: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Industry Classification</w:t>
            </w:r>
          </w:p>
        </w:tc>
        <w:tc>
          <w:tcPr>
            <w:tcW w:w="200" w:type="dxa"/>
            <w:vAlign w:val="bottom"/>
            <w:tcBorders>
              <w:bottom w:val="single" w:sz="8" w:color="CCECFF"/>
            </w:tcBorders>
          </w:tcPr>
          <w:p>
            <w:pPr>
              <w:spacing w:after="0"/>
              <w:rPr>
                <w:sz w:val="14"/>
                <w:szCs w:val="14"/>
                <w:color w:val="auto"/>
              </w:rPr>
            </w:pPr>
          </w:p>
        </w:tc>
        <w:tc>
          <w:tcPr>
            <w:tcW w:w="240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 xml:space="preserve">June 30, 2018 </w:t>
            </w:r>
            <w:r>
              <w:rPr>
                <w:rFonts w:ascii="Arial" w:cs="Arial" w:eastAsia="Arial" w:hAnsi="Arial"/>
                <w:sz w:val="12"/>
                <w:szCs w:val="12"/>
                <w:b w:val="1"/>
                <w:bCs w:val="1"/>
                <w:color w:val="auto"/>
              </w:rPr>
              <w:t>(1)</w:t>
            </w:r>
          </w:p>
        </w:tc>
        <w:tc>
          <w:tcPr>
            <w:tcW w:w="340" w:type="dxa"/>
            <w:vAlign w:val="bottom"/>
            <w:tcBorders>
              <w:bottom w:val="single" w:sz="8" w:color="CCECFF"/>
            </w:tcBorders>
          </w:tcPr>
          <w:p>
            <w:pPr>
              <w:spacing w:after="0"/>
              <w:rPr>
                <w:sz w:val="14"/>
                <w:szCs w:val="14"/>
                <w:color w:val="auto"/>
              </w:rPr>
            </w:pPr>
          </w:p>
        </w:tc>
        <w:tc>
          <w:tcPr>
            <w:tcW w:w="24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 xml:space="preserve">September 30, 2017 </w:t>
            </w:r>
            <w:r>
              <w:rPr>
                <w:rFonts w:ascii="Arial" w:cs="Arial" w:eastAsia="Arial" w:hAnsi="Arial"/>
                <w:sz w:val="12"/>
                <w:szCs w:val="12"/>
                <w:b w:val="1"/>
                <w:bCs w:val="1"/>
                <w:color w:val="auto"/>
              </w:rPr>
              <w:t>(1)</w:t>
            </w:r>
          </w:p>
        </w:tc>
        <w:tc>
          <w:tcPr>
            <w:tcW w:w="14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760" w:type="dxa"/>
            <w:vAlign w:val="bottom"/>
            <w:gridSpan w:val="3"/>
            <w:shd w:val="clear" w:color="auto" w:fill="CCECFF"/>
          </w:tcPr>
          <w:p>
            <w:pPr>
              <w:spacing w:after="0" w:line="155" w:lineRule="exact"/>
              <w:rPr>
                <w:sz w:val="20"/>
                <w:szCs w:val="20"/>
                <w:color w:val="auto"/>
              </w:rPr>
            </w:pPr>
            <w:r>
              <w:rPr>
                <w:rFonts w:ascii="Arial" w:cs="Arial" w:eastAsia="Arial" w:hAnsi="Arial"/>
                <w:sz w:val="14"/>
                <w:szCs w:val="14"/>
                <w:color w:val="auto"/>
              </w:rPr>
              <w:t>Consumer Goods: Non-Durable</w:t>
            </w:r>
          </w:p>
        </w:tc>
        <w:tc>
          <w:tcPr>
            <w:tcW w:w="200" w:type="dxa"/>
            <w:vAlign w:val="bottom"/>
            <w:shd w:val="clear" w:color="auto" w:fill="CCECFF"/>
          </w:tcPr>
          <w:p>
            <w:pPr>
              <w:spacing w:after="0"/>
              <w:rPr>
                <w:sz w:val="13"/>
                <w:szCs w:val="13"/>
                <w:color w:val="auto"/>
              </w:rPr>
            </w:pPr>
          </w:p>
        </w:tc>
        <w:tc>
          <w:tcPr>
            <w:tcW w:w="2740" w:type="dxa"/>
            <w:vAlign w:val="bottom"/>
            <w:gridSpan w:val="2"/>
            <w:shd w:val="clear" w:color="auto" w:fill="CCECFF"/>
          </w:tcPr>
          <w:p>
            <w:pPr>
              <w:jc w:val="right"/>
              <w:ind w:right="220"/>
              <w:spacing w:after="0" w:line="155" w:lineRule="exact"/>
              <w:rPr>
                <w:sz w:val="20"/>
                <w:szCs w:val="20"/>
                <w:color w:val="auto"/>
              </w:rPr>
            </w:pPr>
            <w:r>
              <w:rPr>
                <w:rFonts w:ascii="Arial" w:cs="Arial" w:eastAsia="Arial" w:hAnsi="Arial"/>
                <w:sz w:val="14"/>
                <w:szCs w:val="14"/>
                <w:color w:val="auto"/>
              </w:rPr>
              <w:t>15%</w:t>
            </w:r>
          </w:p>
        </w:tc>
        <w:tc>
          <w:tcPr>
            <w:tcW w:w="2540" w:type="dxa"/>
            <w:vAlign w:val="bottom"/>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62"/>
        </w:trPr>
        <w:tc>
          <w:tcPr>
            <w:tcW w:w="5960" w:type="dxa"/>
            <w:vAlign w:val="bottom"/>
            <w:gridSpan w:val="4"/>
          </w:tcPr>
          <w:p>
            <w:pPr>
              <w:spacing w:after="0"/>
              <w:rPr>
                <w:sz w:val="20"/>
                <w:szCs w:val="20"/>
                <w:color w:val="auto"/>
              </w:rPr>
            </w:pPr>
            <w:r>
              <w:rPr>
                <w:rFonts w:ascii="Arial" w:cs="Arial" w:eastAsia="Arial" w:hAnsi="Arial"/>
                <w:sz w:val="14"/>
                <w:szCs w:val="14"/>
                <w:color w:val="auto"/>
              </w:rPr>
              <w:t>High Tech Industries</w:t>
            </w:r>
          </w:p>
        </w:tc>
        <w:tc>
          <w:tcPr>
            <w:tcW w:w="2400" w:type="dxa"/>
            <w:vAlign w:val="bottom"/>
          </w:tcPr>
          <w:p>
            <w:pPr>
              <w:jc w:val="right"/>
              <w:spacing w:after="0"/>
              <w:rPr>
                <w:sz w:val="20"/>
                <w:szCs w:val="20"/>
                <w:color w:val="auto"/>
              </w:rPr>
            </w:pPr>
            <w:r>
              <w:rPr>
                <w:rFonts w:ascii="Arial" w:cs="Arial" w:eastAsia="Arial" w:hAnsi="Arial"/>
                <w:sz w:val="14"/>
                <w:szCs w:val="14"/>
                <w:color w:val="auto"/>
              </w:rPr>
              <w:t>11</w:t>
            </w:r>
          </w:p>
        </w:tc>
        <w:tc>
          <w:tcPr>
            <w:tcW w:w="340" w:type="dxa"/>
            <w:vAlign w:val="bottom"/>
          </w:tcPr>
          <w:p>
            <w:pPr>
              <w:spacing w:after="0"/>
              <w:rPr>
                <w:sz w:val="14"/>
                <w:szCs w:val="14"/>
                <w:color w:val="auto"/>
              </w:rPr>
            </w:pPr>
          </w:p>
        </w:tc>
        <w:tc>
          <w:tcPr>
            <w:tcW w:w="2400" w:type="dxa"/>
            <w:vAlign w:val="bottom"/>
          </w:tcPr>
          <w:p>
            <w:pPr>
              <w:jc w:val="right"/>
              <w:spacing w:after="0"/>
              <w:rPr>
                <w:sz w:val="20"/>
                <w:szCs w:val="20"/>
                <w:color w:val="auto"/>
              </w:rPr>
            </w:pPr>
            <w:r>
              <w:rPr>
                <w:rFonts w:ascii="Arial" w:cs="Arial" w:eastAsia="Arial" w:hAnsi="Arial"/>
                <w:sz w:val="14"/>
                <w:szCs w:val="14"/>
                <w:color w:val="auto"/>
              </w:rPr>
              <w:t>10</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60" w:type="dxa"/>
            <w:vAlign w:val="bottom"/>
            <w:gridSpan w:val="4"/>
            <w:shd w:val="clear" w:color="auto" w:fill="CCECFF"/>
          </w:tcPr>
          <w:p>
            <w:pPr>
              <w:spacing w:after="0"/>
              <w:rPr>
                <w:sz w:val="20"/>
                <w:szCs w:val="20"/>
                <w:color w:val="auto"/>
              </w:rPr>
            </w:pPr>
            <w:r>
              <w:rPr>
                <w:rFonts w:ascii="Arial" w:cs="Arial" w:eastAsia="Arial" w:hAnsi="Arial"/>
                <w:sz w:val="14"/>
                <w:szCs w:val="14"/>
                <w:color w:val="auto"/>
              </w:rPr>
              <w:t>Business Services</w:t>
            </w:r>
          </w:p>
        </w:tc>
        <w:tc>
          <w:tcPr>
            <w:tcW w:w="2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w:t>
            </w:r>
          </w:p>
        </w:tc>
        <w:tc>
          <w:tcPr>
            <w:tcW w:w="340" w:type="dxa"/>
            <w:vAlign w:val="bottom"/>
            <w:shd w:val="clear" w:color="auto" w:fill="CCECFF"/>
          </w:tcPr>
          <w:p>
            <w:pPr>
              <w:spacing w:after="0"/>
              <w:rPr>
                <w:sz w:val="14"/>
                <w:szCs w:val="14"/>
                <w:color w:val="auto"/>
              </w:rPr>
            </w:pPr>
          </w:p>
        </w:tc>
        <w:tc>
          <w:tcPr>
            <w:tcW w:w="2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w:t>
            </w:r>
          </w:p>
        </w:tc>
        <w:tc>
          <w:tcPr>
            <w:tcW w:w="14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60" w:type="dxa"/>
            <w:vAlign w:val="bottom"/>
            <w:gridSpan w:val="4"/>
          </w:tcPr>
          <w:p>
            <w:pPr>
              <w:spacing w:after="0"/>
              <w:rPr>
                <w:sz w:val="20"/>
                <w:szCs w:val="20"/>
                <w:color w:val="auto"/>
              </w:rPr>
            </w:pPr>
            <w:r>
              <w:rPr>
                <w:rFonts w:ascii="Arial" w:cs="Arial" w:eastAsia="Arial" w:hAnsi="Arial"/>
                <w:sz w:val="14"/>
                <w:szCs w:val="14"/>
                <w:color w:val="auto"/>
              </w:rPr>
              <w:t>Hotel, Gaming and Leisure</w:t>
            </w:r>
          </w:p>
        </w:tc>
        <w:tc>
          <w:tcPr>
            <w:tcW w:w="2400" w:type="dxa"/>
            <w:vAlign w:val="bottom"/>
          </w:tcPr>
          <w:p>
            <w:pPr>
              <w:jc w:val="right"/>
              <w:spacing w:after="0"/>
              <w:rPr>
                <w:sz w:val="20"/>
                <w:szCs w:val="20"/>
                <w:color w:val="auto"/>
              </w:rPr>
            </w:pPr>
            <w:r>
              <w:rPr>
                <w:rFonts w:ascii="Arial" w:cs="Arial" w:eastAsia="Arial" w:hAnsi="Arial"/>
                <w:sz w:val="14"/>
                <w:szCs w:val="14"/>
                <w:color w:val="auto"/>
              </w:rPr>
              <w:t>7</w:t>
            </w:r>
          </w:p>
        </w:tc>
        <w:tc>
          <w:tcPr>
            <w:tcW w:w="340" w:type="dxa"/>
            <w:vAlign w:val="bottom"/>
          </w:tcPr>
          <w:p>
            <w:pPr>
              <w:spacing w:after="0"/>
              <w:rPr>
                <w:sz w:val="14"/>
                <w:szCs w:val="14"/>
                <w:color w:val="auto"/>
              </w:rPr>
            </w:pPr>
          </w:p>
        </w:tc>
        <w:tc>
          <w:tcPr>
            <w:tcW w:w="2400" w:type="dxa"/>
            <w:vAlign w:val="bottom"/>
          </w:tcPr>
          <w:p>
            <w:pPr>
              <w:jc w:val="right"/>
              <w:spacing w:after="0"/>
              <w:rPr>
                <w:sz w:val="20"/>
                <w:szCs w:val="20"/>
                <w:color w:val="auto"/>
              </w:rPr>
            </w:pPr>
            <w:r>
              <w:rPr>
                <w:rFonts w:ascii="Arial" w:cs="Arial" w:eastAsia="Arial" w:hAnsi="Arial"/>
                <w:sz w:val="14"/>
                <w:szCs w:val="14"/>
                <w:color w:val="auto"/>
              </w:rPr>
              <w:t>8</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60" w:type="dxa"/>
            <w:vAlign w:val="bottom"/>
            <w:gridSpan w:val="4"/>
            <w:shd w:val="clear" w:color="auto" w:fill="CCECFF"/>
          </w:tcPr>
          <w:p>
            <w:pPr>
              <w:spacing w:after="0"/>
              <w:rPr>
                <w:sz w:val="20"/>
                <w:szCs w:val="20"/>
                <w:color w:val="auto"/>
              </w:rPr>
            </w:pPr>
            <w:r>
              <w:rPr>
                <w:rFonts w:ascii="Arial" w:cs="Arial" w:eastAsia="Arial" w:hAnsi="Arial"/>
                <w:sz w:val="14"/>
                <w:szCs w:val="14"/>
                <w:color w:val="auto"/>
              </w:rPr>
              <w:t>Beverage, Food and Tobacco</w:t>
            </w:r>
          </w:p>
        </w:tc>
        <w:tc>
          <w:tcPr>
            <w:tcW w:w="2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w:t>
            </w:r>
          </w:p>
        </w:tc>
        <w:tc>
          <w:tcPr>
            <w:tcW w:w="340" w:type="dxa"/>
            <w:vAlign w:val="bottom"/>
            <w:shd w:val="clear" w:color="auto" w:fill="CCECFF"/>
          </w:tcPr>
          <w:p>
            <w:pPr>
              <w:spacing w:after="0"/>
              <w:rPr>
                <w:sz w:val="14"/>
                <w:szCs w:val="14"/>
                <w:color w:val="auto"/>
              </w:rPr>
            </w:pPr>
          </w:p>
        </w:tc>
        <w:tc>
          <w:tcPr>
            <w:tcW w:w="2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w:t>
            </w:r>
          </w:p>
        </w:tc>
        <w:tc>
          <w:tcPr>
            <w:tcW w:w="14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60" w:type="dxa"/>
            <w:vAlign w:val="bottom"/>
            <w:gridSpan w:val="4"/>
          </w:tcPr>
          <w:p>
            <w:pPr>
              <w:spacing w:after="0"/>
              <w:rPr>
                <w:sz w:val="20"/>
                <w:szCs w:val="20"/>
                <w:color w:val="auto"/>
              </w:rPr>
            </w:pPr>
            <w:r>
              <w:rPr>
                <w:rFonts w:ascii="Arial" w:cs="Arial" w:eastAsia="Arial" w:hAnsi="Arial"/>
                <w:sz w:val="14"/>
                <w:szCs w:val="14"/>
                <w:color w:val="auto"/>
              </w:rPr>
              <w:t>Telecommunications</w:t>
            </w:r>
          </w:p>
        </w:tc>
        <w:tc>
          <w:tcPr>
            <w:tcW w:w="2400" w:type="dxa"/>
            <w:vAlign w:val="bottom"/>
          </w:tcPr>
          <w:p>
            <w:pPr>
              <w:jc w:val="right"/>
              <w:spacing w:after="0"/>
              <w:rPr>
                <w:sz w:val="20"/>
                <w:szCs w:val="20"/>
                <w:color w:val="auto"/>
              </w:rPr>
            </w:pPr>
            <w:r>
              <w:rPr>
                <w:rFonts w:ascii="Arial" w:cs="Arial" w:eastAsia="Arial" w:hAnsi="Arial"/>
                <w:sz w:val="14"/>
                <w:szCs w:val="14"/>
                <w:color w:val="auto"/>
              </w:rPr>
              <w:t>6</w:t>
            </w:r>
          </w:p>
        </w:tc>
        <w:tc>
          <w:tcPr>
            <w:tcW w:w="340" w:type="dxa"/>
            <w:vAlign w:val="bottom"/>
          </w:tcPr>
          <w:p>
            <w:pPr>
              <w:spacing w:after="0"/>
              <w:rPr>
                <w:sz w:val="14"/>
                <w:szCs w:val="14"/>
                <w:color w:val="auto"/>
              </w:rPr>
            </w:pPr>
          </w:p>
        </w:tc>
        <w:tc>
          <w:tcPr>
            <w:tcW w:w="2400" w:type="dxa"/>
            <w:vAlign w:val="bottom"/>
          </w:tcPr>
          <w:p>
            <w:pPr>
              <w:jc w:val="right"/>
              <w:spacing w:after="0"/>
              <w:rPr>
                <w:sz w:val="20"/>
                <w:szCs w:val="20"/>
                <w:color w:val="auto"/>
              </w:rPr>
            </w:pPr>
            <w:r>
              <w:rPr>
                <w:rFonts w:ascii="Arial" w:cs="Arial" w:eastAsia="Arial" w:hAnsi="Arial"/>
                <w:sz w:val="14"/>
                <w:szCs w:val="14"/>
                <w:color w:val="auto"/>
              </w:rPr>
              <w:t>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60" w:type="dxa"/>
            <w:vAlign w:val="bottom"/>
            <w:gridSpan w:val="4"/>
            <w:shd w:val="clear" w:color="auto" w:fill="CCECFF"/>
          </w:tcPr>
          <w:p>
            <w:pPr>
              <w:spacing w:after="0"/>
              <w:rPr>
                <w:sz w:val="20"/>
                <w:szCs w:val="20"/>
                <w:color w:val="auto"/>
              </w:rPr>
            </w:pPr>
            <w:r>
              <w:rPr>
                <w:rFonts w:ascii="Arial" w:cs="Arial" w:eastAsia="Arial" w:hAnsi="Arial"/>
                <w:sz w:val="14"/>
                <w:szCs w:val="14"/>
                <w:color w:val="auto"/>
              </w:rPr>
              <w:t>Wholesale</w:t>
            </w:r>
          </w:p>
        </w:tc>
        <w:tc>
          <w:tcPr>
            <w:tcW w:w="2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w:t>
            </w:r>
          </w:p>
        </w:tc>
        <w:tc>
          <w:tcPr>
            <w:tcW w:w="340" w:type="dxa"/>
            <w:vAlign w:val="bottom"/>
            <w:shd w:val="clear" w:color="auto" w:fill="CCECFF"/>
          </w:tcPr>
          <w:p>
            <w:pPr>
              <w:spacing w:after="0"/>
              <w:rPr>
                <w:sz w:val="14"/>
                <w:szCs w:val="14"/>
                <w:color w:val="auto"/>
              </w:rPr>
            </w:pPr>
          </w:p>
        </w:tc>
        <w:tc>
          <w:tcPr>
            <w:tcW w:w="2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w:t>
            </w:r>
          </w:p>
        </w:tc>
        <w:tc>
          <w:tcPr>
            <w:tcW w:w="14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60" w:type="dxa"/>
            <w:vAlign w:val="bottom"/>
            <w:gridSpan w:val="4"/>
          </w:tcPr>
          <w:p>
            <w:pPr>
              <w:spacing w:after="0"/>
              <w:rPr>
                <w:sz w:val="20"/>
                <w:szCs w:val="20"/>
                <w:color w:val="auto"/>
              </w:rPr>
            </w:pPr>
            <w:r>
              <w:rPr>
                <w:rFonts w:ascii="Arial" w:cs="Arial" w:eastAsia="Arial" w:hAnsi="Arial"/>
                <w:sz w:val="14"/>
                <w:szCs w:val="14"/>
                <w:color w:val="auto"/>
              </w:rPr>
              <w:t>Capital Equipment</w:t>
            </w:r>
          </w:p>
        </w:tc>
        <w:tc>
          <w:tcPr>
            <w:tcW w:w="2400" w:type="dxa"/>
            <w:vAlign w:val="bottom"/>
          </w:tcPr>
          <w:p>
            <w:pPr>
              <w:jc w:val="right"/>
              <w:spacing w:after="0"/>
              <w:rPr>
                <w:sz w:val="20"/>
                <w:szCs w:val="20"/>
                <w:color w:val="auto"/>
              </w:rPr>
            </w:pPr>
            <w:r>
              <w:rPr>
                <w:rFonts w:ascii="Arial" w:cs="Arial" w:eastAsia="Arial" w:hAnsi="Arial"/>
                <w:sz w:val="14"/>
                <w:szCs w:val="14"/>
                <w:color w:val="auto"/>
              </w:rPr>
              <w:t>5</w:t>
            </w:r>
          </w:p>
        </w:tc>
        <w:tc>
          <w:tcPr>
            <w:tcW w:w="340" w:type="dxa"/>
            <w:vAlign w:val="bottom"/>
          </w:tcPr>
          <w:p>
            <w:pPr>
              <w:spacing w:after="0"/>
              <w:rPr>
                <w:sz w:val="14"/>
                <w:szCs w:val="14"/>
                <w:color w:val="auto"/>
              </w:rPr>
            </w:pPr>
          </w:p>
        </w:tc>
        <w:tc>
          <w:tcPr>
            <w:tcW w:w="2400" w:type="dxa"/>
            <w:vAlign w:val="bottom"/>
          </w:tcPr>
          <w:p>
            <w:pPr>
              <w:jc w:val="right"/>
              <w:spacing w:after="0"/>
              <w:rPr>
                <w:sz w:val="20"/>
                <w:szCs w:val="20"/>
                <w:color w:val="auto"/>
              </w:rPr>
            </w:pPr>
            <w:r>
              <w:rPr>
                <w:rFonts w:ascii="Arial" w:cs="Arial" w:eastAsia="Arial" w:hAnsi="Arial"/>
                <w:sz w:val="14"/>
                <w:szCs w:val="14"/>
                <w:color w:val="auto"/>
              </w:rPr>
              <w:t>5</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60" w:type="dxa"/>
            <w:vAlign w:val="bottom"/>
            <w:gridSpan w:val="4"/>
            <w:shd w:val="clear" w:color="auto" w:fill="CCECFF"/>
          </w:tcPr>
          <w:p>
            <w:pPr>
              <w:spacing w:after="0"/>
              <w:rPr>
                <w:sz w:val="20"/>
                <w:szCs w:val="20"/>
                <w:color w:val="auto"/>
              </w:rPr>
            </w:pPr>
            <w:r>
              <w:rPr>
                <w:rFonts w:ascii="Arial" w:cs="Arial" w:eastAsia="Arial" w:hAnsi="Arial"/>
                <w:sz w:val="14"/>
                <w:szCs w:val="14"/>
                <w:color w:val="auto"/>
              </w:rPr>
              <w:t>Consumer Goods: Durable</w:t>
            </w:r>
          </w:p>
        </w:tc>
        <w:tc>
          <w:tcPr>
            <w:tcW w:w="2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w:t>
            </w:r>
          </w:p>
        </w:tc>
        <w:tc>
          <w:tcPr>
            <w:tcW w:w="340" w:type="dxa"/>
            <w:vAlign w:val="bottom"/>
            <w:shd w:val="clear" w:color="auto" w:fill="CCECFF"/>
          </w:tcPr>
          <w:p>
            <w:pPr>
              <w:spacing w:after="0"/>
              <w:rPr>
                <w:sz w:val="14"/>
                <w:szCs w:val="14"/>
                <w:color w:val="auto"/>
              </w:rPr>
            </w:pPr>
          </w:p>
        </w:tc>
        <w:tc>
          <w:tcPr>
            <w:tcW w:w="2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w:t>
            </w:r>
          </w:p>
        </w:tc>
        <w:tc>
          <w:tcPr>
            <w:tcW w:w="14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60" w:type="dxa"/>
            <w:vAlign w:val="bottom"/>
            <w:gridSpan w:val="4"/>
          </w:tcPr>
          <w:p>
            <w:pPr>
              <w:spacing w:after="0"/>
              <w:rPr>
                <w:sz w:val="20"/>
                <w:szCs w:val="20"/>
                <w:color w:val="auto"/>
              </w:rPr>
            </w:pPr>
            <w:r>
              <w:rPr>
                <w:rFonts w:ascii="Arial" w:cs="Arial" w:eastAsia="Arial" w:hAnsi="Arial"/>
                <w:sz w:val="14"/>
                <w:szCs w:val="14"/>
                <w:color w:val="auto"/>
              </w:rPr>
              <w:t>Healthcare and Pharmaceuticals</w:t>
            </w:r>
          </w:p>
        </w:tc>
        <w:tc>
          <w:tcPr>
            <w:tcW w:w="2400" w:type="dxa"/>
            <w:vAlign w:val="bottom"/>
          </w:tcPr>
          <w:p>
            <w:pPr>
              <w:jc w:val="right"/>
              <w:spacing w:after="0"/>
              <w:rPr>
                <w:sz w:val="20"/>
                <w:szCs w:val="20"/>
                <w:color w:val="auto"/>
              </w:rPr>
            </w:pPr>
            <w:r>
              <w:rPr>
                <w:rFonts w:ascii="Arial" w:cs="Arial" w:eastAsia="Arial" w:hAnsi="Arial"/>
                <w:sz w:val="14"/>
                <w:szCs w:val="14"/>
                <w:color w:val="auto"/>
              </w:rPr>
              <w:t>5</w:t>
            </w:r>
          </w:p>
        </w:tc>
        <w:tc>
          <w:tcPr>
            <w:tcW w:w="340" w:type="dxa"/>
            <w:vAlign w:val="bottom"/>
          </w:tcPr>
          <w:p>
            <w:pPr>
              <w:spacing w:after="0"/>
              <w:rPr>
                <w:sz w:val="14"/>
                <w:szCs w:val="14"/>
                <w:color w:val="auto"/>
              </w:rPr>
            </w:pPr>
          </w:p>
        </w:tc>
        <w:tc>
          <w:tcPr>
            <w:tcW w:w="2400" w:type="dxa"/>
            <w:vAlign w:val="bottom"/>
          </w:tcPr>
          <w:p>
            <w:pPr>
              <w:jc w:val="right"/>
              <w:spacing w:after="0"/>
              <w:rPr>
                <w:sz w:val="20"/>
                <w:szCs w:val="20"/>
                <w:color w:val="auto"/>
              </w:rPr>
            </w:pPr>
            <w:r>
              <w:rPr>
                <w:rFonts w:ascii="Arial" w:cs="Arial" w:eastAsia="Arial" w:hAnsi="Arial"/>
                <w:sz w:val="14"/>
                <w:szCs w:val="14"/>
                <w:color w:val="auto"/>
              </w:rPr>
              <w:t>9</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60" w:type="dxa"/>
            <w:vAlign w:val="bottom"/>
            <w:gridSpan w:val="4"/>
            <w:shd w:val="clear" w:color="auto" w:fill="CCECFF"/>
          </w:tcPr>
          <w:p>
            <w:pPr>
              <w:spacing w:after="0"/>
              <w:rPr>
                <w:sz w:val="20"/>
                <w:szCs w:val="20"/>
                <w:color w:val="auto"/>
              </w:rPr>
            </w:pPr>
            <w:r>
              <w:rPr>
                <w:rFonts w:ascii="Arial" w:cs="Arial" w:eastAsia="Arial" w:hAnsi="Arial"/>
                <w:sz w:val="14"/>
                <w:szCs w:val="14"/>
                <w:color w:val="auto"/>
              </w:rPr>
              <w:t>Aerospace and Defense</w:t>
            </w:r>
          </w:p>
        </w:tc>
        <w:tc>
          <w:tcPr>
            <w:tcW w:w="2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w:t>
            </w:r>
          </w:p>
        </w:tc>
        <w:tc>
          <w:tcPr>
            <w:tcW w:w="340" w:type="dxa"/>
            <w:vAlign w:val="bottom"/>
            <w:shd w:val="clear" w:color="auto" w:fill="CCECFF"/>
          </w:tcPr>
          <w:p>
            <w:pPr>
              <w:spacing w:after="0"/>
              <w:rPr>
                <w:sz w:val="14"/>
                <w:szCs w:val="14"/>
                <w:color w:val="auto"/>
              </w:rPr>
            </w:pPr>
          </w:p>
        </w:tc>
        <w:tc>
          <w:tcPr>
            <w:tcW w:w="2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w:t>
            </w:r>
          </w:p>
        </w:tc>
        <w:tc>
          <w:tcPr>
            <w:tcW w:w="14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60" w:type="dxa"/>
            <w:vAlign w:val="bottom"/>
            <w:gridSpan w:val="4"/>
          </w:tcPr>
          <w:p>
            <w:pPr>
              <w:spacing w:after="0"/>
              <w:rPr>
                <w:sz w:val="20"/>
                <w:szCs w:val="20"/>
                <w:color w:val="auto"/>
              </w:rPr>
            </w:pPr>
            <w:r>
              <w:rPr>
                <w:rFonts w:ascii="Arial" w:cs="Arial" w:eastAsia="Arial" w:hAnsi="Arial"/>
                <w:sz w:val="14"/>
                <w:szCs w:val="14"/>
                <w:color w:val="auto"/>
              </w:rPr>
              <w:t>Construction and Building</w:t>
            </w:r>
          </w:p>
        </w:tc>
        <w:tc>
          <w:tcPr>
            <w:tcW w:w="2400" w:type="dxa"/>
            <w:vAlign w:val="bottom"/>
          </w:tcPr>
          <w:p>
            <w:pPr>
              <w:jc w:val="right"/>
              <w:spacing w:after="0"/>
              <w:rPr>
                <w:sz w:val="20"/>
                <w:szCs w:val="20"/>
                <w:color w:val="auto"/>
              </w:rPr>
            </w:pPr>
            <w:r>
              <w:rPr>
                <w:rFonts w:ascii="Arial" w:cs="Arial" w:eastAsia="Arial" w:hAnsi="Arial"/>
                <w:sz w:val="14"/>
                <w:szCs w:val="14"/>
                <w:color w:val="auto"/>
              </w:rPr>
              <w:t>4</w:t>
            </w:r>
          </w:p>
        </w:tc>
        <w:tc>
          <w:tcPr>
            <w:tcW w:w="340" w:type="dxa"/>
            <w:vAlign w:val="bottom"/>
          </w:tcPr>
          <w:p>
            <w:pPr>
              <w:spacing w:after="0"/>
              <w:rPr>
                <w:sz w:val="14"/>
                <w:szCs w:val="14"/>
                <w:color w:val="auto"/>
              </w:rPr>
            </w:pPr>
          </w:p>
        </w:tc>
        <w:tc>
          <w:tcPr>
            <w:tcW w:w="2400" w:type="dxa"/>
            <w:vAlign w:val="bottom"/>
          </w:tcPr>
          <w:p>
            <w:pPr>
              <w:jc w:val="right"/>
              <w:spacing w:after="0"/>
              <w:rPr>
                <w:sz w:val="20"/>
                <w:szCs w:val="20"/>
                <w:color w:val="auto"/>
              </w:rPr>
            </w:pPr>
            <w:r>
              <w:rPr>
                <w:rFonts w:ascii="Arial" w:cs="Arial" w:eastAsia="Arial" w:hAnsi="Arial"/>
                <w:sz w:val="14"/>
                <w:szCs w:val="14"/>
                <w:color w:val="auto"/>
              </w:rPr>
              <w:t>3</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60" w:type="dxa"/>
            <w:vAlign w:val="bottom"/>
            <w:gridSpan w:val="4"/>
            <w:shd w:val="clear" w:color="auto" w:fill="CCECFF"/>
          </w:tcPr>
          <w:p>
            <w:pPr>
              <w:spacing w:after="0"/>
              <w:rPr>
                <w:sz w:val="20"/>
                <w:szCs w:val="20"/>
                <w:color w:val="auto"/>
              </w:rPr>
            </w:pPr>
            <w:r>
              <w:rPr>
                <w:rFonts w:ascii="Arial" w:cs="Arial" w:eastAsia="Arial" w:hAnsi="Arial"/>
                <w:sz w:val="14"/>
                <w:szCs w:val="14"/>
                <w:color w:val="auto"/>
              </w:rPr>
              <w:t>Media: Advertising, Printing and Publishing</w:t>
            </w:r>
          </w:p>
        </w:tc>
        <w:tc>
          <w:tcPr>
            <w:tcW w:w="2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w:t>
            </w:r>
          </w:p>
        </w:tc>
        <w:tc>
          <w:tcPr>
            <w:tcW w:w="340" w:type="dxa"/>
            <w:vAlign w:val="bottom"/>
            <w:shd w:val="clear" w:color="auto" w:fill="CCECFF"/>
          </w:tcPr>
          <w:p>
            <w:pPr>
              <w:spacing w:after="0"/>
              <w:rPr>
                <w:sz w:val="14"/>
                <w:szCs w:val="14"/>
                <w:color w:val="auto"/>
              </w:rPr>
            </w:pPr>
          </w:p>
        </w:tc>
        <w:tc>
          <w:tcPr>
            <w:tcW w:w="2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w:t>
            </w:r>
          </w:p>
        </w:tc>
        <w:tc>
          <w:tcPr>
            <w:tcW w:w="14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60" w:type="dxa"/>
            <w:vAlign w:val="bottom"/>
            <w:gridSpan w:val="4"/>
          </w:tcPr>
          <w:p>
            <w:pPr>
              <w:spacing w:after="0"/>
              <w:rPr>
                <w:sz w:val="20"/>
                <w:szCs w:val="20"/>
                <w:color w:val="auto"/>
              </w:rPr>
            </w:pPr>
            <w:r>
              <w:rPr>
                <w:rFonts w:ascii="Arial" w:cs="Arial" w:eastAsia="Arial" w:hAnsi="Arial"/>
                <w:sz w:val="14"/>
                <w:szCs w:val="14"/>
                <w:color w:val="auto"/>
              </w:rPr>
              <w:t>Chemicals, Plastics and Rubber</w:t>
            </w:r>
          </w:p>
        </w:tc>
        <w:tc>
          <w:tcPr>
            <w:tcW w:w="2400" w:type="dxa"/>
            <w:vAlign w:val="bottom"/>
          </w:tcPr>
          <w:p>
            <w:pPr>
              <w:jc w:val="right"/>
              <w:spacing w:after="0"/>
              <w:rPr>
                <w:sz w:val="20"/>
                <w:szCs w:val="20"/>
                <w:color w:val="auto"/>
              </w:rPr>
            </w:pPr>
            <w:r>
              <w:rPr>
                <w:rFonts w:ascii="Arial" w:cs="Arial" w:eastAsia="Arial" w:hAnsi="Arial"/>
                <w:sz w:val="14"/>
                <w:szCs w:val="14"/>
                <w:color w:val="auto"/>
              </w:rPr>
              <w:t>3</w:t>
            </w:r>
          </w:p>
        </w:tc>
        <w:tc>
          <w:tcPr>
            <w:tcW w:w="340" w:type="dxa"/>
            <w:vAlign w:val="bottom"/>
          </w:tcPr>
          <w:p>
            <w:pPr>
              <w:spacing w:after="0"/>
              <w:rPr>
                <w:sz w:val="14"/>
                <w:szCs w:val="14"/>
                <w:color w:val="auto"/>
              </w:rPr>
            </w:pPr>
          </w:p>
        </w:tc>
        <w:tc>
          <w:tcPr>
            <w:tcW w:w="2400" w:type="dxa"/>
            <w:vAlign w:val="bottom"/>
          </w:tcPr>
          <w:p>
            <w:pPr>
              <w:jc w:val="right"/>
              <w:spacing w:after="0"/>
              <w:rPr>
                <w:sz w:val="20"/>
                <w:szCs w:val="20"/>
                <w:color w:val="auto"/>
              </w:rPr>
            </w:pPr>
            <w:r>
              <w:rPr>
                <w:rFonts w:ascii="Arial" w:cs="Arial" w:eastAsia="Arial" w:hAnsi="Arial"/>
                <w:sz w:val="14"/>
                <w:szCs w:val="14"/>
                <w:color w:val="auto"/>
              </w:rPr>
              <w:t>4</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60" w:type="dxa"/>
            <w:vAlign w:val="bottom"/>
            <w:gridSpan w:val="4"/>
            <w:shd w:val="clear" w:color="auto" w:fill="CCECFF"/>
          </w:tcPr>
          <w:p>
            <w:pPr>
              <w:spacing w:after="0"/>
              <w:rPr>
                <w:sz w:val="20"/>
                <w:szCs w:val="20"/>
                <w:color w:val="auto"/>
              </w:rPr>
            </w:pPr>
            <w:r>
              <w:rPr>
                <w:rFonts w:ascii="Arial" w:cs="Arial" w:eastAsia="Arial" w:hAnsi="Arial"/>
                <w:sz w:val="14"/>
                <w:szCs w:val="14"/>
                <w:color w:val="auto"/>
              </w:rPr>
              <w:t>Media: Diversified and Production</w:t>
            </w:r>
          </w:p>
        </w:tc>
        <w:tc>
          <w:tcPr>
            <w:tcW w:w="2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340" w:type="dxa"/>
            <w:vAlign w:val="bottom"/>
            <w:shd w:val="clear" w:color="auto" w:fill="CCECFF"/>
          </w:tcPr>
          <w:p>
            <w:pPr>
              <w:spacing w:after="0"/>
              <w:rPr>
                <w:sz w:val="14"/>
                <w:szCs w:val="14"/>
                <w:color w:val="auto"/>
              </w:rPr>
            </w:pPr>
          </w:p>
        </w:tc>
        <w:tc>
          <w:tcPr>
            <w:tcW w:w="2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w:t>
            </w:r>
          </w:p>
        </w:tc>
        <w:tc>
          <w:tcPr>
            <w:tcW w:w="14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 w:type="dxa"/>
            <w:vAlign w:val="bottom"/>
          </w:tcPr>
          <w:p>
            <w:pPr>
              <w:spacing w:after="0"/>
              <w:rPr>
                <w:sz w:val="20"/>
                <w:szCs w:val="20"/>
                <w:color w:val="auto"/>
              </w:rPr>
            </w:pPr>
            <w:r>
              <w:rPr>
                <w:rFonts w:ascii="Arial" w:cs="Arial" w:eastAsia="Arial" w:hAnsi="Arial"/>
                <w:sz w:val="14"/>
                <w:szCs w:val="14"/>
                <w:color w:val="auto"/>
                <w:w w:val="94"/>
              </w:rPr>
              <w:t>Retail</w:t>
            </w:r>
          </w:p>
        </w:tc>
        <w:tc>
          <w:tcPr>
            <w:tcW w:w="258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0" w:type="dxa"/>
            <w:vAlign w:val="bottom"/>
          </w:tcPr>
          <w:p>
            <w:pPr>
              <w:jc w:val="right"/>
              <w:spacing w:after="0"/>
              <w:rPr>
                <w:sz w:val="20"/>
                <w:szCs w:val="20"/>
                <w:color w:val="auto"/>
              </w:rPr>
            </w:pPr>
            <w:r>
              <w:rPr>
                <w:rFonts w:ascii="Arial" w:cs="Arial" w:eastAsia="Arial" w:hAnsi="Arial"/>
                <w:sz w:val="14"/>
                <w:szCs w:val="14"/>
                <w:color w:val="auto"/>
              </w:rPr>
              <w:t>2</w:t>
            </w:r>
          </w:p>
        </w:tc>
        <w:tc>
          <w:tcPr>
            <w:tcW w:w="340" w:type="dxa"/>
            <w:vAlign w:val="bottom"/>
          </w:tcPr>
          <w:p>
            <w:pPr>
              <w:spacing w:after="0"/>
              <w:rPr>
                <w:sz w:val="14"/>
                <w:szCs w:val="14"/>
                <w:color w:val="auto"/>
              </w:rPr>
            </w:pPr>
          </w:p>
        </w:tc>
        <w:tc>
          <w:tcPr>
            <w:tcW w:w="2400" w:type="dxa"/>
            <w:vAlign w:val="bottom"/>
          </w:tcPr>
          <w:p>
            <w:pPr>
              <w:jc w:val="right"/>
              <w:spacing w:after="0"/>
              <w:rPr>
                <w:sz w:val="20"/>
                <w:szCs w:val="20"/>
                <w:color w:val="auto"/>
              </w:rPr>
            </w:pPr>
            <w:r>
              <w:rPr>
                <w:rFonts w:ascii="Arial" w:cs="Arial" w:eastAsia="Arial" w:hAnsi="Arial"/>
                <w:sz w:val="14"/>
                <w:szCs w:val="14"/>
                <w:color w:val="auto"/>
              </w:rPr>
              <w:t>3</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60" w:type="dxa"/>
            <w:vAlign w:val="bottom"/>
            <w:gridSpan w:val="4"/>
            <w:shd w:val="clear" w:color="auto" w:fill="CCECFF"/>
          </w:tcPr>
          <w:p>
            <w:pPr>
              <w:spacing w:after="0"/>
              <w:rPr>
                <w:sz w:val="20"/>
                <w:szCs w:val="20"/>
                <w:color w:val="auto"/>
              </w:rPr>
            </w:pPr>
            <w:r>
              <w:rPr>
                <w:rFonts w:ascii="Arial" w:cs="Arial" w:eastAsia="Arial" w:hAnsi="Arial"/>
                <w:sz w:val="14"/>
                <w:szCs w:val="14"/>
                <w:color w:val="auto"/>
              </w:rPr>
              <w:t>Media: Broadcasting and Subscription</w:t>
            </w:r>
          </w:p>
        </w:tc>
        <w:tc>
          <w:tcPr>
            <w:tcW w:w="2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w:t>
            </w:r>
          </w:p>
        </w:tc>
        <w:tc>
          <w:tcPr>
            <w:tcW w:w="340" w:type="dxa"/>
            <w:vAlign w:val="bottom"/>
            <w:shd w:val="clear" w:color="auto" w:fill="CCECFF"/>
          </w:tcPr>
          <w:p>
            <w:pPr>
              <w:spacing w:after="0"/>
              <w:rPr>
                <w:sz w:val="14"/>
                <w:szCs w:val="14"/>
                <w:color w:val="auto"/>
              </w:rPr>
            </w:pPr>
          </w:p>
        </w:tc>
        <w:tc>
          <w:tcPr>
            <w:tcW w:w="2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14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960" w:type="dxa"/>
            <w:vAlign w:val="bottom"/>
            <w:tcBorders>
              <w:bottom w:val="single" w:sz="8" w:color="CCECFF"/>
            </w:tcBorders>
            <w:gridSpan w:val="4"/>
          </w:tcPr>
          <w:p>
            <w:pPr>
              <w:spacing w:after="0"/>
              <w:rPr>
                <w:sz w:val="20"/>
                <w:szCs w:val="20"/>
                <w:color w:val="auto"/>
              </w:rPr>
            </w:pPr>
            <w:r>
              <w:rPr>
                <w:rFonts w:ascii="Arial" w:cs="Arial" w:eastAsia="Arial" w:hAnsi="Arial"/>
                <w:sz w:val="14"/>
                <w:szCs w:val="14"/>
                <w:color w:val="auto"/>
              </w:rPr>
              <w:t>All Other</w:t>
            </w:r>
          </w:p>
        </w:tc>
        <w:tc>
          <w:tcPr>
            <w:tcW w:w="2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340" w:type="dxa"/>
            <w:vAlign w:val="bottom"/>
            <w:tcBorders>
              <w:bottom w:val="single" w:sz="8" w:color="CCECFF"/>
            </w:tcBorders>
          </w:tcPr>
          <w:p>
            <w:pPr>
              <w:spacing w:after="0"/>
              <w:rPr>
                <w:sz w:val="14"/>
                <w:szCs w:val="14"/>
                <w:color w:val="auto"/>
              </w:rPr>
            </w:pPr>
          </w:p>
        </w:tc>
        <w:tc>
          <w:tcPr>
            <w:tcW w:w="2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4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6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Total</w:t>
            </w:r>
          </w:p>
        </w:tc>
        <w:tc>
          <w:tcPr>
            <w:tcW w:w="2580" w:type="dxa"/>
            <w:vAlign w:val="bottom"/>
            <w:shd w:val="clear" w:color="auto" w:fill="CCECFF"/>
          </w:tcPr>
          <w:p>
            <w:pPr>
              <w:spacing w:after="0"/>
              <w:rPr>
                <w:sz w:val="13"/>
                <w:szCs w:val="13"/>
                <w:color w:val="auto"/>
              </w:rPr>
            </w:pPr>
          </w:p>
        </w:tc>
        <w:tc>
          <w:tcPr>
            <w:tcW w:w="282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2740" w:type="dxa"/>
            <w:vAlign w:val="bottom"/>
            <w:gridSpan w:val="2"/>
            <w:shd w:val="clear" w:color="auto" w:fill="CCECFF"/>
          </w:tcPr>
          <w:p>
            <w:pPr>
              <w:jc w:val="right"/>
              <w:ind w:right="220"/>
              <w:spacing w:after="0" w:line="155" w:lineRule="exact"/>
              <w:rPr>
                <w:sz w:val="20"/>
                <w:szCs w:val="20"/>
                <w:color w:val="auto"/>
              </w:rPr>
            </w:pPr>
            <w:r>
              <w:rPr>
                <w:rFonts w:ascii="Arial" w:cs="Arial" w:eastAsia="Arial" w:hAnsi="Arial"/>
                <w:sz w:val="14"/>
                <w:szCs w:val="14"/>
                <w:color w:val="auto"/>
              </w:rPr>
              <w:t>100%</w:t>
            </w:r>
          </w:p>
        </w:tc>
        <w:tc>
          <w:tcPr>
            <w:tcW w:w="2540" w:type="dxa"/>
            <w:vAlign w:val="bottom"/>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0"/>
        </w:trPr>
        <w:tc>
          <w:tcPr>
            <w:tcW w:w="360" w:type="dxa"/>
            <w:vAlign w:val="bottom"/>
            <w:tcBorders>
              <w:top w:val="single" w:sz="8" w:color="CCECFF"/>
            </w:tcBorders>
          </w:tcPr>
          <w:p>
            <w:pPr>
              <w:spacing w:after="0" w:line="20" w:lineRule="exact"/>
              <w:rPr>
                <w:sz w:val="1"/>
                <w:szCs w:val="1"/>
                <w:color w:val="auto"/>
              </w:rPr>
            </w:pPr>
          </w:p>
        </w:tc>
        <w:tc>
          <w:tcPr>
            <w:tcW w:w="2580" w:type="dxa"/>
            <w:vAlign w:val="bottom"/>
            <w:tcBorders>
              <w:top w:val="single" w:sz="8" w:color="CCECFF"/>
            </w:tcBorders>
          </w:tcPr>
          <w:p>
            <w:pPr>
              <w:spacing w:after="0" w:line="20" w:lineRule="exact"/>
              <w:rPr>
                <w:sz w:val="1"/>
                <w:szCs w:val="1"/>
                <w:color w:val="auto"/>
              </w:rPr>
            </w:pPr>
          </w:p>
        </w:tc>
        <w:tc>
          <w:tcPr>
            <w:tcW w:w="2820" w:type="dxa"/>
            <w:vAlign w:val="bottom"/>
            <w:tcBorders>
              <w:top w:val="single" w:sz="8" w:color="CCECFF"/>
            </w:tcBorders>
          </w:tcPr>
          <w:p>
            <w:pPr>
              <w:spacing w:after="0" w:line="20" w:lineRule="exact"/>
              <w:rPr>
                <w:sz w:val="1"/>
                <w:szCs w:val="1"/>
                <w:color w:val="auto"/>
              </w:rPr>
            </w:pPr>
          </w:p>
        </w:tc>
        <w:tc>
          <w:tcPr>
            <w:tcW w:w="200" w:type="dxa"/>
            <w:vAlign w:val="bottom"/>
            <w:tcBorders>
              <w:top w:val="single" w:sz="8" w:color="CCECFF"/>
            </w:tcBorders>
          </w:tcPr>
          <w:p>
            <w:pPr>
              <w:spacing w:after="0" w:line="20" w:lineRule="exact"/>
              <w:rPr>
                <w:sz w:val="1"/>
                <w:szCs w:val="1"/>
                <w:color w:val="auto"/>
              </w:rPr>
            </w:pPr>
          </w:p>
        </w:tc>
        <w:tc>
          <w:tcPr>
            <w:tcW w:w="2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CFF"/>
            </w:tcBorders>
          </w:tcPr>
          <w:p>
            <w:pPr>
              <w:spacing w:after="0" w:line="20" w:lineRule="exact"/>
              <w:rPr>
                <w:sz w:val="1"/>
                <w:szCs w:val="1"/>
                <w:color w:val="auto"/>
              </w:rPr>
            </w:pPr>
          </w:p>
        </w:tc>
        <w:tc>
          <w:tcPr>
            <w:tcW w:w="2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C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60" w:type="dxa"/>
            <w:vAlign w:val="bottom"/>
            <w:tcBorders>
              <w:bottom w:val="single" w:sz="8" w:color="auto"/>
            </w:tcBorders>
          </w:tcPr>
          <w:p>
            <w:pPr>
              <w:spacing w:after="0"/>
              <w:rPr>
                <w:sz w:val="13"/>
                <w:szCs w:val="13"/>
                <w:color w:val="auto"/>
              </w:rPr>
            </w:pPr>
          </w:p>
        </w:tc>
        <w:tc>
          <w:tcPr>
            <w:tcW w:w="2580" w:type="dxa"/>
            <w:vAlign w:val="bottom"/>
            <w:tcBorders>
              <w:bottom w:val="single" w:sz="8" w:color="auto"/>
            </w:tcBorders>
          </w:tcPr>
          <w:p>
            <w:pPr>
              <w:spacing w:after="0"/>
              <w:rPr>
                <w:sz w:val="13"/>
                <w:szCs w:val="13"/>
                <w:color w:val="auto"/>
              </w:rPr>
            </w:pPr>
          </w:p>
        </w:tc>
        <w:tc>
          <w:tcPr>
            <w:tcW w:w="3020" w:type="dxa"/>
            <w:vAlign w:val="bottom"/>
            <w:gridSpan w:val="2"/>
            <w:vMerge w:val="restart"/>
          </w:tcPr>
          <w:p>
            <w:pPr>
              <w:spacing w:after="0"/>
              <w:rPr>
                <w:sz w:val="13"/>
                <w:szCs w:val="13"/>
                <w:color w:val="auto"/>
              </w:rPr>
            </w:pPr>
          </w:p>
        </w:tc>
        <w:tc>
          <w:tcPr>
            <w:tcW w:w="2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60" w:type="dxa"/>
            <w:vAlign w:val="bottom"/>
          </w:tcPr>
          <w:p>
            <w:pPr>
              <w:spacing w:after="0"/>
              <w:rPr>
                <w:sz w:val="20"/>
                <w:szCs w:val="20"/>
                <w:color w:val="auto"/>
              </w:rPr>
            </w:pPr>
            <w:r>
              <w:rPr>
                <w:rFonts w:ascii="Arial" w:cs="Arial" w:eastAsia="Arial" w:hAnsi="Arial"/>
                <w:sz w:val="12"/>
                <w:szCs w:val="12"/>
                <w:color w:val="auto"/>
              </w:rPr>
              <w:t>(1)</w:t>
            </w:r>
          </w:p>
        </w:tc>
        <w:tc>
          <w:tcPr>
            <w:tcW w:w="2580" w:type="dxa"/>
            <w:vAlign w:val="bottom"/>
          </w:tcPr>
          <w:p>
            <w:pPr>
              <w:ind w:left="20"/>
              <w:spacing w:after="0"/>
              <w:rPr>
                <w:sz w:val="20"/>
                <w:szCs w:val="20"/>
                <w:color w:val="auto"/>
              </w:rPr>
            </w:pPr>
            <w:r>
              <w:rPr>
                <w:rFonts w:ascii="Arial" w:cs="Arial" w:eastAsia="Arial" w:hAnsi="Arial"/>
                <w:sz w:val="14"/>
                <w:szCs w:val="14"/>
                <w:color w:val="auto"/>
              </w:rPr>
              <w:t>Excludes investments in PSSL.</w:t>
            </w:r>
          </w:p>
        </w:tc>
        <w:tc>
          <w:tcPr>
            <w:tcW w:w="3020" w:type="dxa"/>
            <w:vAlign w:val="bottom"/>
            <w:gridSpan w:val="2"/>
            <w:vMerge w:val="continue"/>
          </w:tcPr>
          <w:p>
            <w:pPr>
              <w:spacing w:after="0"/>
              <w:rPr>
                <w:sz w:val="15"/>
                <w:szCs w:val="15"/>
                <w:color w:val="auto"/>
              </w:rPr>
            </w:pPr>
          </w:p>
        </w:tc>
        <w:tc>
          <w:tcPr>
            <w:tcW w:w="2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PennantPark Senior Secured Loan Fund I LLC</w:t>
      </w:r>
    </w:p>
    <w:p>
      <w:pPr>
        <w:spacing w:after="0" w:line="140" w:lineRule="exact"/>
        <w:rPr>
          <w:sz w:val="20"/>
          <w:szCs w:val="20"/>
          <w:color w:val="auto"/>
        </w:rPr>
      </w:pPr>
    </w:p>
    <w:p>
      <w:pPr>
        <w:jc w:val="both"/>
        <w:ind w:right="260" w:firstLine="438"/>
        <w:spacing w:after="0" w:line="231" w:lineRule="auto"/>
        <w:rPr>
          <w:sz w:val="20"/>
          <w:szCs w:val="20"/>
          <w:color w:val="auto"/>
        </w:rPr>
      </w:pPr>
      <w:r>
        <w:rPr>
          <w:rFonts w:ascii="Arial" w:cs="Arial" w:eastAsia="Arial" w:hAnsi="Arial"/>
          <w:sz w:val="14"/>
          <w:szCs w:val="14"/>
          <w:color w:val="auto"/>
        </w:rPr>
        <w:t>In May 2017, we and Kemper formed PSSL, an unconsolidated joint venture. PSSL invests primarily in middle-market and other corporate debt securities consistent with our strategy. PSSL was formed as a Delaware limited liability company. As of June 30, 2018, PSSL had total assets of $355.7 million. As of the same date, we and Kemper had remaining commitments to fund first lien secured debt and equity interests in PSSL in an aggregate amount of $75.0 million. PSSL invests in portfolio companies in the same industries in which we may directly invest. During the three months ended March 31, 2018, the terms of our debt investment in PSSL were modified to eliminate the subordination provision and to grant us a security interest in certain assets of PSSL.</w:t>
      </w:r>
    </w:p>
    <w:p>
      <w:pPr>
        <w:spacing w:after="0" w:line="116" w:lineRule="exact"/>
        <w:rPr>
          <w:sz w:val="20"/>
          <w:szCs w:val="20"/>
          <w:color w:val="auto"/>
        </w:rPr>
      </w:pPr>
    </w:p>
    <w:p>
      <w:pPr>
        <w:ind w:right="120" w:firstLine="438"/>
        <w:spacing w:after="0" w:line="233" w:lineRule="auto"/>
        <w:rPr>
          <w:sz w:val="20"/>
          <w:szCs w:val="20"/>
          <w:color w:val="auto"/>
        </w:rPr>
      </w:pPr>
      <w:r>
        <w:rPr>
          <w:rFonts w:ascii="Arial" w:cs="Arial" w:eastAsia="Arial" w:hAnsi="Arial"/>
          <w:sz w:val="14"/>
          <w:szCs w:val="14"/>
          <w:color w:val="auto"/>
        </w:rPr>
        <w:t>We provide capital to PSSL in the form of first lien secured debt and equity interests. As of June 30, 2018, we and Kemper owned 87.5% and 12.5%, respectively, of each of the outstanding first lien secured debt and equity interests. As of the same date, our investment in PSSL consisted of first lien secured debt of $82.7 million and equity interests of $35.4 million. As of the same date, we had commitments to fund first lien secured debt to PSSL of $128.6 million, of which $45.9 million was unfunded. As of June 30, 2018, we had commitments to fund equity interests in PSSL of $55.1 million, of which $19.7 million was unfunded.</w:t>
      </w:r>
    </w:p>
    <w:p>
      <w:pPr>
        <w:spacing w:after="0" w:line="117" w:lineRule="exact"/>
        <w:rPr>
          <w:sz w:val="20"/>
          <w:szCs w:val="20"/>
          <w:color w:val="auto"/>
        </w:rPr>
      </w:pPr>
    </w:p>
    <w:p>
      <w:pPr>
        <w:ind w:right="120" w:firstLine="438"/>
        <w:spacing w:after="0" w:line="229" w:lineRule="auto"/>
        <w:rPr>
          <w:sz w:val="20"/>
          <w:szCs w:val="20"/>
          <w:color w:val="auto"/>
        </w:rPr>
      </w:pPr>
      <w:r>
        <w:rPr>
          <w:rFonts w:ascii="Arial" w:cs="Arial" w:eastAsia="Arial" w:hAnsi="Arial"/>
          <w:sz w:val="14"/>
          <w:szCs w:val="14"/>
          <w:color w:val="auto"/>
        </w:rPr>
        <w:t>We and Kemper each appointed two members to PSSL’s four person board of directors and investment committee. All material decisions with respect to PSSL, including those involving its investment portfolio, require unanimous approval of a quorum of the board of directors or investment committee. Quorum is defined as (i) the presence of two members of the board of directors or investment committee; provided that at least one individual is present that was elected, designated or appointed by each member; (ii) the presence of three members of the board of directors or investment committee, provided that the individual that was elected, designated or appointed by the member with only one individual present shall be entitled to cast two votes on each matter; and (iii) the presence of four members of the board of directors or investment committee shall constitute a quorum, provided that two individuals are present that were elected, designated or appointed by each member.</w:t>
      </w:r>
    </w:p>
    <w:p>
      <w:pPr>
        <w:spacing w:after="0" w:line="118" w:lineRule="exact"/>
        <w:rPr>
          <w:sz w:val="20"/>
          <w:szCs w:val="20"/>
          <w:color w:val="auto"/>
        </w:rPr>
      </w:pPr>
    </w:p>
    <w:p>
      <w:pPr>
        <w:jc w:val="both"/>
        <w:ind w:right="20" w:firstLine="438"/>
        <w:spacing w:after="0" w:line="238" w:lineRule="auto"/>
        <w:rPr>
          <w:sz w:val="20"/>
          <w:szCs w:val="20"/>
          <w:color w:val="auto"/>
        </w:rPr>
      </w:pPr>
      <w:r>
        <w:rPr>
          <w:rFonts w:ascii="Arial" w:cs="Arial" w:eastAsia="Arial" w:hAnsi="Arial"/>
          <w:sz w:val="14"/>
          <w:szCs w:val="14"/>
          <w:color w:val="auto"/>
        </w:rPr>
        <w:t>Additionally, PSSL has entered into a senior secured revolving credit facility, or the PSSL Credit Facility, with Capital One, N.A. through its wholly-owned subsidiary PennantPark Senior Secured Loan Facility LLC, or PSSL Subsidiary, which as of June 30, 2018 allowed PSSL Subsidiary to borrow up to $420 million at any one time outstanding, subject to leverage and borrowing base restrictions.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line="221" w:lineRule="auto"/>
        <w:rPr>
          <w:sz w:val="20"/>
          <w:szCs w:val="20"/>
          <w:color w:val="auto"/>
        </w:rPr>
      </w:pPr>
      <w:r>
        <w:rPr>
          <w:rFonts w:ascii="Arial" w:cs="Arial" w:eastAsia="Arial" w:hAnsi="Arial"/>
          <w:sz w:val="14"/>
          <w:szCs w:val="14"/>
          <w:b w:val="1"/>
          <w:bCs w:val="1"/>
          <w:color w:val="auto"/>
        </w:rPr>
        <w:t>JUNE 30, 2018</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000" w:type="dxa"/>
            <w:vAlign w:val="bottom"/>
            <w:gridSpan w:val="2"/>
          </w:tcPr>
          <w:p>
            <w:pPr>
              <w:ind w:left="440"/>
              <w:spacing w:after="0"/>
              <w:rPr>
                <w:sz w:val="20"/>
                <w:szCs w:val="20"/>
                <w:color w:val="auto"/>
              </w:rPr>
            </w:pPr>
            <w:r>
              <w:rPr>
                <w:rFonts w:ascii="Arial" w:cs="Arial" w:eastAsia="Arial" w:hAnsi="Arial"/>
                <w:sz w:val="14"/>
                <w:szCs w:val="14"/>
                <w:color w:val="auto"/>
              </w:rPr>
              <w:t>Below is a summary of PSSL’s portfolio at fair value:</w:t>
            </w:r>
          </w:p>
        </w:tc>
        <w:tc>
          <w:tcPr>
            <w:tcW w:w="2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3"/>
        </w:trPr>
        <w:tc>
          <w:tcPr>
            <w:tcW w:w="30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gridSpan w:val="3"/>
          </w:tcPr>
          <w:p>
            <w:pPr>
              <w:jc w:val="right"/>
              <w:ind w:right="113"/>
              <w:spacing w:after="0"/>
              <w:rPr>
                <w:sz w:val="20"/>
                <w:szCs w:val="20"/>
                <w:color w:val="auto"/>
              </w:rPr>
            </w:pPr>
            <w:r>
              <w:rPr>
                <w:rFonts w:ascii="Arial" w:cs="Arial" w:eastAsia="Arial" w:hAnsi="Arial"/>
                <w:sz w:val="14"/>
                <w:szCs w:val="14"/>
                <w:b w:val="1"/>
                <w:bCs w:val="1"/>
                <w:color w:val="auto"/>
                <w:w w:val="98"/>
              </w:rPr>
              <w:t>June 30, 2018</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w w:val="96"/>
              </w:rPr>
              <w:t>September 30, 2017</w:t>
            </w:r>
          </w:p>
        </w:tc>
        <w:tc>
          <w:tcPr>
            <w:tcW w:w="0" w:type="dxa"/>
            <w:vAlign w:val="bottom"/>
          </w:tcPr>
          <w:p>
            <w:pPr>
              <w:spacing w:after="0"/>
              <w:rPr>
                <w:sz w:val="1"/>
                <w:szCs w:val="1"/>
                <w:color w:val="auto"/>
              </w:rPr>
            </w:pPr>
          </w:p>
        </w:tc>
      </w:tr>
      <w:tr>
        <w:trPr>
          <w:trHeight w:val="156"/>
        </w:trPr>
        <w:tc>
          <w:tcPr>
            <w:tcW w:w="308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Total investments</w:t>
            </w:r>
          </w:p>
        </w:tc>
        <w:tc>
          <w:tcPr>
            <w:tcW w:w="920" w:type="dxa"/>
            <w:vAlign w:val="bottom"/>
            <w:tcBorders>
              <w:top w:val="single" w:sz="8" w:color="CCECFF"/>
            </w:tcBorders>
            <w:shd w:val="clear" w:color="auto" w:fill="CCECFF"/>
          </w:tcPr>
          <w:p>
            <w:pPr>
              <w:spacing w:after="0"/>
              <w:rPr>
                <w:sz w:val="13"/>
                <w:szCs w:val="13"/>
                <w:color w:val="auto"/>
              </w:rPr>
            </w:pPr>
          </w:p>
        </w:tc>
        <w:tc>
          <w:tcPr>
            <w:tcW w:w="252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CCECFF"/>
            </w:tcBorders>
            <w:shd w:val="clear" w:color="auto" w:fill="CCECFF"/>
          </w:tcPr>
          <w:p>
            <w:pPr>
              <w:spacing w:after="0"/>
              <w:rPr>
                <w:sz w:val="13"/>
                <w:szCs w:val="13"/>
                <w:color w:val="auto"/>
              </w:rPr>
            </w:pPr>
          </w:p>
        </w:tc>
        <w:tc>
          <w:tcPr>
            <w:tcW w:w="54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auto"/>
            </w:tcBorders>
            <w:shd w:val="clear" w:color="auto" w:fill="CCECFF"/>
          </w:tcPr>
          <w:p>
            <w:pPr>
              <w:jc w:val="right"/>
              <w:ind w:right="25"/>
              <w:spacing w:after="0"/>
              <w:rPr>
                <w:sz w:val="20"/>
                <w:szCs w:val="20"/>
                <w:color w:val="auto"/>
              </w:rPr>
            </w:pPr>
            <w:r>
              <w:rPr>
                <w:rFonts w:ascii="Arial" w:cs="Arial" w:eastAsia="Arial" w:hAnsi="Arial"/>
                <w:sz w:val="10"/>
                <w:szCs w:val="10"/>
                <w:color w:val="auto"/>
                <w:w w:val="71"/>
              </w:rPr>
              <w:t>$</w:t>
            </w:r>
          </w:p>
        </w:tc>
        <w:tc>
          <w:tcPr>
            <w:tcW w:w="240" w:type="dxa"/>
            <w:vAlign w:val="bottom"/>
            <w:tcBorders>
              <w:top w:val="single" w:sz="8" w:color="auto"/>
            </w:tcBorders>
            <w:shd w:val="clear" w:color="auto" w:fill="CCECFF"/>
          </w:tcPr>
          <w:p>
            <w:pPr>
              <w:spacing w:after="0"/>
              <w:rPr>
                <w:sz w:val="13"/>
                <w:szCs w:val="13"/>
                <w:color w:val="auto"/>
              </w:rPr>
            </w:pPr>
          </w:p>
        </w:tc>
        <w:tc>
          <w:tcPr>
            <w:tcW w:w="660" w:type="dxa"/>
            <w:vAlign w:val="bottom"/>
            <w:tcBorders>
              <w:top w:val="single" w:sz="8" w:color="auto"/>
            </w:tcBorders>
            <w:shd w:val="clear" w:color="auto" w:fill="CCECFF"/>
          </w:tcPr>
          <w:p>
            <w:pPr>
              <w:spacing w:after="0"/>
              <w:rPr>
                <w:sz w:val="13"/>
                <w:szCs w:val="13"/>
                <w:color w:val="auto"/>
              </w:rPr>
            </w:pPr>
          </w:p>
        </w:tc>
        <w:tc>
          <w:tcPr>
            <w:tcW w:w="760" w:type="dxa"/>
            <w:vAlign w:val="bottom"/>
            <w:tcBorders>
              <w:top w:val="single" w:sz="8" w:color="auto"/>
            </w:tcBorders>
            <w:gridSpan w:val="3"/>
            <w:shd w:val="clear" w:color="auto" w:fill="CCECFF"/>
          </w:tcPr>
          <w:p>
            <w:pPr>
              <w:jc w:val="right"/>
              <w:spacing w:after="0" w:line="155" w:lineRule="exact"/>
              <w:rPr>
                <w:sz w:val="20"/>
                <w:szCs w:val="20"/>
                <w:color w:val="auto"/>
              </w:rPr>
            </w:pPr>
            <w:r>
              <w:rPr>
                <w:rFonts w:ascii="Arial" w:cs="Arial" w:eastAsia="Arial" w:hAnsi="Arial"/>
                <w:sz w:val="14"/>
                <w:szCs w:val="14"/>
                <w:color w:val="auto"/>
                <w:w w:val="92"/>
              </w:rPr>
              <w:t>346,936,205</w:t>
            </w:r>
          </w:p>
        </w:tc>
        <w:tc>
          <w:tcPr>
            <w:tcW w:w="22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80" w:type="dxa"/>
            <w:vAlign w:val="bottom"/>
            <w:tcBorders>
              <w:top w:val="single" w:sz="8" w:color="auto"/>
            </w:tcBorders>
            <w:shd w:val="clear" w:color="auto" w:fill="CCECFF"/>
          </w:tcPr>
          <w:p>
            <w:pPr>
              <w:spacing w:after="0"/>
              <w:rPr>
                <w:sz w:val="13"/>
                <w:szCs w:val="13"/>
                <w:color w:val="auto"/>
              </w:rPr>
            </w:pPr>
          </w:p>
        </w:tc>
        <w:tc>
          <w:tcPr>
            <w:tcW w:w="620" w:type="dxa"/>
            <w:vAlign w:val="bottom"/>
            <w:tcBorders>
              <w:top w:val="single" w:sz="8" w:color="auto"/>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spacing w:after="0"/>
              <w:rPr>
                <w:sz w:val="13"/>
                <w:szCs w:val="13"/>
                <w:color w:val="auto"/>
              </w:rPr>
            </w:pPr>
          </w:p>
        </w:tc>
        <w:tc>
          <w:tcPr>
            <w:tcW w:w="60" w:type="dxa"/>
            <w:vAlign w:val="bottom"/>
            <w:tcBorders>
              <w:top w:val="single" w:sz="8" w:color="auto"/>
            </w:tcBorders>
            <w:shd w:val="clear" w:color="auto" w:fill="CCECFF"/>
          </w:tcPr>
          <w:p>
            <w:pPr>
              <w:spacing w:after="0"/>
              <w:rPr>
                <w:sz w:val="13"/>
                <w:szCs w:val="13"/>
                <w:color w:val="auto"/>
              </w:rPr>
            </w:pPr>
          </w:p>
        </w:tc>
        <w:tc>
          <w:tcPr>
            <w:tcW w:w="6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91"/>
              </w:rPr>
              <w:t>99,994,314</w:t>
            </w:r>
          </w:p>
        </w:tc>
        <w:tc>
          <w:tcPr>
            <w:tcW w:w="4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000" w:type="dxa"/>
            <w:vAlign w:val="bottom"/>
            <w:gridSpan w:val="2"/>
          </w:tcPr>
          <w:p>
            <w:pPr>
              <w:spacing w:after="0"/>
              <w:rPr>
                <w:sz w:val="20"/>
                <w:szCs w:val="20"/>
                <w:color w:val="auto"/>
              </w:rPr>
            </w:pPr>
            <w:r>
              <w:rPr>
                <w:rFonts w:ascii="Arial" w:cs="Arial" w:eastAsia="Arial" w:hAnsi="Arial"/>
                <w:sz w:val="14"/>
                <w:szCs w:val="14"/>
                <w:color w:val="auto"/>
              </w:rPr>
              <w:t>Weighted average cost yield on income producing investments</w:t>
            </w:r>
          </w:p>
        </w:tc>
        <w:tc>
          <w:tcPr>
            <w:tcW w:w="2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rPr>
              <w:t>7.7%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3"/>
          </w:tcPr>
          <w:p>
            <w:pPr>
              <w:jc w:val="right"/>
              <w:ind w:right="20"/>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62"/>
        </w:trPr>
        <w:tc>
          <w:tcPr>
            <w:tcW w:w="3080" w:type="dxa"/>
            <w:vAlign w:val="bottom"/>
            <w:shd w:val="clear" w:color="auto" w:fill="CCECFF"/>
          </w:tcPr>
          <w:p>
            <w:pPr>
              <w:spacing w:after="0"/>
              <w:rPr>
                <w:sz w:val="20"/>
                <w:szCs w:val="20"/>
                <w:color w:val="auto"/>
              </w:rPr>
            </w:pPr>
            <w:r>
              <w:rPr>
                <w:rFonts w:ascii="Arial" w:cs="Arial" w:eastAsia="Arial" w:hAnsi="Arial"/>
                <w:sz w:val="14"/>
                <w:szCs w:val="14"/>
                <w:color w:val="auto"/>
              </w:rPr>
              <w:t>Number of portfolio companies in PSSL</w:t>
            </w:r>
          </w:p>
        </w:tc>
        <w:tc>
          <w:tcPr>
            <w:tcW w:w="920" w:type="dxa"/>
            <w:vAlign w:val="bottom"/>
            <w:shd w:val="clear" w:color="auto" w:fill="CCECFF"/>
          </w:tcPr>
          <w:p>
            <w:pPr>
              <w:spacing w:after="0"/>
              <w:rPr>
                <w:sz w:val="14"/>
                <w:szCs w:val="14"/>
                <w:color w:val="auto"/>
              </w:rPr>
            </w:pPr>
          </w:p>
        </w:tc>
        <w:tc>
          <w:tcPr>
            <w:tcW w:w="25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54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66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3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38</w:t>
            </w:r>
          </w:p>
        </w:tc>
        <w:tc>
          <w:tcPr>
            <w:tcW w:w="2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6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18</w:t>
            </w:r>
          </w:p>
        </w:tc>
        <w:tc>
          <w:tcPr>
            <w:tcW w:w="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80" w:type="dxa"/>
            <w:vAlign w:val="bottom"/>
          </w:tcPr>
          <w:p>
            <w:pPr>
              <w:spacing w:after="0"/>
              <w:rPr>
                <w:sz w:val="20"/>
                <w:szCs w:val="20"/>
                <w:color w:val="auto"/>
              </w:rPr>
            </w:pPr>
            <w:r>
              <w:rPr>
                <w:rFonts w:ascii="Arial" w:cs="Arial" w:eastAsia="Arial" w:hAnsi="Arial"/>
                <w:sz w:val="14"/>
                <w:szCs w:val="14"/>
                <w:color w:val="auto"/>
              </w:rPr>
              <w:t>Largest portfolio company investment</w:t>
            </w:r>
          </w:p>
        </w:tc>
        <w:tc>
          <w:tcPr>
            <w:tcW w:w="9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25"/>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gridSpan w:val="3"/>
          </w:tcPr>
          <w:p>
            <w:pPr>
              <w:jc w:val="right"/>
              <w:spacing w:after="0"/>
              <w:rPr>
                <w:sz w:val="20"/>
                <w:szCs w:val="20"/>
                <w:color w:val="auto"/>
              </w:rPr>
            </w:pPr>
            <w:r>
              <w:rPr>
                <w:rFonts w:ascii="Arial" w:cs="Arial" w:eastAsia="Arial" w:hAnsi="Arial"/>
                <w:sz w:val="14"/>
                <w:szCs w:val="14"/>
                <w:color w:val="auto"/>
              </w:rPr>
              <w:t>19,800,000</w:t>
            </w:r>
          </w:p>
        </w:tc>
        <w:tc>
          <w:tcPr>
            <w:tcW w:w="220" w:type="dxa"/>
            <w:vAlign w:val="bottom"/>
          </w:tcPr>
          <w:p>
            <w:pPr>
              <w:spacing w:after="0"/>
              <w:rPr>
                <w:sz w:val="14"/>
                <w:szCs w:val="14"/>
                <w:color w:val="auto"/>
              </w:rPr>
            </w:pP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8,080,000</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80" w:type="dxa"/>
            <w:vAlign w:val="bottom"/>
            <w:shd w:val="clear" w:color="auto" w:fill="CCECFF"/>
          </w:tcPr>
          <w:p>
            <w:pPr>
              <w:spacing w:after="0"/>
              <w:rPr>
                <w:sz w:val="20"/>
                <w:szCs w:val="20"/>
                <w:color w:val="auto"/>
              </w:rPr>
            </w:pPr>
            <w:r>
              <w:rPr>
                <w:rFonts w:ascii="Arial" w:cs="Arial" w:eastAsia="Arial" w:hAnsi="Arial"/>
                <w:sz w:val="14"/>
                <w:szCs w:val="14"/>
                <w:color w:val="auto"/>
                <w:w w:val="98"/>
              </w:rPr>
              <w:t>Total of five largest portfolio company investments</w:t>
            </w:r>
          </w:p>
        </w:tc>
        <w:tc>
          <w:tcPr>
            <w:tcW w:w="920" w:type="dxa"/>
            <w:vAlign w:val="bottom"/>
            <w:shd w:val="clear" w:color="auto" w:fill="CCECFF"/>
          </w:tcPr>
          <w:p>
            <w:pPr>
              <w:spacing w:after="0"/>
              <w:rPr>
                <w:sz w:val="14"/>
                <w:szCs w:val="14"/>
                <w:color w:val="auto"/>
              </w:rPr>
            </w:pPr>
          </w:p>
        </w:tc>
        <w:tc>
          <w:tcPr>
            <w:tcW w:w="25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680" w:type="dxa"/>
            <w:vAlign w:val="bottom"/>
            <w:gridSpan w:val="2"/>
            <w:shd w:val="clear" w:color="auto" w:fill="CCECFF"/>
          </w:tcPr>
          <w:p>
            <w:pPr>
              <w:jc w:val="right"/>
              <w:ind w:right="25"/>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CFF"/>
          </w:tcPr>
          <w:p>
            <w:pPr>
              <w:spacing w:after="0"/>
              <w:rPr>
                <w:sz w:val="14"/>
                <w:szCs w:val="14"/>
                <w:color w:val="auto"/>
              </w:rPr>
            </w:pPr>
          </w:p>
        </w:tc>
        <w:tc>
          <w:tcPr>
            <w:tcW w:w="660" w:type="dxa"/>
            <w:vAlign w:val="bottom"/>
            <w:shd w:val="clear" w:color="auto" w:fill="CCECFF"/>
          </w:tcPr>
          <w:p>
            <w:pPr>
              <w:spacing w:after="0"/>
              <w:rPr>
                <w:sz w:val="14"/>
                <w:szCs w:val="14"/>
                <w:color w:val="auto"/>
              </w:rPr>
            </w:pPr>
          </w:p>
        </w:tc>
        <w:tc>
          <w:tcPr>
            <w:tcW w:w="760" w:type="dxa"/>
            <w:vAlign w:val="bottom"/>
            <w:gridSpan w:val="3"/>
            <w:shd w:val="clear" w:color="auto" w:fill="CCECFF"/>
          </w:tcPr>
          <w:p>
            <w:pPr>
              <w:jc w:val="right"/>
              <w:spacing w:after="0"/>
              <w:rPr>
                <w:sz w:val="20"/>
                <w:szCs w:val="20"/>
                <w:color w:val="auto"/>
              </w:rPr>
            </w:pPr>
            <w:r>
              <w:rPr>
                <w:rFonts w:ascii="Arial" w:cs="Arial" w:eastAsia="Arial" w:hAnsi="Arial"/>
                <w:sz w:val="14"/>
                <w:szCs w:val="14"/>
                <w:color w:val="auto"/>
              </w:rPr>
              <w:t>82,467,000</w:t>
            </w:r>
          </w:p>
        </w:tc>
        <w:tc>
          <w:tcPr>
            <w:tcW w:w="220" w:type="dxa"/>
            <w:vAlign w:val="bottom"/>
            <w:shd w:val="clear" w:color="auto" w:fill="CCECFF"/>
          </w:tcPr>
          <w:p>
            <w:pPr>
              <w:spacing w:after="0"/>
              <w:rPr>
                <w:sz w:val="14"/>
                <w:szCs w:val="14"/>
                <w:color w:val="auto"/>
              </w:rPr>
            </w:pPr>
          </w:p>
        </w:tc>
        <w:tc>
          <w:tcPr>
            <w:tcW w:w="24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CFF"/>
          </w:tcPr>
          <w:p>
            <w:pPr>
              <w:spacing w:after="0"/>
              <w:rPr>
                <w:sz w:val="14"/>
                <w:szCs w:val="14"/>
                <w:color w:val="auto"/>
              </w:rPr>
            </w:pPr>
          </w:p>
        </w:tc>
        <w:tc>
          <w:tcPr>
            <w:tcW w:w="6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4"/>
                <w:szCs w:val="14"/>
                <w:color w:val="auto"/>
                <w:w w:val="91"/>
              </w:rPr>
              <w:t>34,935,330</w:t>
            </w:r>
          </w:p>
        </w:tc>
        <w:tc>
          <w:tcPr>
            <w:tcW w:w="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640" w:type="dxa"/>
            <w:vAlign w:val="bottom"/>
            <w:gridSpan w:val="4"/>
          </w:tcPr>
          <w:p>
            <w:pPr>
              <w:ind w:left="440"/>
              <w:spacing w:after="0"/>
              <w:rPr>
                <w:sz w:val="20"/>
                <w:szCs w:val="20"/>
                <w:color w:val="auto"/>
              </w:rPr>
            </w:pPr>
            <w:r>
              <w:rPr>
                <w:rFonts w:ascii="Arial" w:cs="Arial" w:eastAsia="Arial" w:hAnsi="Arial"/>
                <w:sz w:val="14"/>
                <w:szCs w:val="14"/>
                <w:color w:val="auto"/>
              </w:rPr>
              <w:t>Below is a listing of PSSL’s individual investments as of June 30, 2018:</w:t>
            </w: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30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56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5"/>
              </w:rPr>
              <w:t>PennantPark Senior Secured Loan Fund I LLC</w:t>
            </w: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0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40" w:type="dxa"/>
            <w:vAlign w:val="bottom"/>
            <w:gridSpan w:val="2"/>
          </w:tcPr>
          <w:p>
            <w:pPr>
              <w:jc w:val="center"/>
              <w:ind w:left="420"/>
              <w:spacing w:after="0"/>
              <w:rPr>
                <w:sz w:val="20"/>
                <w:szCs w:val="20"/>
                <w:color w:val="auto"/>
              </w:rPr>
            </w:pPr>
            <w:r>
              <w:rPr>
                <w:rFonts w:ascii="Arial" w:cs="Arial" w:eastAsia="Arial" w:hAnsi="Arial"/>
                <w:sz w:val="14"/>
                <w:szCs w:val="14"/>
                <w:b w:val="1"/>
                <w:bCs w:val="1"/>
                <w:color w:val="auto"/>
                <w:w w:val="89"/>
              </w:rPr>
              <w:t>Schedule of Investments</w:t>
            </w: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40" w:type="dxa"/>
            <w:vAlign w:val="bottom"/>
            <w:gridSpan w:val="2"/>
          </w:tcPr>
          <w:p>
            <w:pPr>
              <w:jc w:val="center"/>
              <w:ind w:left="420"/>
              <w:spacing w:after="0"/>
              <w:rPr>
                <w:sz w:val="20"/>
                <w:szCs w:val="20"/>
                <w:color w:val="auto"/>
              </w:rPr>
            </w:pPr>
            <w:r>
              <w:rPr>
                <w:rFonts w:ascii="Arial" w:cs="Arial" w:eastAsia="Arial" w:hAnsi="Arial"/>
                <w:sz w:val="14"/>
                <w:szCs w:val="14"/>
                <w:b w:val="1"/>
                <w:bCs w:val="1"/>
                <w:color w:val="auto"/>
                <w:w w:val="92"/>
              </w:rPr>
              <w:t>June 30, 2018</w:t>
            </w: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0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40" w:type="dxa"/>
            <w:vAlign w:val="bottom"/>
            <w:gridSpan w:val="2"/>
          </w:tcPr>
          <w:p>
            <w:pPr>
              <w:jc w:val="center"/>
              <w:ind w:left="440"/>
              <w:spacing w:after="0"/>
              <w:rPr>
                <w:sz w:val="20"/>
                <w:szCs w:val="20"/>
                <w:color w:val="auto"/>
              </w:rPr>
            </w:pPr>
            <w:r>
              <w:rPr>
                <w:rFonts w:ascii="Arial" w:cs="Arial" w:eastAsia="Arial" w:hAnsi="Arial"/>
                <w:sz w:val="14"/>
                <w:szCs w:val="14"/>
                <w:b w:val="1"/>
                <w:bCs w:val="1"/>
                <w:color w:val="auto"/>
                <w:w w:val="95"/>
              </w:rPr>
              <w:t>(Unaudited)</w:t>
            </w: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4"/>
        </w:trPr>
        <w:tc>
          <w:tcPr>
            <w:tcW w:w="30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jc w:val="center"/>
              <w:spacing w:after="0"/>
              <w:rPr>
                <w:sz w:val="20"/>
                <w:szCs w:val="20"/>
                <w:color w:val="auto"/>
              </w:rPr>
            </w:pPr>
            <w:r>
              <w:rPr>
                <w:rFonts w:ascii="Arial" w:cs="Arial" w:eastAsia="Arial" w:hAnsi="Arial"/>
                <w:sz w:val="12"/>
                <w:szCs w:val="12"/>
                <w:b w:val="1"/>
                <w:bCs w:val="1"/>
                <w:color w:val="auto"/>
                <w:w w:val="85"/>
              </w:rPr>
              <w:t>Basis Point</w:t>
            </w: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30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8"/>
              </w:rPr>
              <w:t>Spread</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3"/>
          </w:tcPr>
          <w:p>
            <w:pPr>
              <w:jc w:val="right"/>
              <w:ind w:right="380"/>
              <w:spacing w:after="0" w:line="135" w:lineRule="exact"/>
              <w:rPr>
                <w:sz w:val="20"/>
                <w:szCs w:val="20"/>
                <w:color w:val="auto"/>
              </w:rPr>
            </w:pPr>
            <w:r>
              <w:rPr>
                <w:rFonts w:ascii="Arial" w:cs="Arial" w:eastAsia="Arial" w:hAnsi="Arial"/>
                <w:sz w:val="12"/>
                <w:szCs w:val="12"/>
                <w:b w:val="1"/>
                <w:bCs w:val="1"/>
                <w:color w:val="auto"/>
              </w:rPr>
              <w:t>Current</w:t>
            </w:r>
          </w:p>
        </w:tc>
        <w:tc>
          <w:tcPr>
            <w:tcW w:w="6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7"/>
              </w:rPr>
              <w:t>Above</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3080" w:type="dxa"/>
            <w:vAlign w:val="bottom"/>
          </w:tcPr>
          <w:p>
            <w:pPr>
              <w:spacing w:after="0"/>
              <w:rPr>
                <w:sz w:val="20"/>
                <w:szCs w:val="20"/>
                <w:color w:val="auto"/>
              </w:rPr>
            </w:pPr>
            <w:r>
              <w:rPr>
                <w:rFonts w:ascii="Arial" w:cs="Arial" w:eastAsia="Arial" w:hAnsi="Arial"/>
                <w:sz w:val="12"/>
                <w:szCs w:val="12"/>
                <w:b w:val="1"/>
                <w:bCs w:val="1"/>
                <w:color w:val="auto"/>
              </w:rPr>
              <w:t>Issuer Name</w:t>
            </w:r>
          </w:p>
        </w:tc>
        <w:tc>
          <w:tcPr>
            <w:tcW w:w="920" w:type="dxa"/>
            <w:vAlign w:val="bottom"/>
          </w:tcPr>
          <w:p>
            <w:pPr>
              <w:jc w:val="center"/>
              <w:ind w:right="122"/>
              <w:spacing w:after="0"/>
              <w:rPr>
                <w:sz w:val="20"/>
                <w:szCs w:val="20"/>
                <w:color w:val="auto"/>
              </w:rPr>
            </w:pPr>
            <w:r>
              <w:rPr>
                <w:rFonts w:ascii="Arial" w:cs="Arial" w:eastAsia="Arial" w:hAnsi="Arial"/>
                <w:sz w:val="12"/>
                <w:szCs w:val="12"/>
                <w:b w:val="1"/>
                <w:bCs w:val="1"/>
                <w:color w:val="auto"/>
                <w:w w:val="98"/>
              </w:rPr>
              <w:t>Maturity</w:t>
            </w:r>
          </w:p>
        </w:tc>
        <w:tc>
          <w:tcPr>
            <w:tcW w:w="26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2"/>
              </w:rPr>
              <w:t>Industry</w:t>
            </w:r>
          </w:p>
        </w:tc>
        <w:tc>
          <w:tcPr>
            <w:tcW w:w="920" w:type="dxa"/>
            <w:vAlign w:val="bottom"/>
            <w:gridSpan w:val="3"/>
          </w:tcPr>
          <w:p>
            <w:pPr>
              <w:jc w:val="right"/>
              <w:ind w:right="380"/>
              <w:spacing w:after="0"/>
              <w:rPr>
                <w:sz w:val="20"/>
                <w:szCs w:val="20"/>
                <w:color w:val="auto"/>
              </w:rPr>
            </w:pPr>
            <w:r>
              <w:rPr>
                <w:rFonts w:ascii="Arial" w:cs="Arial" w:eastAsia="Arial" w:hAnsi="Arial"/>
                <w:sz w:val="12"/>
                <w:szCs w:val="12"/>
                <w:b w:val="1"/>
                <w:bCs w:val="1"/>
                <w:color w:val="auto"/>
              </w:rPr>
              <w:t>Coupon</w:t>
            </w:r>
          </w:p>
        </w:tc>
        <w:tc>
          <w:tcPr>
            <w:tcW w:w="660" w:type="dxa"/>
            <w:vAlign w:val="bottom"/>
          </w:tcPr>
          <w:p>
            <w:pPr>
              <w:jc w:val="center"/>
              <w:spacing w:after="0"/>
              <w:rPr>
                <w:sz w:val="20"/>
                <w:szCs w:val="20"/>
                <w:color w:val="auto"/>
              </w:rPr>
            </w:pPr>
            <w:r>
              <w:rPr>
                <w:rFonts w:ascii="Arial" w:cs="Arial" w:eastAsia="Arial" w:hAnsi="Arial"/>
                <w:sz w:val="12"/>
                <w:szCs w:val="12"/>
                <w:b w:val="1"/>
                <w:bCs w:val="1"/>
                <w:color w:val="auto"/>
                <w:w w:val="96"/>
              </w:rPr>
              <w:t xml:space="preserve">Index </w:t>
            </w:r>
            <w:r>
              <w:rPr>
                <w:rFonts w:ascii="Arial" w:cs="Arial" w:eastAsia="Arial" w:hAnsi="Arial"/>
                <w:sz w:val="9"/>
                <w:szCs w:val="9"/>
                <w:b w:val="1"/>
                <w:bCs w:val="1"/>
                <w:color w:val="auto"/>
                <w:w w:val="96"/>
              </w:rPr>
              <w:t>(1)</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Par</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Cost</w:t>
            </w:r>
          </w:p>
        </w:tc>
        <w:tc>
          <w:tcPr>
            <w:tcW w:w="860" w:type="dxa"/>
            <w:vAlign w:val="bottom"/>
            <w:gridSpan w:val="4"/>
          </w:tcPr>
          <w:p>
            <w:pPr>
              <w:jc w:val="right"/>
              <w:ind w:right="160"/>
              <w:spacing w:after="0"/>
              <w:rPr>
                <w:sz w:val="20"/>
                <w:szCs w:val="20"/>
                <w:color w:val="auto"/>
              </w:rPr>
            </w:pPr>
            <w:r>
              <w:rPr>
                <w:rFonts w:ascii="Arial" w:cs="Arial" w:eastAsia="Arial" w:hAnsi="Arial"/>
                <w:sz w:val="12"/>
                <w:szCs w:val="12"/>
                <w:b w:val="1"/>
                <w:bCs w:val="1"/>
                <w:color w:val="auto"/>
                <w:w w:val="94"/>
              </w:rPr>
              <w:t xml:space="preserve">Fair Value </w:t>
            </w:r>
            <w:r>
              <w:rPr>
                <w:rFonts w:ascii="Arial" w:cs="Arial" w:eastAsia="Arial" w:hAnsi="Arial"/>
                <w:sz w:val="9"/>
                <w:szCs w:val="9"/>
                <w:b w:val="1"/>
                <w:bCs w:val="1"/>
                <w:color w:val="auto"/>
                <w:w w:val="94"/>
              </w:rPr>
              <w:t>(2)</w:t>
            </w:r>
          </w:p>
        </w:tc>
        <w:tc>
          <w:tcPr>
            <w:tcW w:w="0" w:type="dxa"/>
            <w:vAlign w:val="bottom"/>
          </w:tcPr>
          <w:p>
            <w:pPr>
              <w:spacing w:after="0"/>
              <w:rPr>
                <w:sz w:val="1"/>
                <w:szCs w:val="1"/>
                <w:color w:val="auto"/>
              </w:rPr>
            </w:pPr>
          </w:p>
        </w:tc>
      </w:tr>
      <w:tr>
        <w:trPr>
          <w:trHeight w:val="142"/>
        </w:trPr>
        <w:tc>
          <w:tcPr>
            <w:tcW w:w="4000" w:type="dxa"/>
            <w:vAlign w:val="bottom"/>
            <w:tcBorders>
              <w:top w:val="single" w:sz="8" w:color="auto"/>
            </w:tcBorders>
            <w:gridSpan w:val="2"/>
            <w:shd w:val="clear" w:color="auto" w:fill="CCECFF"/>
          </w:tcPr>
          <w:p>
            <w:pPr>
              <w:spacing w:after="0"/>
              <w:rPr>
                <w:sz w:val="20"/>
                <w:szCs w:val="20"/>
                <w:color w:val="auto"/>
              </w:rPr>
            </w:pPr>
            <w:r>
              <w:rPr>
                <w:rFonts w:ascii="Arial" w:cs="Arial" w:eastAsia="Arial" w:hAnsi="Arial"/>
                <w:sz w:val="12"/>
                <w:szCs w:val="12"/>
                <w:b w:val="1"/>
                <w:bCs w:val="1"/>
                <w:color w:val="auto"/>
                <w:w w:val="91"/>
              </w:rPr>
              <w:t>Investments in Non-Controlled, Non-Affiliated Portfolio Companies—822.7%</w:t>
            </w:r>
          </w:p>
        </w:tc>
        <w:tc>
          <w:tcPr>
            <w:tcW w:w="2520" w:type="dxa"/>
            <w:vAlign w:val="bottom"/>
            <w:tcBorders>
              <w:top w:val="single" w:sz="8" w:color="auto"/>
            </w:tcBorders>
            <w:shd w:val="clear" w:color="auto" w:fill="CCECFF"/>
          </w:tcPr>
          <w:p>
            <w:pPr>
              <w:spacing w:after="0"/>
              <w:rPr>
                <w:sz w:val="12"/>
                <w:szCs w:val="12"/>
                <w:color w:val="auto"/>
              </w:rPr>
            </w:pPr>
          </w:p>
        </w:tc>
        <w:tc>
          <w:tcPr>
            <w:tcW w:w="120" w:type="dxa"/>
            <w:vAlign w:val="bottom"/>
            <w:tcBorders>
              <w:top w:val="single" w:sz="8" w:color="CCECFF"/>
            </w:tcBorders>
            <w:shd w:val="clear" w:color="auto" w:fill="CCECFF"/>
          </w:tcPr>
          <w:p>
            <w:pPr>
              <w:spacing w:after="0"/>
              <w:rPr>
                <w:sz w:val="12"/>
                <w:szCs w:val="12"/>
                <w:color w:val="auto"/>
              </w:rPr>
            </w:pPr>
          </w:p>
        </w:tc>
        <w:tc>
          <w:tcPr>
            <w:tcW w:w="540" w:type="dxa"/>
            <w:vAlign w:val="bottom"/>
            <w:tcBorders>
              <w:top w:val="single" w:sz="8" w:color="auto"/>
            </w:tcBorders>
            <w:shd w:val="clear" w:color="auto" w:fill="CCECFF"/>
          </w:tcPr>
          <w:p>
            <w:pPr>
              <w:spacing w:after="0"/>
              <w:rPr>
                <w:sz w:val="12"/>
                <w:szCs w:val="12"/>
                <w:color w:val="auto"/>
              </w:rPr>
            </w:pPr>
          </w:p>
        </w:tc>
        <w:tc>
          <w:tcPr>
            <w:tcW w:w="14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660" w:type="dxa"/>
            <w:vAlign w:val="bottom"/>
            <w:tcBorders>
              <w:top w:val="single" w:sz="8" w:color="auto"/>
            </w:tcBorders>
            <w:shd w:val="clear" w:color="auto" w:fill="CCECFF"/>
          </w:tcPr>
          <w:p>
            <w:pPr>
              <w:spacing w:after="0"/>
              <w:rPr>
                <w:sz w:val="12"/>
                <w:szCs w:val="12"/>
                <w:color w:val="auto"/>
              </w:rPr>
            </w:pPr>
          </w:p>
        </w:tc>
        <w:tc>
          <w:tcPr>
            <w:tcW w:w="320" w:type="dxa"/>
            <w:vAlign w:val="bottom"/>
            <w:tcBorders>
              <w:top w:val="single" w:sz="8" w:color="CCECFF"/>
            </w:tcBorders>
            <w:shd w:val="clear" w:color="auto" w:fill="CCECFF"/>
          </w:tcPr>
          <w:p>
            <w:pPr>
              <w:spacing w:after="0"/>
              <w:rPr>
                <w:sz w:val="12"/>
                <w:szCs w:val="12"/>
                <w:color w:val="auto"/>
              </w:rPr>
            </w:pPr>
          </w:p>
        </w:tc>
        <w:tc>
          <w:tcPr>
            <w:tcW w:w="100" w:type="dxa"/>
            <w:vAlign w:val="bottom"/>
            <w:tcBorders>
              <w:top w:val="single" w:sz="8" w:color="auto"/>
            </w:tcBorders>
            <w:shd w:val="clear" w:color="auto" w:fill="CCECFF"/>
          </w:tcPr>
          <w:p>
            <w:pPr>
              <w:spacing w:after="0"/>
              <w:rPr>
                <w:sz w:val="12"/>
                <w:szCs w:val="12"/>
                <w:color w:val="auto"/>
              </w:rPr>
            </w:pPr>
          </w:p>
        </w:tc>
        <w:tc>
          <w:tcPr>
            <w:tcW w:w="340" w:type="dxa"/>
            <w:vAlign w:val="bottom"/>
            <w:tcBorders>
              <w:top w:val="single" w:sz="8" w:color="auto"/>
            </w:tcBorders>
            <w:shd w:val="clear" w:color="auto" w:fill="CCECFF"/>
          </w:tcPr>
          <w:p>
            <w:pPr>
              <w:spacing w:after="0"/>
              <w:rPr>
                <w:sz w:val="12"/>
                <w:szCs w:val="12"/>
                <w:color w:val="auto"/>
              </w:rPr>
            </w:pPr>
          </w:p>
        </w:tc>
        <w:tc>
          <w:tcPr>
            <w:tcW w:w="220" w:type="dxa"/>
            <w:vAlign w:val="bottom"/>
            <w:tcBorders>
              <w:top w:val="single" w:sz="8" w:color="auto"/>
            </w:tcBorders>
            <w:shd w:val="clear" w:color="auto" w:fill="CCECFF"/>
          </w:tcPr>
          <w:p>
            <w:pPr>
              <w:spacing w:after="0"/>
              <w:rPr>
                <w:sz w:val="12"/>
                <w:szCs w:val="12"/>
                <w:color w:val="auto"/>
              </w:rPr>
            </w:pPr>
          </w:p>
        </w:tc>
        <w:tc>
          <w:tcPr>
            <w:tcW w:w="100" w:type="dxa"/>
            <w:vAlign w:val="bottom"/>
            <w:tcBorders>
              <w:top w:val="single" w:sz="8" w:color="CCECFF"/>
            </w:tcBorders>
            <w:shd w:val="clear" w:color="auto" w:fill="CCECFF"/>
          </w:tcPr>
          <w:p>
            <w:pPr>
              <w:spacing w:after="0"/>
              <w:rPr>
                <w:sz w:val="12"/>
                <w:szCs w:val="12"/>
                <w:color w:val="auto"/>
              </w:rPr>
            </w:pPr>
          </w:p>
        </w:tc>
        <w:tc>
          <w:tcPr>
            <w:tcW w:w="14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tcBorders>
            <w:shd w:val="clear" w:color="auto" w:fill="CCECFF"/>
          </w:tcPr>
          <w:p>
            <w:pPr>
              <w:spacing w:after="0"/>
              <w:rPr>
                <w:sz w:val="12"/>
                <w:szCs w:val="12"/>
                <w:color w:val="auto"/>
              </w:rPr>
            </w:pPr>
          </w:p>
        </w:tc>
        <w:tc>
          <w:tcPr>
            <w:tcW w:w="62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60" w:type="dxa"/>
            <w:vAlign w:val="bottom"/>
            <w:tcBorders>
              <w:top w:val="single" w:sz="8" w:color="auto"/>
            </w:tcBorders>
            <w:shd w:val="clear" w:color="auto" w:fill="CCECFF"/>
          </w:tcPr>
          <w:p>
            <w:pPr>
              <w:spacing w:after="0"/>
              <w:rPr>
                <w:sz w:val="12"/>
                <w:szCs w:val="12"/>
                <w:color w:val="auto"/>
              </w:rPr>
            </w:pPr>
          </w:p>
        </w:tc>
        <w:tc>
          <w:tcPr>
            <w:tcW w:w="660" w:type="dxa"/>
            <w:vAlign w:val="bottom"/>
            <w:tcBorders>
              <w:top w:val="single" w:sz="8" w:color="auto"/>
            </w:tcBorders>
            <w:shd w:val="clear" w:color="auto" w:fill="CCECFF"/>
          </w:tcPr>
          <w:p>
            <w:pPr>
              <w:spacing w:after="0"/>
              <w:rPr>
                <w:sz w:val="12"/>
                <w:szCs w:val="12"/>
                <w:color w:val="auto"/>
              </w:rPr>
            </w:pPr>
          </w:p>
        </w:tc>
        <w:tc>
          <w:tcPr>
            <w:tcW w:w="40" w:type="dxa"/>
            <w:vAlign w:val="bottom"/>
            <w:tcBorders>
              <w:top w:val="single" w:sz="8" w:color="auto"/>
            </w:tcBorders>
            <w:shd w:val="clear" w:color="auto" w:fill="CCECFF"/>
          </w:tcPr>
          <w:p>
            <w:pPr>
              <w:spacing w:after="0"/>
              <w:rPr>
                <w:sz w:val="12"/>
                <w:szCs w:val="12"/>
                <w:color w:val="auto"/>
              </w:rPr>
            </w:pPr>
          </w:p>
        </w:tc>
        <w:tc>
          <w:tcPr>
            <w:tcW w:w="100" w:type="dxa"/>
            <w:vAlign w:val="bottom"/>
            <w:tcBorders>
              <w:top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80" w:type="dxa"/>
            <w:vAlign w:val="bottom"/>
          </w:tcPr>
          <w:p>
            <w:pPr>
              <w:spacing w:after="0"/>
              <w:rPr>
                <w:sz w:val="20"/>
                <w:szCs w:val="20"/>
                <w:color w:val="auto"/>
              </w:rPr>
            </w:pPr>
            <w:r>
              <w:rPr>
                <w:rFonts w:ascii="Arial" w:cs="Arial" w:eastAsia="Arial" w:hAnsi="Arial"/>
                <w:sz w:val="12"/>
                <w:szCs w:val="12"/>
                <w:b w:val="1"/>
                <w:bCs w:val="1"/>
                <w:color w:val="auto"/>
              </w:rPr>
              <w:t>First Lien Secured Debt—822.7%</w:t>
            </w:r>
          </w:p>
        </w:tc>
        <w:tc>
          <w:tcPr>
            <w:tcW w:w="9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8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Alvogen Pharma US, Inc. </w:t>
            </w:r>
            <w:r>
              <w:rPr>
                <w:rFonts w:ascii="Arial" w:cs="Arial" w:eastAsia="Arial" w:hAnsi="Arial"/>
                <w:sz w:val="9"/>
                <w:szCs w:val="9"/>
                <w:color w:val="auto"/>
              </w:rPr>
              <w:t>(3)</w:t>
            </w:r>
          </w:p>
        </w:tc>
        <w:tc>
          <w:tcPr>
            <w:tcW w:w="920" w:type="dxa"/>
            <w:vAlign w:val="bottom"/>
            <w:shd w:val="clear" w:color="auto" w:fill="CCECFF"/>
          </w:tcPr>
          <w:p>
            <w:pPr>
              <w:jc w:val="center"/>
              <w:ind w:right="122"/>
              <w:spacing w:after="0"/>
              <w:rPr>
                <w:sz w:val="20"/>
                <w:szCs w:val="20"/>
                <w:color w:val="auto"/>
              </w:rPr>
            </w:pPr>
            <w:r>
              <w:rPr>
                <w:rFonts w:ascii="Arial" w:cs="Arial" w:eastAsia="Arial" w:hAnsi="Arial"/>
                <w:sz w:val="12"/>
                <w:szCs w:val="12"/>
                <w:color w:val="auto"/>
                <w:w w:val="89"/>
              </w:rPr>
              <w:t>04/04/2022</w:t>
            </w:r>
          </w:p>
        </w:tc>
        <w:tc>
          <w:tcPr>
            <w:tcW w:w="2640" w:type="dxa"/>
            <w:vAlign w:val="bottom"/>
            <w:gridSpan w:val="2"/>
            <w:shd w:val="clear" w:color="auto" w:fill="CCECFF"/>
          </w:tcPr>
          <w:p>
            <w:pPr>
              <w:jc w:val="center"/>
              <w:ind w:right="220"/>
              <w:spacing w:after="0"/>
              <w:rPr>
                <w:sz w:val="20"/>
                <w:szCs w:val="20"/>
                <w:color w:val="auto"/>
              </w:rPr>
            </w:pPr>
            <w:r>
              <w:rPr>
                <w:rFonts w:ascii="Arial" w:cs="Arial" w:eastAsia="Arial" w:hAnsi="Arial"/>
                <w:sz w:val="12"/>
                <w:szCs w:val="12"/>
                <w:color w:val="auto"/>
                <w:w w:val="86"/>
              </w:rPr>
              <w:t>Healthcare and Pharmaceuticals</w:t>
            </w:r>
          </w:p>
        </w:tc>
        <w:tc>
          <w:tcPr>
            <w:tcW w:w="920" w:type="dxa"/>
            <w:vAlign w:val="bottom"/>
            <w:gridSpan w:val="3"/>
            <w:shd w:val="clear" w:color="auto" w:fill="CCECFF"/>
          </w:tcPr>
          <w:p>
            <w:pPr>
              <w:jc w:val="right"/>
              <w:ind w:right="160"/>
              <w:spacing w:after="0"/>
              <w:rPr>
                <w:sz w:val="20"/>
                <w:szCs w:val="20"/>
                <w:color w:val="auto"/>
              </w:rPr>
            </w:pPr>
            <w:r>
              <w:rPr>
                <w:rFonts w:ascii="Arial" w:cs="Arial" w:eastAsia="Arial" w:hAnsi="Arial"/>
                <w:sz w:val="12"/>
                <w:szCs w:val="12"/>
                <w:color w:val="auto"/>
              </w:rPr>
              <w:t>6.84%</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L+475</w:t>
            </w: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w w:val="97"/>
              </w:rPr>
              <w:t>5,522,843</w:t>
            </w:r>
          </w:p>
        </w:tc>
        <w:tc>
          <w:tcPr>
            <w:tcW w:w="320" w:type="dxa"/>
            <w:vAlign w:val="bottom"/>
            <w:gridSpan w:val="3"/>
            <w:shd w:val="clear" w:color="auto" w:fill="CCECFF"/>
          </w:tcPr>
          <w:p>
            <w:pPr>
              <w:jc w:val="right"/>
              <w:ind w:right="4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5,465,470</w:t>
            </w:r>
          </w:p>
        </w:tc>
        <w:tc>
          <w:tcPr>
            <w:tcW w:w="240" w:type="dxa"/>
            <w:vAlign w:val="bottom"/>
            <w:shd w:val="clear" w:color="auto" w:fill="CCECFF"/>
          </w:tcPr>
          <w:p>
            <w:pPr>
              <w:spacing w:after="0"/>
              <w:rPr>
                <w:sz w:val="12"/>
                <w:szCs w:val="12"/>
                <w:color w:val="auto"/>
              </w:rPr>
            </w:pPr>
          </w:p>
        </w:tc>
        <w:tc>
          <w:tcPr>
            <w:tcW w:w="60" w:type="dxa"/>
            <w:vAlign w:val="bottom"/>
            <w:shd w:val="clear" w:color="auto" w:fill="CCECFF"/>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rPr>
              <w:t>5,526,323</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80" w:type="dxa"/>
            <w:vAlign w:val="bottom"/>
          </w:tcPr>
          <w:p>
            <w:pPr>
              <w:spacing w:after="0"/>
              <w:rPr>
                <w:sz w:val="20"/>
                <w:szCs w:val="20"/>
                <w:color w:val="auto"/>
              </w:rPr>
            </w:pPr>
            <w:r>
              <w:rPr>
                <w:rFonts w:ascii="Arial" w:cs="Arial" w:eastAsia="Arial" w:hAnsi="Arial"/>
                <w:sz w:val="12"/>
                <w:szCs w:val="12"/>
                <w:color w:val="auto"/>
              </w:rPr>
              <w:t>American Auto Auction Group, LLC</w:t>
            </w:r>
          </w:p>
        </w:tc>
        <w:tc>
          <w:tcPr>
            <w:tcW w:w="920" w:type="dxa"/>
            <w:vAlign w:val="bottom"/>
          </w:tcPr>
          <w:p>
            <w:pPr>
              <w:jc w:val="center"/>
              <w:ind w:right="122"/>
              <w:spacing w:after="0"/>
              <w:rPr>
                <w:sz w:val="20"/>
                <w:szCs w:val="20"/>
                <w:color w:val="auto"/>
              </w:rPr>
            </w:pPr>
            <w:r>
              <w:rPr>
                <w:rFonts w:ascii="Arial" w:cs="Arial" w:eastAsia="Arial" w:hAnsi="Arial"/>
                <w:sz w:val="12"/>
                <w:szCs w:val="12"/>
                <w:color w:val="auto"/>
                <w:w w:val="89"/>
              </w:rPr>
              <w:t>11/30/2021</w:t>
            </w:r>
          </w:p>
        </w:tc>
        <w:tc>
          <w:tcPr>
            <w:tcW w:w="2640" w:type="dxa"/>
            <w:vAlign w:val="bottom"/>
            <w:gridSpan w:val="2"/>
          </w:tcPr>
          <w:p>
            <w:pPr>
              <w:jc w:val="center"/>
              <w:ind w:right="220"/>
              <w:spacing w:after="0"/>
              <w:rPr>
                <w:sz w:val="20"/>
                <w:szCs w:val="20"/>
                <w:color w:val="auto"/>
              </w:rPr>
            </w:pPr>
            <w:r>
              <w:rPr>
                <w:rFonts w:ascii="Arial" w:cs="Arial" w:eastAsia="Arial" w:hAnsi="Arial"/>
                <w:sz w:val="12"/>
                <w:szCs w:val="12"/>
                <w:color w:val="auto"/>
                <w:w w:val="87"/>
              </w:rPr>
              <w:t>Transportation: Consumer</w:t>
            </w:r>
          </w:p>
        </w:tc>
        <w:tc>
          <w:tcPr>
            <w:tcW w:w="920" w:type="dxa"/>
            <w:vAlign w:val="bottom"/>
            <w:gridSpan w:val="3"/>
          </w:tcPr>
          <w:p>
            <w:pPr>
              <w:jc w:val="right"/>
              <w:ind w:right="160"/>
              <w:spacing w:after="0"/>
              <w:rPr>
                <w:sz w:val="20"/>
                <w:szCs w:val="20"/>
                <w:color w:val="auto"/>
              </w:rPr>
            </w:pPr>
            <w:r>
              <w:rPr>
                <w:rFonts w:ascii="Arial" w:cs="Arial" w:eastAsia="Arial" w:hAnsi="Arial"/>
                <w:sz w:val="12"/>
                <w:szCs w:val="12"/>
                <w:color w:val="auto"/>
              </w:rPr>
              <w:t>7.25%</w:t>
            </w:r>
          </w:p>
        </w:tc>
        <w:tc>
          <w:tcPr>
            <w:tcW w:w="660" w:type="dxa"/>
            <w:vAlign w:val="bottom"/>
          </w:tcPr>
          <w:p>
            <w:pPr>
              <w:jc w:val="right"/>
              <w:spacing w:after="0"/>
              <w:rPr>
                <w:sz w:val="20"/>
                <w:szCs w:val="20"/>
                <w:color w:val="auto"/>
              </w:rPr>
            </w:pPr>
            <w:r>
              <w:rPr>
                <w:rFonts w:ascii="Arial" w:cs="Arial" w:eastAsia="Arial" w:hAnsi="Arial"/>
                <w:sz w:val="12"/>
                <w:szCs w:val="12"/>
                <w:color w:val="auto"/>
              </w:rPr>
              <w:t>3M L+525</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2"/>
                <w:szCs w:val="12"/>
                <w:color w:val="auto"/>
                <w:w w:val="97"/>
              </w:rPr>
              <w:t>4,974,811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4,932,628</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2"/>
                <w:szCs w:val="12"/>
                <w:color w:val="auto"/>
              </w:rPr>
              <w:t>4,900,189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80" w:type="dxa"/>
            <w:vAlign w:val="bottom"/>
            <w:shd w:val="clear" w:color="auto" w:fill="CCECFF"/>
          </w:tcPr>
          <w:p>
            <w:pPr>
              <w:spacing w:after="0"/>
              <w:rPr>
                <w:sz w:val="20"/>
                <w:szCs w:val="20"/>
                <w:color w:val="auto"/>
              </w:rPr>
            </w:pPr>
            <w:r>
              <w:rPr>
                <w:rFonts w:ascii="Arial" w:cs="Arial" w:eastAsia="Arial" w:hAnsi="Arial"/>
                <w:sz w:val="12"/>
                <w:szCs w:val="12"/>
                <w:color w:val="auto"/>
              </w:rPr>
              <w:t>Anvil International, LLC</w:t>
            </w:r>
          </w:p>
        </w:tc>
        <w:tc>
          <w:tcPr>
            <w:tcW w:w="920" w:type="dxa"/>
            <w:vAlign w:val="bottom"/>
            <w:shd w:val="clear" w:color="auto" w:fill="CCECFF"/>
          </w:tcPr>
          <w:p>
            <w:pPr>
              <w:jc w:val="center"/>
              <w:ind w:right="122"/>
              <w:spacing w:after="0"/>
              <w:rPr>
                <w:sz w:val="20"/>
                <w:szCs w:val="20"/>
                <w:color w:val="auto"/>
              </w:rPr>
            </w:pPr>
            <w:r>
              <w:rPr>
                <w:rFonts w:ascii="Arial" w:cs="Arial" w:eastAsia="Arial" w:hAnsi="Arial"/>
                <w:sz w:val="12"/>
                <w:szCs w:val="12"/>
                <w:color w:val="auto"/>
                <w:w w:val="89"/>
              </w:rPr>
              <w:t>08/01/2024</w:t>
            </w:r>
          </w:p>
        </w:tc>
        <w:tc>
          <w:tcPr>
            <w:tcW w:w="2640" w:type="dxa"/>
            <w:vAlign w:val="bottom"/>
            <w:gridSpan w:val="2"/>
            <w:shd w:val="clear" w:color="auto" w:fill="CCECFF"/>
          </w:tcPr>
          <w:p>
            <w:pPr>
              <w:jc w:val="center"/>
              <w:ind w:right="240"/>
              <w:spacing w:after="0"/>
              <w:rPr>
                <w:sz w:val="20"/>
                <w:szCs w:val="20"/>
                <w:color w:val="auto"/>
              </w:rPr>
            </w:pPr>
            <w:r>
              <w:rPr>
                <w:rFonts w:ascii="Arial" w:cs="Arial" w:eastAsia="Arial" w:hAnsi="Arial"/>
                <w:sz w:val="12"/>
                <w:szCs w:val="12"/>
                <w:color w:val="auto"/>
                <w:w w:val="90"/>
              </w:rPr>
              <w:t>Construction and Building</w:t>
            </w:r>
          </w:p>
        </w:tc>
        <w:tc>
          <w:tcPr>
            <w:tcW w:w="920" w:type="dxa"/>
            <w:vAlign w:val="bottom"/>
            <w:gridSpan w:val="3"/>
            <w:shd w:val="clear" w:color="auto" w:fill="CCECFF"/>
          </w:tcPr>
          <w:p>
            <w:pPr>
              <w:jc w:val="right"/>
              <w:ind w:right="160"/>
              <w:spacing w:after="0"/>
              <w:rPr>
                <w:sz w:val="20"/>
                <w:szCs w:val="20"/>
                <w:color w:val="auto"/>
              </w:rPr>
            </w:pPr>
            <w:r>
              <w:rPr>
                <w:rFonts w:ascii="Arial" w:cs="Arial" w:eastAsia="Arial" w:hAnsi="Arial"/>
                <w:sz w:val="12"/>
                <w:szCs w:val="12"/>
                <w:color w:val="auto"/>
              </w:rPr>
              <w:t>6.60%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2M L+450</w:t>
            </w: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w w:val="97"/>
              </w:rPr>
              <w:t>5,959,987</w:t>
            </w:r>
          </w:p>
        </w:tc>
        <w:tc>
          <w:tcPr>
            <w:tcW w:w="1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5,913,984</w:t>
            </w:r>
          </w:p>
        </w:tc>
        <w:tc>
          <w:tcPr>
            <w:tcW w:w="24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70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rPr>
              <w:t>5,989,787</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80" w:type="dxa"/>
            <w:vAlign w:val="bottom"/>
          </w:tcPr>
          <w:p>
            <w:pPr>
              <w:spacing w:after="0"/>
              <w:rPr>
                <w:sz w:val="20"/>
                <w:szCs w:val="20"/>
                <w:color w:val="auto"/>
              </w:rPr>
            </w:pPr>
            <w:r>
              <w:rPr>
                <w:rFonts w:ascii="Arial" w:cs="Arial" w:eastAsia="Arial" w:hAnsi="Arial"/>
                <w:sz w:val="12"/>
                <w:szCs w:val="12"/>
                <w:color w:val="auto"/>
              </w:rPr>
              <w:t>API Technologies Corp.</w:t>
            </w:r>
          </w:p>
        </w:tc>
        <w:tc>
          <w:tcPr>
            <w:tcW w:w="920" w:type="dxa"/>
            <w:vAlign w:val="bottom"/>
          </w:tcPr>
          <w:p>
            <w:pPr>
              <w:jc w:val="center"/>
              <w:ind w:right="122"/>
              <w:spacing w:after="0"/>
              <w:rPr>
                <w:sz w:val="20"/>
                <w:szCs w:val="20"/>
                <w:color w:val="auto"/>
              </w:rPr>
            </w:pPr>
            <w:r>
              <w:rPr>
                <w:rFonts w:ascii="Arial" w:cs="Arial" w:eastAsia="Arial" w:hAnsi="Arial"/>
                <w:sz w:val="12"/>
                <w:szCs w:val="12"/>
                <w:color w:val="auto"/>
                <w:w w:val="89"/>
              </w:rPr>
              <w:t>04/22/2024</w:t>
            </w:r>
          </w:p>
        </w:tc>
        <w:tc>
          <w:tcPr>
            <w:tcW w:w="2640" w:type="dxa"/>
            <w:vAlign w:val="bottom"/>
            <w:gridSpan w:val="2"/>
          </w:tcPr>
          <w:p>
            <w:pPr>
              <w:jc w:val="center"/>
              <w:ind w:right="220"/>
              <w:spacing w:after="0"/>
              <w:rPr>
                <w:sz w:val="20"/>
                <w:szCs w:val="20"/>
                <w:color w:val="auto"/>
              </w:rPr>
            </w:pPr>
            <w:r>
              <w:rPr>
                <w:rFonts w:ascii="Arial" w:cs="Arial" w:eastAsia="Arial" w:hAnsi="Arial"/>
                <w:sz w:val="12"/>
                <w:szCs w:val="12"/>
                <w:color w:val="auto"/>
                <w:w w:val="85"/>
              </w:rPr>
              <w:t>Aerospace and Defense</w:t>
            </w:r>
          </w:p>
        </w:tc>
        <w:tc>
          <w:tcPr>
            <w:tcW w:w="920" w:type="dxa"/>
            <w:vAlign w:val="bottom"/>
            <w:gridSpan w:val="3"/>
          </w:tcPr>
          <w:p>
            <w:pPr>
              <w:jc w:val="right"/>
              <w:ind w:right="160"/>
              <w:spacing w:after="0"/>
              <w:rPr>
                <w:sz w:val="20"/>
                <w:szCs w:val="20"/>
                <w:color w:val="auto"/>
              </w:rPr>
            </w:pPr>
            <w:r>
              <w:rPr>
                <w:rFonts w:ascii="Arial" w:cs="Arial" w:eastAsia="Arial" w:hAnsi="Arial"/>
                <w:sz w:val="12"/>
                <w:szCs w:val="12"/>
                <w:color w:val="auto"/>
              </w:rPr>
              <w:t>8.10%</w:t>
            </w:r>
          </w:p>
        </w:tc>
        <w:tc>
          <w:tcPr>
            <w:tcW w:w="660" w:type="dxa"/>
            <w:vAlign w:val="bottom"/>
          </w:tcPr>
          <w:p>
            <w:pPr>
              <w:jc w:val="right"/>
              <w:spacing w:after="0"/>
              <w:rPr>
                <w:sz w:val="20"/>
                <w:szCs w:val="20"/>
                <w:color w:val="auto"/>
              </w:rPr>
            </w:pPr>
            <w:r>
              <w:rPr>
                <w:rFonts w:ascii="Arial" w:cs="Arial" w:eastAsia="Arial" w:hAnsi="Arial"/>
                <w:sz w:val="12"/>
                <w:szCs w:val="12"/>
                <w:color w:val="auto"/>
              </w:rPr>
              <w:t>1M L+600</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2"/>
                <w:szCs w:val="12"/>
                <w:color w:val="auto"/>
                <w:w w:val="86"/>
              </w:rPr>
              <w:t>20,000,000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19,753,830</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2"/>
                <w:szCs w:val="12"/>
                <w:color w:val="auto"/>
              </w:rPr>
              <w:t>19,800,000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80" w:type="dxa"/>
            <w:vAlign w:val="bottom"/>
            <w:shd w:val="clear" w:color="auto" w:fill="CCECFF"/>
          </w:tcPr>
          <w:p>
            <w:pPr>
              <w:spacing w:after="0"/>
              <w:rPr>
                <w:sz w:val="20"/>
                <w:szCs w:val="20"/>
                <w:color w:val="auto"/>
              </w:rPr>
            </w:pPr>
            <w:r>
              <w:rPr>
                <w:rFonts w:ascii="Arial" w:cs="Arial" w:eastAsia="Arial" w:hAnsi="Arial"/>
                <w:sz w:val="12"/>
                <w:szCs w:val="12"/>
                <w:color w:val="auto"/>
              </w:rPr>
              <w:t>Beauty Industry Group Opco, LLC</w:t>
            </w:r>
          </w:p>
        </w:tc>
        <w:tc>
          <w:tcPr>
            <w:tcW w:w="920" w:type="dxa"/>
            <w:vAlign w:val="bottom"/>
            <w:shd w:val="clear" w:color="auto" w:fill="CCECFF"/>
          </w:tcPr>
          <w:p>
            <w:pPr>
              <w:jc w:val="center"/>
              <w:ind w:right="122"/>
              <w:spacing w:after="0"/>
              <w:rPr>
                <w:sz w:val="20"/>
                <w:szCs w:val="20"/>
                <w:color w:val="auto"/>
              </w:rPr>
            </w:pPr>
            <w:r>
              <w:rPr>
                <w:rFonts w:ascii="Arial" w:cs="Arial" w:eastAsia="Arial" w:hAnsi="Arial"/>
                <w:sz w:val="12"/>
                <w:szCs w:val="12"/>
                <w:color w:val="auto"/>
                <w:w w:val="89"/>
              </w:rPr>
              <w:t>04/06/2023</w:t>
            </w:r>
          </w:p>
        </w:tc>
        <w:tc>
          <w:tcPr>
            <w:tcW w:w="2640" w:type="dxa"/>
            <w:vAlign w:val="bottom"/>
            <w:gridSpan w:val="2"/>
            <w:shd w:val="clear" w:color="auto" w:fill="CCECFF"/>
          </w:tcPr>
          <w:p>
            <w:pPr>
              <w:jc w:val="center"/>
              <w:ind w:right="220"/>
              <w:spacing w:after="0"/>
              <w:rPr>
                <w:sz w:val="20"/>
                <w:szCs w:val="20"/>
                <w:color w:val="auto"/>
              </w:rPr>
            </w:pPr>
            <w:r>
              <w:rPr>
                <w:rFonts w:ascii="Arial" w:cs="Arial" w:eastAsia="Arial" w:hAnsi="Arial"/>
                <w:sz w:val="12"/>
                <w:szCs w:val="12"/>
                <w:color w:val="auto"/>
                <w:w w:val="88"/>
              </w:rPr>
              <w:t>Consumer Goods: Non-Durable</w:t>
            </w:r>
          </w:p>
        </w:tc>
        <w:tc>
          <w:tcPr>
            <w:tcW w:w="920" w:type="dxa"/>
            <w:vAlign w:val="bottom"/>
            <w:gridSpan w:val="3"/>
            <w:shd w:val="clear" w:color="auto" w:fill="CCECFF"/>
          </w:tcPr>
          <w:p>
            <w:pPr>
              <w:jc w:val="right"/>
              <w:ind w:right="160"/>
              <w:spacing w:after="0"/>
              <w:rPr>
                <w:sz w:val="20"/>
                <w:szCs w:val="20"/>
                <w:color w:val="auto"/>
              </w:rPr>
            </w:pPr>
            <w:r>
              <w:rPr>
                <w:rFonts w:ascii="Arial" w:cs="Arial" w:eastAsia="Arial" w:hAnsi="Arial"/>
                <w:sz w:val="12"/>
                <w:szCs w:val="12"/>
                <w:color w:val="auto"/>
              </w:rPr>
              <w:t>6.85%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L+475</w:t>
            </w: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w w:val="97"/>
              </w:rPr>
              <w:t>9,937,500</w:t>
            </w:r>
          </w:p>
        </w:tc>
        <w:tc>
          <w:tcPr>
            <w:tcW w:w="1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9,842,219</w:t>
            </w:r>
          </w:p>
        </w:tc>
        <w:tc>
          <w:tcPr>
            <w:tcW w:w="24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70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rPr>
              <w:t>9,838,125</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80" w:type="dxa"/>
            <w:vAlign w:val="bottom"/>
          </w:tcPr>
          <w:p>
            <w:pPr>
              <w:spacing w:after="0"/>
              <w:rPr>
                <w:sz w:val="20"/>
                <w:szCs w:val="20"/>
                <w:color w:val="auto"/>
              </w:rPr>
            </w:pPr>
            <w:r>
              <w:rPr>
                <w:rFonts w:ascii="Arial" w:cs="Arial" w:eastAsia="Arial" w:hAnsi="Arial"/>
                <w:sz w:val="12"/>
                <w:szCs w:val="12"/>
                <w:color w:val="auto"/>
              </w:rPr>
              <w:t>By Light Professional IT Services, LLC</w:t>
            </w:r>
          </w:p>
        </w:tc>
        <w:tc>
          <w:tcPr>
            <w:tcW w:w="920" w:type="dxa"/>
            <w:vAlign w:val="bottom"/>
          </w:tcPr>
          <w:p>
            <w:pPr>
              <w:jc w:val="center"/>
              <w:ind w:right="122"/>
              <w:spacing w:after="0"/>
              <w:rPr>
                <w:sz w:val="20"/>
                <w:szCs w:val="20"/>
                <w:color w:val="auto"/>
              </w:rPr>
            </w:pPr>
            <w:r>
              <w:rPr>
                <w:rFonts w:ascii="Arial" w:cs="Arial" w:eastAsia="Arial" w:hAnsi="Arial"/>
                <w:sz w:val="12"/>
                <w:szCs w:val="12"/>
                <w:color w:val="auto"/>
                <w:w w:val="89"/>
              </w:rPr>
              <w:t>05/16/2022</w:t>
            </w:r>
          </w:p>
        </w:tc>
        <w:tc>
          <w:tcPr>
            <w:tcW w:w="2640" w:type="dxa"/>
            <w:vAlign w:val="bottom"/>
            <w:gridSpan w:val="2"/>
          </w:tcPr>
          <w:p>
            <w:pPr>
              <w:jc w:val="center"/>
              <w:ind w:right="220"/>
              <w:spacing w:after="0"/>
              <w:rPr>
                <w:sz w:val="20"/>
                <w:szCs w:val="20"/>
                <w:color w:val="auto"/>
              </w:rPr>
            </w:pPr>
            <w:r>
              <w:rPr>
                <w:rFonts w:ascii="Arial" w:cs="Arial" w:eastAsia="Arial" w:hAnsi="Arial"/>
                <w:sz w:val="12"/>
                <w:szCs w:val="12"/>
                <w:color w:val="auto"/>
                <w:w w:val="89"/>
              </w:rPr>
              <w:t>High Tech Industries</w:t>
            </w:r>
          </w:p>
        </w:tc>
        <w:tc>
          <w:tcPr>
            <w:tcW w:w="920" w:type="dxa"/>
            <w:vAlign w:val="bottom"/>
            <w:gridSpan w:val="3"/>
          </w:tcPr>
          <w:p>
            <w:pPr>
              <w:jc w:val="right"/>
              <w:ind w:right="160"/>
              <w:spacing w:after="0"/>
              <w:rPr>
                <w:sz w:val="20"/>
                <w:szCs w:val="20"/>
                <w:color w:val="auto"/>
              </w:rPr>
            </w:pPr>
            <w:r>
              <w:rPr>
                <w:rFonts w:ascii="Arial" w:cs="Arial" w:eastAsia="Arial" w:hAnsi="Arial"/>
                <w:sz w:val="12"/>
                <w:szCs w:val="12"/>
                <w:color w:val="auto"/>
              </w:rPr>
              <w:t>9.58%</w:t>
            </w:r>
          </w:p>
        </w:tc>
        <w:tc>
          <w:tcPr>
            <w:tcW w:w="660" w:type="dxa"/>
            <w:vAlign w:val="bottom"/>
          </w:tcPr>
          <w:p>
            <w:pPr>
              <w:jc w:val="right"/>
              <w:spacing w:after="0"/>
              <w:rPr>
                <w:sz w:val="20"/>
                <w:szCs w:val="20"/>
                <w:color w:val="auto"/>
              </w:rPr>
            </w:pPr>
            <w:r>
              <w:rPr>
                <w:rFonts w:ascii="Arial" w:cs="Arial" w:eastAsia="Arial" w:hAnsi="Arial"/>
                <w:sz w:val="12"/>
                <w:szCs w:val="12"/>
                <w:color w:val="auto"/>
              </w:rPr>
              <w:t>3M L+725</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2"/>
                <w:szCs w:val="12"/>
                <w:color w:val="auto"/>
                <w:w w:val="86"/>
              </w:rPr>
              <w:t>10,761,235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10,526,033</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2"/>
                <w:szCs w:val="12"/>
                <w:color w:val="auto"/>
              </w:rPr>
              <w:t>10,761,235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80" w:type="dxa"/>
            <w:vAlign w:val="bottom"/>
            <w:shd w:val="clear" w:color="auto" w:fill="CCECFF"/>
          </w:tcPr>
          <w:p>
            <w:pPr>
              <w:spacing w:after="0"/>
              <w:rPr>
                <w:sz w:val="20"/>
                <w:szCs w:val="20"/>
                <w:color w:val="auto"/>
              </w:rPr>
            </w:pPr>
            <w:r>
              <w:rPr>
                <w:rFonts w:ascii="Arial" w:cs="Arial" w:eastAsia="Arial" w:hAnsi="Arial"/>
                <w:sz w:val="12"/>
                <w:szCs w:val="12"/>
                <w:color w:val="auto"/>
              </w:rPr>
              <w:t>Cadence Aerospace, LLC</w:t>
            </w:r>
          </w:p>
        </w:tc>
        <w:tc>
          <w:tcPr>
            <w:tcW w:w="920" w:type="dxa"/>
            <w:vAlign w:val="bottom"/>
            <w:shd w:val="clear" w:color="auto" w:fill="CCECFF"/>
          </w:tcPr>
          <w:p>
            <w:pPr>
              <w:jc w:val="center"/>
              <w:ind w:right="122"/>
              <w:spacing w:after="0"/>
              <w:rPr>
                <w:sz w:val="20"/>
                <w:szCs w:val="20"/>
                <w:color w:val="auto"/>
              </w:rPr>
            </w:pPr>
            <w:r>
              <w:rPr>
                <w:rFonts w:ascii="Arial" w:cs="Arial" w:eastAsia="Arial" w:hAnsi="Arial"/>
                <w:sz w:val="12"/>
                <w:szCs w:val="12"/>
                <w:color w:val="auto"/>
                <w:w w:val="89"/>
              </w:rPr>
              <w:t>11/14/2023</w:t>
            </w:r>
          </w:p>
        </w:tc>
        <w:tc>
          <w:tcPr>
            <w:tcW w:w="2640" w:type="dxa"/>
            <w:vAlign w:val="bottom"/>
            <w:gridSpan w:val="2"/>
            <w:shd w:val="clear" w:color="auto" w:fill="CCECFF"/>
          </w:tcPr>
          <w:p>
            <w:pPr>
              <w:jc w:val="center"/>
              <w:ind w:right="220"/>
              <w:spacing w:after="0"/>
              <w:rPr>
                <w:sz w:val="20"/>
                <w:szCs w:val="20"/>
                <w:color w:val="auto"/>
              </w:rPr>
            </w:pPr>
            <w:r>
              <w:rPr>
                <w:rFonts w:ascii="Arial" w:cs="Arial" w:eastAsia="Arial" w:hAnsi="Arial"/>
                <w:sz w:val="12"/>
                <w:szCs w:val="12"/>
                <w:color w:val="auto"/>
                <w:w w:val="85"/>
              </w:rPr>
              <w:t>Aerospace and Defense</w:t>
            </w:r>
          </w:p>
        </w:tc>
        <w:tc>
          <w:tcPr>
            <w:tcW w:w="920" w:type="dxa"/>
            <w:vAlign w:val="bottom"/>
            <w:gridSpan w:val="3"/>
            <w:shd w:val="clear" w:color="auto" w:fill="CCECFF"/>
          </w:tcPr>
          <w:p>
            <w:pPr>
              <w:jc w:val="right"/>
              <w:ind w:right="160"/>
              <w:spacing w:after="0"/>
              <w:rPr>
                <w:sz w:val="20"/>
                <w:szCs w:val="20"/>
                <w:color w:val="auto"/>
              </w:rPr>
            </w:pPr>
            <w:r>
              <w:rPr>
                <w:rFonts w:ascii="Arial" w:cs="Arial" w:eastAsia="Arial" w:hAnsi="Arial"/>
                <w:sz w:val="12"/>
                <w:szCs w:val="12"/>
                <w:color w:val="auto"/>
              </w:rPr>
              <w:t>8.86%</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L+650</w:t>
            </w: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w w:val="86"/>
              </w:rPr>
              <w:t>11,884,167</w:t>
            </w:r>
          </w:p>
        </w:tc>
        <w:tc>
          <w:tcPr>
            <w:tcW w:w="1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11,772,584</w:t>
            </w:r>
          </w:p>
        </w:tc>
        <w:tc>
          <w:tcPr>
            <w:tcW w:w="24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70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rPr>
              <w:t>11,870,706</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80" w:type="dxa"/>
            <w:vAlign w:val="bottom"/>
          </w:tcPr>
          <w:p>
            <w:pPr>
              <w:spacing w:after="0"/>
              <w:rPr>
                <w:sz w:val="20"/>
                <w:szCs w:val="20"/>
                <w:color w:val="auto"/>
              </w:rPr>
            </w:pPr>
            <w:r>
              <w:rPr>
                <w:rFonts w:ascii="Arial" w:cs="Arial" w:eastAsia="Arial" w:hAnsi="Arial"/>
                <w:sz w:val="12"/>
                <w:szCs w:val="12"/>
                <w:color w:val="auto"/>
              </w:rPr>
              <w:t>Cardenas Markets LLC</w:t>
            </w:r>
          </w:p>
        </w:tc>
        <w:tc>
          <w:tcPr>
            <w:tcW w:w="920" w:type="dxa"/>
            <w:vAlign w:val="bottom"/>
          </w:tcPr>
          <w:p>
            <w:pPr>
              <w:jc w:val="center"/>
              <w:ind w:right="122"/>
              <w:spacing w:after="0"/>
              <w:rPr>
                <w:sz w:val="20"/>
                <w:szCs w:val="20"/>
                <w:color w:val="auto"/>
              </w:rPr>
            </w:pPr>
            <w:r>
              <w:rPr>
                <w:rFonts w:ascii="Arial" w:cs="Arial" w:eastAsia="Arial" w:hAnsi="Arial"/>
                <w:sz w:val="12"/>
                <w:szCs w:val="12"/>
                <w:color w:val="auto"/>
                <w:w w:val="89"/>
              </w:rPr>
              <w:t>11/29/2023</w:t>
            </w:r>
          </w:p>
        </w:tc>
        <w:tc>
          <w:tcPr>
            <w:tcW w:w="2640" w:type="dxa"/>
            <w:vAlign w:val="bottom"/>
            <w:gridSpan w:val="2"/>
          </w:tcPr>
          <w:p>
            <w:pPr>
              <w:jc w:val="center"/>
              <w:ind w:right="240"/>
              <w:spacing w:after="0"/>
              <w:rPr>
                <w:sz w:val="20"/>
                <w:szCs w:val="20"/>
                <w:color w:val="auto"/>
              </w:rPr>
            </w:pPr>
            <w:r>
              <w:rPr>
                <w:rFonts w:ascii="Arial" w:cs="Arial" w:eastAsia="Arial" w:hAnsi="Arial"/>
                <w:sz w:val="12"/>
                <w:szCs w:val="12"/>
                <w:color w:val="auto"/>
                <w:w w:val="85"/>
              </w:rPr>
              <w:t>Beverage, Food and Tobacco</w:t>
            </w:r>
          </w:p>
        </w:tc>
        <w:tc>
          <w:tcPr>
            <w:tcW w:w="920" w:type="dxa"/>
            <w:vAlign w:val="bottom"/>
            <w:gridSpan w:val="3"/>
          </w:tcPr>
          <w:p>
            <w:pPr>
              <w:jc w:val="right"/>
              <w:ind w:right="160"/>
              <w:spacing w:after="0"/>
              <w:rPr>
                <w:sz w:val="20"/>
                <w:szCs w:val="20"/>
                <w:color w:val="auto"/>
              </w:rPr>
            </w:pPr>
            <w:r>
              <w:rPr>
                <w:rFonts w:ascii="Arial" w:cs="Arial" w:eastAsia="Arial" w:hAnsi="Arial"/>
                <w:sz w:val="12"/>
                <w:szCs w:val="12"/>
                <w:color w:val="auto"/>
              </w:rPr>
              <w:t>7.84%</w:t>
            </w:r>
          </w:p>
        </w:tc>
        <w:tc>
          <w:tcPr>
            <w:tcW w:w="660" w:type="dxa"/>
            <w:vAlign w:val="bottom"/>
          </w:tcPr>
          <w:p>
            <w:pPr>
              <w:jc w:val="right"/>
              <w:spacing w:after="0"/>
              <w:rPr>
                <w:sz w:val="20"/>
                <w:szCs w:val="20"/>
                <w:color w:val="auto"/>
              </w:rPr>
            </w:pPr>
            <w:r>
              <w:rPr>
                <w:rFonts w:ascii="Arial" w:cs="Arial" w:eastAsia="Arial" w:hAnsi="Arial"/>
                <w:sz w:val="12"/>
                <w:szCs w:val="12"/>
                <w:color w:val="auto"/>
              </w:rPr>
              <w:t>1M L+575</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2"/>
                <w:szCs w:val="12"/>
                <w:color w:val="auto"/>
                <w:w w:val="97"/>
              </w:rPr>
              <w:t>7,443,325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7,399,143</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2"/>
                <w:szCs w:val="12"/>
                <w:color w:val="auto"/>
              </w:rPr>
              <w:t>7,480,541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80" w:type="dxa"/>
            <w:vAlign w:val="bottom"/>
            <w:shd w:val="clear" w:color="auto" w:fill="CCECFF"/>
          </w:tcPr>
          <w:p>
            <w:pPr>
              <w:spacing w:after="0"/>
              <w:rPr>
                <w:sz w:val="20"/>
                <w:szCs w:val="20"/>
                <w:color w:val="auto"/>
              </w:rPr>
            </w:pPr>
            <w:r>
              <w:rPr>
                <w:rFonts w:ascii="Arial" w:cs="Arial" w:eastAsia="Arial" w:hAnsi="Arial"/>
                <w:sz w:val="12"/>
                <w:szCs w:val="12"/>
                <w:color w:val="auto"/>
              </w:rPr>
              <w:t>Country Fresh Holdings, LLC</w:t>
            </w:r>
          </w:p>
        </w:tc>
        <w:tc>
          <w:tcPr>
            <w:tcW w:w="920" w:type="dxa"/>
            <w:vAlign w:val="bottom"/>
            <w:shd w:val="clear" w:color="auto" w:fill="CCECFF"/>
          </w:tcPr>
          <w:p>
            <w:pPr>
              <w:jc w:val="center"/>
              <w:ind w:right="122"/>
              <w:spacing w:after="0"/>
              <w:rPr>
                <w:sz w:val="20"/>
                <w:szCs w:val="20"/>
                <w:color w:val="auto"/>
              </w:rPr>
            </w:pPr>
            <w:r>
              <w:rPr>
                <w:rFonts w:ascii="Arial" w:cs="Arial" w:eastAsia="Arial" w:hAnsi="Arial"/>
                <w:sz w:val="12"/>
                <w:szCs w:val="12"/>
                <w:color w:val="auto"/>
                <w:w w:val="89"/>
              </w:rPr>
              <w:t>03/31/2023</w:t>
            </w:r>
          </w:p>
        </w:tc>
        <w:tc>
          <w:tcPr>
            <w:tcW w:w="2640" w:type="dxa"/>
            <w:vAlign w:val="bottom"/>
            <w:gridSpan w:val="2"/>
            <w:shd w:val="clear" w:color="auto" w:fill="CCECFF"/>
          </w:tcPr>
          <w:p>
            <w:pPr>
              <w:jc w:val="center"/>
              <w:ind w:right="240"/>
              <w:spacing w:after="0"/>
              <w:rPr>
                <w:sz w:val="20"/>
                <w:szCs w:val="20"/>
                <w:color w:val="auto"/>
              </w:rPr>
            </w:pPr>
            <w:r>
              <w:rPr>
                <w:rFonts w:ascii="Arial" w:cs="Arial" w:eastAsia="Arial" w:hAnsi="Arial"/>
                <w:sz w:val="12"/>
                <w:szCs w:val="12"/>
                <w:color w:val="auto"/>
                <w:w w:val="85"/>
              </w:rPr>
              <w:t>Beverage, Food and Tobacco</w:t>
            </w:r>
          </w:p>
        </w:tc>
        <w:tc>
          <w:tcPr>
            <w:tcW w:w="920" w:type="dxa"/>
            <w:vAlign w:val="bottom"/>
            <w:gridSpan w:val="3"/>
            <w:shd w:val="clear" w:color="auto" w:fill="CCECFF"/>
          </w:tcPr>
          <w:p>
            <w:pPr>
              <w:jc w:val="right"/>
              <w:ind w:right="160"/>
              <w:spacing w:after="0"/>
              <w:rPr>
                <w:sz w:val="20"/>
                <w:szCs w:val="20"/>
                <w:color w:val="auto"/>
              </w:rPr>
            </w:pPr>
            <w:r>
              <w:rPr>
                <w:rFonts w:ascii="Arial" w:cs="Arial" w:eastAsia="Arial" w:hAnsi="Arial"/>
                <w:sz w:val="12"/>
                <w:szCs w:val="12"/>
                <w:color w:val="auto"/>
              </w:rPr>
              <w:t>7.33%</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L+500</w:t>
            </w: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w w:val="97"/>
              </w:rPr>
              <w:t>4,688,026</w:t>
            </w:r>
          </w:p>
        </w:tc>
        <w:tc>
          <w:tcPr>
            <w:tcW w:w="1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4,688,026</w:t>
            </w:r>
          </w:p>
        </w:tc>
        <w:tc>
          <w:tcPr>
            <w:tcW w:w="24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70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rPr>
              <w:t>4,641,146</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80" w:type="dxa"/>
            <w:vAlign w:val="bottom"/>
          </w:tcPr>
          <w:p>
            <w:pPr>
              <w:spacing w:after="0"/>
              <w:rPr>
                <w:sz w:val="20"/>
                <w:szCs w:val="20"/>
                <w:color w:val="auto"/>
              </w:rPr>
            </w:pPr>
            <w:r>
              <w:rPr>
                <w:rFonts w:ascii="Arial" w:cs="Arial" w:eastAsia="Arial" w:hAnsi="Arial"/>
                <w:sz w:val="12"/>
                <w:szCs w:val="12"/>
                <w:color w:val="auto"/>
              </w:rPr>
              <w:t>DBI Holdings, LLC</w:t>
            </w:r>
          </w:p>
        </w:tc>
        <w:tc>
          <w:tcPr>
            <w:tcW w:w="920" w:type="dxa"/>
            <w:vAlign w:val="bottom"/>
          </w:tcPr>
          <w:p>
            <w:pPr>
              <w:jc w:val="center"/>
              <w:ind w:right="122"/>
              <w:spacing w:after="0"/>
              <w:rPr>
                <w:sz w:val="20"/>
                <w:szCs w:val="20"/>
                <w:color w:val="auto"/>
              </w:rPr>
            </w:pPr>
            <w:r>
              <w:rPr>
                <w:rFonts w:ascii="Arial" w:cs="Arial" w:eastAsia="Arial" w:hAnsi="Arial"/>
                <w:sz w:val="12"/>
                <w:szCs w:val="12"/>
                <w:color w:val="auto"/>
                <w:w w:val="89"/>
              </w:rPr>
              <w:t>08/02/2021</w:t>
            </w:r>
          </w:p>
        </w:tc>
        <w:tc>
          <w:tcPr>
            <w:tcW w:w="2640" w:type="dxa"/>
            <w:vAlign w:val="bottom"/>
            <w:gridSpan w:val="2"/>
          </w:tcPr>
          <w:p>
            <w:pPr>
              <w:jc w:val="center"/>
              <w:ind w:right="240"/>
              <w:spacing w:after="0"/>
              <w:rPr>
                <w:sz w:val="20"/>
                <w:szCs w:val="20"/>
                <w:color w:val="auto"/>
              </w:rPr>
            </w:pPr>
            <w:r>
              <w:rPr>
                <w:rFonts w:ascii="Arial" w:cs="Arial" w:eastAsia="Arial" w:hAnsi="Arial"/>
                <w:sz w:val="12"/>
                <w:szCs w:val="12"/>
                <w:color w:val="auto"/>
                <w:w w:val="85"/>
              </w:rPr>
              <w:t>Business Services</w:t>
            </w:r>
          </w:p>
        </w:tc>
        <w:tc>
          <w:tcPr>
            <w:tcW w:w="920" w:type="dxa"/>
            <w:vAlign w:val="bottom"/>
            <w:gridSpan w:val="3"/>
          </w:tcPr>
          <w:p>
            <w:pPr>
              <w:jc w:val="right"/>
              <w:ind w:right="160"/>
              <w:spacing w:after="0"/>
              <w:rPr>
                <w:sz w:val="20"/>
                <w:szCs w:val="20"/>
                <w:color w:val="auto"/>
              </w:rPr>
            </w:pPr>
            <w:r>
              <w:rPr>
                <w:rFonts w:ascii="Arial" w:cs="Arial" w:eastAsia="Arial" w:hAnsi="Arial"/>
                <w:sz w:val="12"/>
                <w:szCs w:val="12"/>
                <w:color w:val="auto"/>
              </w:rPr>
              <w:t>7.35%</w:t>
            </w:r>
          </w:p>
        </w:tc>
        <w:tc>
          <w:tcPr>
            <w:tcW w:w="660" w:type="dxa"/>
            <w:vAlign w:val="bottom"/>
          </w:tcPr>
          <w:p>
            <w:pPr>
              <w:jc w:val="right"/>
              <w:spacing w:after="0"/>
              <w:rPr>
                <w:sz w:val="20"/>
                <w:szCs w:val="20"/>
                <w:color w:val="auto"/>
              </w:rPr>
            </w:pPr>
            <w:r>
              <w:rPr>
                <w:rFonts w:ascii="Arial" w:cs="Arial" w:eastAsia="Arial" w:hAnsi="Arial"/>
                <w:sz w:val="12"/>
                <w:szCs w:val="12"/>
                <w:color w:val="auto"/>
              </w:rPr>
              <w:t>1M L+525</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2"/>
                <w:szCs w:val="12"/>
                <w:color w:val="auto"/>
                <w:w w:val="86"/>
              </w:rPr>
              <w:t>12,468,750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12,357,219</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2"/>
                <w:szCs w:val="12"/>
                <w:color w:val="auto"/>
              </w:rPr>
              <w:t>12,468,750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80" w:type="dxa"/>
            <w:vAlign w:val="bottom"/>
            <w:shd w:val="clear" w:color="auto" w:fill="CCECFF"/>
          </w:tcPr>
          <w:p>
            <w:pPr>
              <w:spacing w:after="0"/>
              <w:rPr>
                <w:sz w:val="20"/>
                <w:szCs w:val="20"/>
                <w:color w:val="auto"/>
              </w:rPr>
            </w:pPr>
            <w:r>
              <w:rPr>
                <w:rFonts w:ascii="Arial" w:cs="Arial" w:eastAsia="Arial" w:hAnsi="Arial"/>
                <w:sz w:val="12"/>
                <w:szCs w:val="12"/>
                <w:color w:val="auto"/>
              </w:rPr>
              <w:t>DigiCert Holdings, Inc.</w:t>
            </w:r>
          </w:p>
        </w:tc>
        <w:tc>
          <w:tcPr>
            <w:tcW w:w="920" w:type="dxa"/>
            <w:vAlign w:val="bottom"/>
            <w:shd w:val="clear" w:color="auto" w:fill="CCECFF"/>
          </w:tcPr>
          <w:p>
            <w:pPr>
              <w:jc w:val="center"/>
              <w:ind w:right="122"/>
              <w:spacing w:after="0"/>
              <w:rPr>
                <w:sz w:val="20"/>
                <w:szCs w:val="20"/>
                <w:color w:val="auto"/>
              </w:rPr>
            </w:pPr>
            <w:r>
              <w:rPr>
                <w:rFonts w:ascii="Arial" w:cs="Arial" w:eastAsia="Arial" w:hAnsi="Arial"/>
                <w:sz w:val="12"/>
                <w:szCs w:val="12"/>
                <w:color w:val="auto"/>
                <w:w w:val="89"/>
              </w:rPr>
              <w:t>10/31/2024</w:t>
            </w:r>
          </w:p>
        </w:tc>
        <w:tc>
          <w:tcPr>
            <w:tcW w:w="2640" w:type="dxa"/>
            <w:vAlign w:val="bottom"/>
            <w:gridSpan w:val="2"/>
            <w:shd w:val="clear" w:color="auto" w:fill="CCECFF"/>
          </w:tcPr>
          <w:p>
            <w:pPr>
              <w:jc w:val="center"/>
              <w:ind w:right="220"/>
              <w:spacing w:after="0"/>
              <w:rPr>
                <w:sz w:val="20"/>
                <w:szCs w:val="20"/>
                <w:color w:val="auto"/>
              </w:rPr>
            </w:pPr>
            <w:r>
              <w:rPr>
                <w:rFonts w:ascii="Arial" w:cs="Arial" w:eastAsia="Arial" w:hAnsi="Arial"/>
                <w:sz w:val="12"/>
                <w:szCs w:val="12"/>
                <w:color w:val="auto"/>
                <w:w w:val="89"/>
              </w:rPr>
              <w:t>High Tech Industries</w:t>
            </w:r>
          </w:p>
        </w:tc>
        <w:tc>
          <w:tcPr>
            <w:tcW w:w="920" w:type="dxa"/>
            <w:vAlign w:val="bottom"/>
            <w:gridSpan w:val="3"/>
            <w:shd w:val="clear" w:color="auto" w:fill="CCECFF"/>
          </w:tcPr>
          <w:p>
            <w:pPr>
              <w:jc w:val="right"/>
              <w:ind w:right="160"/>
              <w:spacing w:after="0"/>
              <w:rPr>
                <w:sz w:val="20"/>
                <w:szCs w:val="20"/>
                <w:color w:val="auto"/>
              </w:rPr>
            </w:pPr>
            <w:r>
              <w:rPr>
                <w:rFonts w:ascii="Arial" w:cs="Arial" w:eastAsia="Arial" w:hAnsi="Arial"/>
                <w:sz w:val="12"/>
                <w:szCs w:val="12"/>
                <w:color w:val="auto"/>
              </w:rPr>
              <w:t>6.84%</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L+475</w:t>
            </w: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w w:val="97"/>
              </w:rPr>
              <w:t>7,980,000</w:t>
            </w:r>
          </w:p>
        </w:tc>
        <w:tc>
          <w:tcPr>
            <w:tcW w:w="1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7,942,537</w:t>
            </w:r>
          </w:p>
        </w:tc>
        <w:tc>
          <w:tcPr>
            <w:tcW w:w="24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70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rPr>
              <w:t>7,968,349</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80" w:type="dxa"/>
            <w:vAlign w:val="bottom"/>
          </w:tcPr>
          <w:p>
            <w:pPr>
              <w:spacing w:after="0"/>
              <w:rPr>
                <w:sz w:val="20"/>
                <w:szCs w:val="20"/>
                <w:color w:val="auto"/>
              </w:rPr>
            </w:pPr>
            <w:r>
              <w:rPr>
                <w:rFonts w:ascii="Arial" w:cs="Arial" w:eastAsia="Arial" w:hAnsi="Arial"/>
                <w:sz w:val="12"/>
                <w:szCs w:val="12"/>
                <w:color w:val="auto"/>
              </w:rPr>
              <w:t>Digital Room Holdings, Inc.</w:t>
            </w:r>
          </w:p>
        </w:tc>
        <w:tc>
          <w:tcPr>
            <w:tcW w:w="920" w:type="dxa"/>
            <w:vAlign w:val="bottom"/>
          </w:tcPr>
          <w:p>
            <w:pPr>
              <w:jc w:val="center"/>
              <w:ind w:right="122"/>
              <w:spacing w:after="0"/>
              <w:rPr>
                <w:sz w:val="20"/>
                <w:szCs w:val="20"/>
                <w:color w:val="auto"/>
              </w:rPr>
            </w:pPr>
            <w:r>
              <w:rPr>
                <w:rFonts w:ascii="Arial" w:cs="Arial" w:eastAsia="Arial" w:hAnsi="Arial"/>
                <w:sz w:val="12"/>
                <w:szCs w:val="12"/>
                <w:color w:val="auto"/>
                <w:w w:val="89"/>
              </w:rPr>
              <w:t>12/29/2023</w:t>
            </w:r>
          </w:p>
        </w:tc>
        <w:tc>
          <w:tcPr>
            <w:tcW w:w="2640" w:type="dxa"/>
            <w:vAlign w:val="bottom"/>
            <w:gridSpan w:val="2"/>
          </w:tcPr>
          <w:p>
            <w:pPr>
              <w:jc w:val="center"/>
              <w:ind w:right="240"/>
              <w:spacing w:after="0"/>
              <w:rPr>
                <w:sz w:val="20"/>
                <w:szCs w:val="20"/>
                <w:color w:val="auto"/>
              </w:rPr>
            </w:pPr>
            <w:r>
              <w:rPr>
                <w:rFonts w:ascii="Arial" w:cs="Arial" w:eastAsia="Arial" w:hAnsi="Arial"/>
                <w:sz w:val="12"/>
                <w:szCs w:val="12"/>
                <w:color w:val="auto"/>
                <w:w w:val="91"/>
              </w:rPr>
              <w:t>Media: Advertising, Printing and Publishing</w:t>
            </w:r>
          </w:p>
        </w:tc>
        <w:tc>
          <w:tcPr>
            <w:tcW w:w="920" w:type="dxa"/>
            <w:vAlign w:val="bottom"/>
            <w:gridSpan w:val="3"/>
          </w:tcPr>
          <w:p>
            <w:pPr>
              <w:jc w:val="right"/>
              <w:ind w:right="160"/>
              <w:spacing w:after="0"/>
              <w:rPr>
                <w:sz w:val="20"/>
                <w:szCs w:val="20"/>
                <w:color w:val="auto"/>
              </w:rPr>
            </w:pPr>
            <w:r>
              <w:rPr>
                <w:rFonts w:ascii="Arial" w:cs="Arial" w:eastAsia="Arial" w:hAnsi="Arial"/>
                <w:sz w:val="12"/>
                <w:szCs w:val="12"/>
                <w:color w:val="auto"/>
              </w:rPr>
              <w:t>7.10%</w:t>
            </w:r>
          </w:p>
        </w:tc>
        <w:tc>
          <w:tcPr>
            <w:tcW w:w="660" w:type="dxa"/>
            <w:vAlign w:val="bottom"/>
          </w:tcPr>
          <w:p>
            <w:pPr>
              <w:jc w:val="right"/>
              <w:spacing w:after="0"/>
              <w:rPr>
                <w:sz w:val="20"/>
                <w:szCs w:val="20"/>
                <w:color w:val="auto"/>
              </w:rPr>
            </w:pPr>
            <w:r>
              <w:rPr>
                <w:rFonts w:ascii="Arial" w:cs="Arial" w:eastAsia="Arial" w:hAnsi="Arial"/>
                <w:sz w:val="12"/>
                <w:szCs w:val="12"/>
                <w:color w:val="auto"/>
              </w:rPr>
              <w:t>1M L+500</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2"/>
                <w:szCs w:val="12"/>
                <w:color w:val="auto"/>
                <w:w w:val="97"/>
              </w:rPr>
              <w:t>9,950,000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9,854,459</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2"/>
                <w:szCs w:val="12"/>
                <w:color w:val="auto"/>
              </w:rPr>
              <w:t>9,925,125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80" w:type="dxa"/>
            <w:vAlign w:val="bottom"/>
            <w:shd w:val="clear" w:color="auto" w:fill="CCECFF"/>
          </w:tcPr>
          <w:p>
            <w:pPr>
              <w:spacing w:after="0"/>
              <w:rPr>
                <w:sz w:val="20"/>
                <w:szCs w:val="20"/>
                <w:color w:val="auto"/>
              </w:rPr>
            </w:pPr>
            <w:r>
              <w:rPr>
                <w:rFonts w:ascii="Arial" w:cs="Arial" w:eastAsia="Arial" w:hAnsi="Arial"/>
                <w:sz w:val="12"/>
                <w:szCs w:val="12"/>
                <w:color w:val="auto"/>
              </w:rPr>
              <w:t>Douglas Products and Packaging Company LLC</w:t>
            </w:r>
          </w:p>
        </w:tc>
        <w:tc>
          <w:tcPr>
            <w:tcW w:w="920" w:type="dxa"/>
            <w:vAlign w:val="bottom"/>
            <w:shd w:val="clear" w:color="auto" w:fill="CCECFF"/>
          </w:tcPr>
          <w:p>
            <w:pPr>
              <w:jc w:val="center"/>
              <w:ind w:right="122"/>
              <w:spacing w:after="0"/>
              <w:rPr>
                <w:sz w:val="20"/>
                <w:szCs w:val="20"/>
                <w:color w:val="auto"/>
              </w:rPr>
            </w:pPr>
            <w:r>
              <w:rPr>
                <w:rFonts w:ascii="Arial" w:cs="Arial" w:eastAsia="Arial" w:hAnsi="Arial"/>
                <w:sz w:val="12"/>
                <w:szCs w:val="12"/>
                <w:color w:val="auto"/>
                <w:w w:val="89"/>
              </w:rPr>
              <w:t>03/29/2022</w:t>
            </w:r>
          </w:p>
        </w:tc>
        <w:tc>
          <w:tcPr>
            <w:tcW w:w="2640" w:type="dxa"/>
            <w:vAlign w:val="bottom"/>
            <w:gridSpan w:val="2"/>
            <w:shd w:val="clear" w:color="auto" w:fill="CCECFF"/>
          </w:tcPr>
          <w:p>
            <w:pPr>
              <w:jc w:val="center"/>
              <w:ind w:right="240"/>
              <w:spacing w:after="0"/>
              <w:rPr>
                <w:sz w:val="20"/>
                <w:szCs w:val="20"/>
                <w:color w:val="auto"/>
              </w:rPr>
            </w:pPr>
            <w:r>
              <w:rPr>
                <w:rFonts w:ascii="Arial" w:cs="Arial" w:eastAsia="Arial" w:hAnsi="Arial"/>
                <w:sz w:val="12"/>
                <w:szCs w:val="12"/>
                <w:color w:val="auto"/>
                <w:w w:val="87"/>
              </w:rPr>
              <w:t>Chemicals, Plastics and Rubber</w:t>
            </w:r>
          </w:p>
        </w:tc>
        <w:tc>
          <w:tcPr>
            <w:tcW w:w="920" w:type="dxa"/>
            <w:vAlign w:val="bottom"/>
            <w:gridSpan w:val="3"/>
            <w:shd w:val="clear" w:color="auto" w:fill="CCECFF"/>
          </w:tcPr>
          <w:p>
            <w:pPr>
              <w:jc w:val="right"/>
              <w:ind w:right="160"/>
              <w:spacing w:after="0"/>
              <w:rPr>
                <w:sz w:val="20"/>
                <w:szCs w:val="20"/>
                <w:color w:val="auto"/>
              </w:rPr>
            </w:pPr>
            <w:r>
              <w:rPr>
                <w:rFonts w:ascii="Arial" w:cs="Arial" w:eastAsia="Arial" w:hAnsi="Arial"/>
                <w:sz w:val="12"/>
                <w:szCs w:val="12"/>
                <w:color w:val="auto"/>
              </w:rPr>
              <w:t>8.08%</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L+575</w:t>
            </w: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w w:val="86"/>
              </w:rPr>
              <w:t>12,468,750</w:t>
            </w:r>
          </w:p>
        </w:tc>
        <w:tc>
          <w:tcPr>
            <w:tcW w:w="1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12,262,510</w:t>
            </w:r>
          </w:p>
        </w:tc>
        <w:tc>
          <w:tcPr>
            <w:tcW w:w="24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70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rPr>
              <w:t>12,250,556</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80" w:type="dxa"/>
            <w:vAlign w:val="bottom"/>
          </w:tcPr>
          <w:p>
            <w:pPr>
              <w:spacing w:after="0"/>
              <w:rPr>
                <w:sz w:val="20"/>
                <w:szCs w:val="20"/>
                <w:color w:val="auto"/>
              </w:rPr>
            </w:pPr>
            <w:r>
              <w:rPr>
                <w:rFonts w:ascii="Arial" w:cs="Arial" w:eastAsia="Arial" w:hAnsi="Arial"/>
                <w:sz w:val="12"/>
                <w:szCs w:val="12"/>
                <w:color w:val="auto"/>
              </w:rPr>
              <w:t>Driven Performance Brands, Inc.</w:t>
            </w:r>
          </w:p>
        </w:tc>
        <w:tc>
          <w:tcPr>
            <w:tcW w:w="920" w:type="dxa"/>
            <w:vAlign w:val="bottom"/>
          </w:tcPr>
          <w:p>
            <w:pPr>
              <w:jc w:val="center"/>
              <w:ind w:right="122"/>
              <w:spacing w:after="0"/>
              <w:rPr>
                <w:sz w:val="20"/>
                <w:szCs w:val="20"/>
                <w:color w:val="auto"/>
              </w:rPr>
            </w:pPr>
            <w:r>
              <w:rPr>
                <w:rFonts w:ascii="Arial" w:cs="Arial" w:eastAsia="Arial" w:hAnsi="Arial"/>
                <w:sz w:val="12"/>
                <w:szCs w:val="12"/>
                <w:color w:val="auto"/>
                <w:w w:val="89"/>
              </w:rPr>
              <w:t>09/30/2022</w:t>
            </w:r>
          </w:p>
        </w:tc>
        <w:tc>
          <w:tcPr>
            <w:tcW w:w="2640" w:type="dxa"/>
            <w:vAlign w:val="bottom"/>
            <w:gridSpan w:val="2"/>
          </w:tcPr>
          <w:p>
            <w:pPr>
              <w:jc w:val="center"/>
              <w:ind w:right="220"/>
              <w:spacing w:after="0"/>
              <w:rPr>
                <w:sz w:val="20"/>
                <w:szCs w:val="20"/>
                <w:color w:val="auto"/>
              </w:rPr>
            </w:pPr>
            <w:r>
              <w:rPr>
                <w:rFonts w:ascii="Arial" w:cs="Arial" w:eastAsia="Arial" w:hAnsi="Arial"/>
                <w:sz w:val="12"/>
                <w:szCs w:val="12"/>
                <w:color w:val="auto"/>
                <w:w w:val="88"/>
              </w:rPr>
              <w:t>Consumer Goods: Durable</w:t>
            </w:r>
          </w:p>
        </w:tc>
        <w:tc>
          <w:tcPr>
            <w:tcW w:w="920" w:type="dxa"/>
            <w:vAlign w:val="bottom"/>
            <w:gridSpan w:val="3"/>
          </w:tcPr>
          <w:p>
            <w:pPr>
              <w:jc w:val="right"/>
              <w:ind w:right="160"/>
              <w:spacing w:after="0"/>
              <w:rPr>
                <w:sz w:val="20"/>
                <w:szCs w:val="20"/>
                <w:color w:val="auto"/>
              </w:rPr>
            </w:pPr>
            <w:r>
              <w:rPr>
                <w:rFonts w:ascii="Arial" w:cs="Arial" w:eastAsia="Arial" w:hAnsi="Arial"/>
                <w:sz w:val="12"/>
                <w:szCs w:val="12"/>
                <w:color w:val="auto"/>
              </w:rPr>
              <w:t>6.73%</w:t>
            </w:r>
          </w:p>
        </w:tc>
        <w:tc>
          <w:tcPr>
            <w:tcW w:w="660" w:type="dxa"/>
            <w:vAlign w:val="bottom"/>
          </w:tcPr>
          <w:p>
            <w:pPr>
              <w:jc w:val="right"/>
              <w:spacing w:after="0"/>
              <w:rPr>
                <w:sz w:val="20"/>
                <w:szCs w:val="20"/>
                <w:color w:val="auto"/>
              </w:rPr>
            </w:pPr>
            <w:r>
              <w:rPr>
                <w:rFonts w:ascii="Arial" w:cs="Arial" w:eastAsia="Arial" w:hAnsi="Arial"/>
                <w:sz w:val="12"/>
                <w:szCs w:val="12"/>
                <w:color w:val="auto"/>
              </w:rPr>
              <w:t>1M L+475</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2"/>
                <w:szCs w:val="12"/>
                <w:color w:val="auto"/>
                <w:w w:val="97"/>
              </w:rPr>
              <w:t>4,812,500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4,772,133</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2"/>
                <w:szCs w:val="12"/>
                <w:color w:val="auto"/>
              </w:rPr>
              <w:t>4,812,500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80" w:type="dxa"/>
            <w:vAlign w:val="bottom"/>
            <w:shd w:val="clear" w:color="auto" w:fill="CCECFF"/>
          </w:tcPr>
          <w:p>
            <w:pPr>
              <w:spacing w:after="0"/>
              <w:rPr>
                <w:sz w:val="20"/>
                <w:szCs w:val="20"/>
                <w:color w:val="auto"/>
              </w:rPr>
            </w:pPr>
            <w:r>
              <w:rPr>
                <w:rFonts w:ascii="Arial" w:cs="Arial" w:eastAsia="Arial" w:hAnsi="Arial"/>
                <w:sz w:val="12"/>
                <w:szCs w:val="12"/>
                <w:color w:val="auto"/>
              </w:rPr>
              <w:t>ENC Holding Corporation</w:t>
            </w:r>
          </w:p>
        </w:tc>
        <w:tc>
          <w:tcPr>
            <w:tcW w:w="920" w:type="dxa"/>
            <w:vAlign w:val="bottom"/>
            <w:shd w:val="clear" w:color="auto" w:fill="CCECFF"/>
          </w:tcPr>
          <w:p>
            <w:pPr>
              <w:jc w:val="center"/>
              <w:ind w:right="122"/>
              <w:spacing w:after="0"/>
              <w:rPr>
                <w:sz w:val="20"/>
                <w:szCs w:val="20"/>
                <w:color w:val="auto"/>
              </w:rPr>
            </w:pPr>
            <w:r>
              <w:rPr>
                <w:rFonts w:ascii="Arial" w:cs="Arial" w:eastAsia="Arial" w:hAnsi="Arial"/>
                <w:sz w:val="12"/>
                <w:szCs w:val="12"/>
                <w:color w:val="auto"/>
                <w:w w:val="89"/>
              </w:rPr>
              <w:t>05/30/2025</w:t>
            </w:r>
          </w:p>
        </w:tc>
        <w:tc>
          <w:tcPr>
            <w:tcW w:w="2640" w:type="dxa"/>
            <w:vAlign w:val="bottom"/>
            <w:gridSpan w:val="2"/>
            <w:shd w:val="clear" w:color="auto" w:fill="CCECFF"/>
          </w:tcPr>
          <w:p>
            <w:pPr>
              <w:jc w:val="center"/>
              <w:ind w:right="220"/>
              <w:spacing w:after="0"/>
              <w:rPr>
                <w:sz w:val="20"/>
                <w:szCs w:val="20"/>
                <w:color w:val="auto"/>
              </w:rPr>
            </w:pPr>
            <w:r>
              <w:rPr>
                <w:rFonts w:ascii="Arial" w:cs="Arial" w:eastAsia="Arial" w:hAnsi="Arial"/>
                <w:sz w:val="12"/>
                <w:szCs w:val="12"/>
                <w:color w:val="auto"/>
                <w:w w:val="87"/>
              </w:rPr>
              <w:t>Transportation: Cargo</w:t>
            </w:r>
          </w:p>
        </w:tc>
        <w:tc>
          <w:tcPr>
            <w:tcW w:w="920" w:type="dxa"/>
            <w:vAlign w:val="bottom"/>
            <w:gridSpan w:val="3"/>
            <w:shd w:val="clear" w:color="auto" w:fill="CCECFF"/>
          </w:tcPr>
          <w:p>
            <w:pPr>
              <w:jc w:val="right"/>
              <w:ind w:right="160"/>
              <w:spacing w:after="0"/>
              <w:rPr>
                <w:sz w:val="20"/>
                <w:szCs w:val="20"/>
                <w:color w:val="auto"/>
              </w:rPr>
            </w:pPr>
            <w:r>
              <w:rPr>
                <w:rFonts w:ascii="Arial" w:cs="Arial" w:eastAsia="Arial" w:hAnsi="Arial"/>
                <w:sz w:val="12"/>
                <w:szCs w:val="12"/>
                <w:color w:val="auto"/>
              </w:rPr>
              <w:t>6.58%</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L+425</w:t>
            </w: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w w:val="86"/>
              </w:rPr>
              <w:t>10,371,429</w:t>
            </w:r>
          </w:p>
        </w:tc>
        <w:tc>
          <w:tcPr>
            <w:tcW w:w="1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10,345,500</w:t>
            </w:r>
          </w:p>
        </w:tc>
        <w:tc>
          <w:tcPr>
            <w:tcW w:w="24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70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rPr>
              <w:t>10,371,428</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80" w:type="dxa"/>
            <w:vAlign w:val="bottom"/>
          </w:tcPr>
          <w:p>
            <w:pPr>
              <w:spacing w:after="0"/>
              <w:rPr>
                <w:sz w:val="20"/>
                <w:szCs w:val="20"/>
                <w:color w:val="auto"/>
              </w:rPr>
            </w:pPr>
            <w:r>
              <w:rPr>
                <w:rFonts w:ascii="Arial" w:cs="Arial" w:eastAsia="Arial" w:hAnsi="Arial"/>
                <w:sz w:val="12"/>
                <w:szCs w:val="12"/>
                <w:color w:val="auto"/>
              </w:rPr>
              <w:t xml:space="preserve">Findex Group Limited </w:t>
            </w:r>
            <w:r>
              <w:rPr>
                <w:rFonts w:ascii="Arial" w:cs="Arial" w:eastAsia="Arial" w:hAnsi="Arial"/>
                <w:sz w:val="9"/>
                <w:szCs w:val="9"/>
                <w:color w:val="auto"/>
              </w:rPr>
              <w:t>(3), (4)</w:t>
            </w:r>
          </w:p>
        </w:tc>
        <w:tc>
          <w:tcPr>
            <w:tcW w:w="920" w:type="dxa"/>
            <w:vAlign w:val="bottom"/>
          </w:tcPr>
          <w:p>
            <w:pPr>
              <w:jc w:val="center"/>
              <w:ind w:right="122"/>
              <w:spacing w:after="0"/>
              <w:rPr>
                <w:sz w:val="20"/>
                <w:szCs w:val="20"/>
                <w:color w:val="auto"/>
              </w:rPr>
            </w:pPr>
            <w:r>
              <w:rPr>
                <w:rFonts w:ascii="Arial" w:cs="Arial" w:eastAsia="Arial" w:hAnsi="Arial"/>
                <w:sz w:val="12"/>
                <w:szCs w:val="12"/>
                <w:color w:val="auto"/>
                <w:w w:val="89"/>
              </w:rPr>
              <w:t>05/31/2024</w:t>
            </w:r>
          </w:p>
        </w:tc>
        <w:tc>
          <w:tcPr>
            <w:tcW w:w="2640" w:type="dxa"/>
            <w:vAlign w:val="bottom"/>
            <w:gridSpan w:val="2"/>
          </w:tcPr>
          <w:p>
            <w:pPr>
              <w:jc w:val="center"/>
              <w:ind w:right="220"/>
              <w:spacing w:after="0"/>
              <w:rPr>
                <w:sz w:val="20"/>
                <w:szCs w:val="20"/>
                <w:color w:val="auto"/>
              </w:rPr>
            </w:pPr>
            <w:r>
              <w:rPr>
                <w:rFonts w:ascii="Arial" w:cs="Arial" w:eastAsia="Arial" w:hAnsi="Arial"/>
                <w:sz w:val="12"/>
                <w:szCs w:val="12"/>
                <w:color w:val="auto"/>
                <w:w w:val="87"/>
              </w:rPr>
              <w:t>Banking, Finance, Insurance and Real Estate</w:t>
            </w:r>
          </w:p>
        </w:tc>
        <w:tc>
          <w:tcPr>
            <w:tcW w:w="920" w:type="dxa"/>
            <w:vAlign w:val="bottom"/>
            <w:gridSpan w:val="3"/>
          </w:tcPr>
          <w:p>
            <w:pPr>
              <w:jc w:val="right"/>
              <w:ind w:right="160"/>
              <w:spacing w:after="0"/>
              <w:rPr>
                <w:sz w:val="20"/>
                <w:szCs w:val="20"/>
                <w:color w:val="auto"/>
              </w:rPr>
            </w:pPr>
            <w:r>
              <w:rPr>
                <w:rFonts w:ascii="Arial" w:cs="Arial" w:eastAsia="Arial" w:hAnsi="Arial"/>
                <w:sz w:val="12"/>
                <w:szCs w:val="12"/>
                <w:color w:val="auto"/>
              </w:rPr>
              <w:t>7.41%</w:t>
            </w:r>
          </w:p>
        </w:tc>
        <w:tc>
          <w:tcPr>
            <w:tcW w:w="660" w:type="dxa"/>
            <w:vAlign w:val="bottom"/>
          </w:tcPr>
          <w:p>
            <w:pPr>
              <w:jc w:val="right"/>
              <w:spacing w:after="0"/>
              <w:rPr>
                <w:sz w:val="20"/>
                <w:szCs w:val="20"/>
                <w:color w:val="auto"/>
              </w:rPr>
            </w:pPr>
            <w:r>
              <w:rPr>
                <w:rFonts w:ascii="Arial" w:cs="Arial" w:eastAsia="Arial" w:hAnsi="Arial"/>
                <w:sz w:val="12"/>
                <w:szCs w:val="12"/>
                <w:color w:val="auto"/>
              </w:rPr>
              <w:t>3M L+525</w:t>
            </w:r>
          </w:p>
        </w:tc>
        <w:tc>
          <w:tcPr>
            <w:tcW w:w="420" w:type="dxa"/>
            <w:vAlign w:val="bottom"/>
            <w:gridSpan w:val="2"/>
          </w:tcPr>
          <w:p>
            <w:pPr>
              <w:jc w:val="right"/>
              <w:spacing w:after="0"/>
              <w:rPr>
                <w:sz w:val="20"/>
                <w:szCs w:val="20"/>
                <w:color w:val="auto"/>
              </w:rPr>
            </w:pPr>
            <w:r>
              <w:rPr>
                <w:rFonts w:ascii="Arial" w:cs="Arial" w:eastAsia="Arial" w:hAnsi="Arial"/>
                <w:sz w:val="12"/>
                <w:szCs w:val="12"/>
                <w:color w:val="auto"/>
              </w:rPr>
              <w:t>A $</w:t>
            </w:r>
          </w:p>
        </w:tc>
        <w:tc>
          <w:tcPr>
            <w:tcW w:w="560" w:type="dxa"/>
            <w:vAlign w:val="bottom"/>
            <w:gridSpan w:val="2"/>
          </w:tcPr>
          <w:p>
            <w:pPr>
              <w:jc w:val="right"/>
              <w:ind w:right="20"/>
              <w:spacing w:after="0"/>
              <w:rPr>
                <w:sz w:val="20"/>
                <w:szCs w:val="20"/>
                <w:color w:val="auto"/>
              </w:rPr>
            </w:pPr>
            <w:r>
              <w:rPr>
                <w:rFonts w:ascii="Arial" w:cs="Arial" w:eastAsia="Arial" w:hAnsi="Arial"/>
                <w:sz w:val="12"/>
                <w:szCs w:val="12"/>
                <w:color w:val="auto"/>
                <w:w w:val="86"/>
              </w:rPr>
              <w:t>10,000,000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7,341,699</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2"/>
                <w:szCs w:val="12"/>
                <w:color w:val="auto"/>
              </w:rPr>
              <w:t>7,166,874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80" w:type="dxa"/>
            <w:vAlign w:val="bottom"/>
            <w:shd w:val="clear" w:color="auto" w:fill="CCECFF"/>
          </w:tcPr>
          <w:p>
            <w:pPr>
              <w:spacing w:after="0"/>
              <w:rPr>
                <w:sz w:val="20"/>
                <w:szCs w:val="20"/>
                <w:color w:val="auto"/>
              </w:rPr>
            </w:pPr>
            <w:r>
              <w:rPr>
                <w:rFonts w:ascii="Arial" w:cs="Arial" w:eastAsia="Arial" w:hAnsi="Arial"/>
                <w:sz w:val="12"/>
                <w:szCs w:val="12"/>
                <w:color w:val="auto"/>
              </w:rPr>
              <w:t>GCOM Software LLC</w:t>
            </w:r>
          </w:p>
        </w:tc>
        <w:tc>
          <w:tcPr>
            <w:tcW w:w="920" w:type="dxa"/>
            <w:vAlign w:val="bottom"/>
            <w:shd w:val="clear" w:color="auto" w:fill="CCECFF"/>
          </w:tcPr>
          <w:p>
            <w:pPr>
              <w:jc w:val="center"/>
              <w:ind w:right="122"/>
              <w:spacing w:after="0"/>
              <w:rPr>
                <w:sz w:val="20"/>
                <w:szCs w:val="20"/>
                <w:color w:val="auto"/>
              </w:rPr>
            </w:pPr>
            <w:r>
              <w:rPr>
                <w:rFonts w:ascii="Arial" w:cs="Arial" w:eastAsia="Arial" w:hAnsi="Arial"/>
                <w:sz w:val="12"/>
                <w:szCs w:val="12"/>
                <w:color w:val="auto"/>
                <w:w w:val="89"/>
              </w:rPr>
              <w:t>11/14/2022</w:t>
            </w:r>
          </w:p>
        </w:tc>
        <w:tc>
          <w:tcPr>
            <w:tcW w:w="2640" w:type="dxa"/>
            <w:vAlign w:val="bottom"/>
            <w:gridSpan w:val="2"/>
            <w:shd w:val="clear" w:color="auto" w:fill="CCECFF"/>
          </w:tcPr>
          <w:p>
            <w:pPr>
              <w:jc w:val="center"/>
              <w:ind w:right="220"/>
              <w:spacing w:after="0"/>
              <w:rPr>
                <w:sz w:val="20"/>
                <w:szCs w:val="20"/>
                <w:color w:val="auto"/>
              </w:rPr>
            </w:pPr>
            <w:r>
              <w:rPr>
                <w:rFonts w:ascii="Arial" w:cs="Arial" w:eastAsia="Arial" w:hAnsi="Arial"/>
                <w:sz w:val="12"/>
                <w:szCs w:val="12"/>
                <w:color w:val="auto"/>
                <w:w w:val="89"/>
              </w:rPr>
              <w:t>High Tech Industries</w:t>
            </w:r>
          </w:p>
        </w:tc>
        <w:tc>
          <w:tcPr>
            <w:tcW w:w="920" w:type="dxa"/>
            <w:vAlign w:val="bottom"/>
            <w:gridSpan w:val="3"/>
            <w:shd w:val="clear" w:color="auto" w:fill="CCECFF"/>
          </w:tcPr>
          <w:p>
            <w:pPr>
              <w:jc w:val="right"/>
              <w:ind w:right="160"/>
              <w:spacing w:after="0"/>
              <w:rPr>
                <w:sz w:val="20"/>
                <w:szCs w:val="20"/>
                <w:color w:val="auto"/>
              </w:rPr>
            </w:pPr>
            <w:r>
              <w:rPr>
                <w:rFonts w:ascii="Arial" w:cs="Arial" w:eastAsia="Arial" w:hAnsi="Arial"/>
                <w:sz w:val="12"/>
                <w:szCs w:val="12"/>
                <w:color w:val="auto"/>
              </w:rPr>
              <w:t>9.59%</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L+750</w:t>
            </w: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w w:val="86"/>
              </w:rPr>
              <w:t>14,800,000</w:t>
            </w:r>
          </w:p>
        </w:tc>
        <w:tc>
          <w:tcPr>
            <w:tcW w:w="1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14,726,932</w:t>
            </w:r>
          </w:p>
        </w:tc>
        <w:tc>
          <w:tcPr>
            <w:tcW w:w="24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70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rPr>
              <w:t>14,652,000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80" w:type="dxa"/>
            <w:vAlign w:val="bottom"/>
          </w:tcPr>
          <w:p>
            <w:pPr>
              <w:spacing w:after="0"/>
              <w:rPr>
                <w:sz w:val="20"/>
                <w:szCs w:val="20"/>
                <w:color w:val="auto"/>
              </w:rPr>
            </w:pPr>
            <w:r>
              <w:rPr>
                <w:rFonts w:ascii="Arial" w:cs="Arial" w:eastAsia="Arial" w:hAnsi="Arial"/>
                <w:sz w:val="12"/>
                <w:szCs w:val="12"/>
                <w:color w:val="auto"/>
              </w:rPr>
              <w:t>GSM Holdings, Inc.</w:t>
            </w:r>
          </w:p>
        </w:tc>
        <w:tc>
          <w:tcPr>
            <w:tcW w:w="920" w:type="dxa"/>
            <w:vAlign w:val="bottom"/>
          </w:tcPr>
          <w:p>
            <w:pPr>
              <w:jc w:val="center"/>
              <w:ind w:right="122"/>
              <w:spacing w:after="0"/>
              <w:rPr>
                <w:sz w:val="20"/>
                <w:szCs w:val="20"/>
                <w:color w:val="auto"/>
              </w:rPr>
            </w:pPr>
            <w:r>
              <w:rPr>
                <w:rFonts w:ascii="Arial" w:cs="Arial" w:eastAsia="Arial" w:hAnsi="Arial"/>
                <w:sz w:val="12"/>
                <w:szCs w:val="12"/>
                <w:color w:val="auto"/>
                <w:w w:val="89"/>
              </w:rPr>
              <w:t>06/03/2024</w:t>
            </w:r>
          </w:p>
        </w:tc>
        <w:tc>
          <w:tcPr>
            <w:tcW w:w="2640" w:type="dxa"/>
            <w:vAlign w:val="bottom"/>
            <w:gridSpan w:val="2"/>
          </w:tcPr>
          <w:p>
            <w:pPr>
              <w:jc w:val="center"/>
              <w:ind w:right="220"/>
              <w:spacing w:after="0"/>
              <w:rPr>
                <w:sz w:val="20"/>
                <w:szCs w:val="20"/>
                <w:color w:val="auto"/>
              </w:rPr>
            </w:pPr>
            <w:r>
              <w:rPr>
                <w:rFonts w:ascii="Arial" w:cs="Arial" w:eastAsia="Arial" w:hAnsi="Arial"/>
                <w:sz w:val="12"/>
                <w:szCs w:val="12"/>
                <w:color w:val="auto"/>
                <w:w w:val="88"/>
              </w:rPr>
              <w:t>Consumer Goods: Durable</w:t>
            </w:r>
          </w:p>
        </w:tc>
        <w:tc>
          <w:tcPr>
            <w:tcW w:w="920" w:type="dxa"/>
            <w:vAlign w:val="bottom"/>
            <w:gridSpan w:val="3"/>
          </w:tcPr>
          <w:p>
            <w:pPr>
              <w:jc w:val="right"/>
              <w:ind w:right="160"/>
              <w:spacing w:after="0"/>
              <w:rPr>
                <w:sz w:val="20"/>
                <w:szCs w:val="20"/>
                <w:color w:val="auto"/>
              </w:rPr>
            </w:pPr>
            <w:r>
              <w:rPr>
                <w:rFonts w:ascii="Arial" w:cs="Arial" w:eastAsia="Arial" w:hAnsi="Arial"/>
                <w:sz w:val="12"/>
                <w:szCs w:val="12"/>
                <w:color w:val="auto"/>
              </w:rPr>
              <w:t>6.83%</w:t>
            </w:r>
          </w:p>
        </w:tc>
        <w:tc>
          <w:tcPr>
            <w:tcW w:w="660" w:type="dxa"/>
            <w:vAlign w:val="bottom"/>
          </w:tcPr>
          <w:p>
            <w:pPr>
              <w:jc w:val="right"/>
              <w:spacing w:after="0"/>
              <w:rPr>
                <w:sz w:val="20"/>
                <w:szCs w:val="20"/>
                <w:color w:val="auto"/>
              </w:rPr>
            </w:pPr>
            <w:r>
              <w:rPr>
                <w:rFonts w:ascii="Arial" w:cs="Arial" w:eastAsia="Arial" w:hAnsi="Arial"/>
                <w:sz w:val="12"/>
                <w:szCs w:val="12"/>
                <w:color w:val="auto"/>
              </w:rPr>
              <w:t>3M L+450</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2"/>
                <w:szCs w:val="12"/>
                <w:color w:val="auto"/>
                <w:w w:val="86"/>
              </w:rPr>
              <w:t>15,500,000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15,346,329</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2"/>
                <w:szCs w:val="12"/>
                <w:color w:val="auto"/>
              </w:rPr>
              <w:t>15,345,000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8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IGM RFE1 B.V. </w:t>
            </w:r>
            <w:r>
              <w:rPr>
                <w:rFonts w:ascii="Arial" w:cs="Arial" w:eastAsia="Arial" w:hAnsi="Arial"/>
                <w:sz w:val="9"/>
                <w:szCs w:val="9"/>
                <w:color w:val="auto"/>
              </w:rPr>
              <w:t>(3), (4)</w:t>
            </w:r>
          </w:p>
        </w:tc>
        <w:tc>
          <w:tcPr>
            <w:tcW w:w="920" w:type="dxa"/>
            <w:vAlign w:val="bottom"/>
            <w:shd w:val="clear" w:color="auto" w:fill="CCECFF"/>
          </w:tcPr>
          <w:p>
            <w:pPr>
              <w:jc w:val="center"/>
              <w:ind w:right="122"/>
              <w:spacing w:after="0"/>
              <w:rPr>
                <w:sz w:val="20"/>
                <w:szCs w:val="20"/>
                <w:color w:val="auto"/>
              </w:rPr>
            </w:pPr>
            <w:r>
              <w:rPr>
                <w:rFonts w:ascii="Arial" w:cs="Arial" w:eastAsia="Arial" w:hAnsi="Arial"/>
                <w:sz w:val="12"/>
                <w:szCs w:val="12"/>
                <w:color w:val="auto"/>
                <w:w w:val="89"/>
              </w:rPr>
              <w:t>10/12/2021</w:t>
            </w:r>
          </w:p>
        </w:tc>
        <w:tc>
          <w:tcPr>
            <w:tcW w:w="2640" w:type="dxa"/>
            <w:vAlign w:val="bottom"/>
            <w:gridSpan w:val="2"/>
            <w:shd w:val="clear" w:color="auto" w:fill="CCECFF"/>
          </w:tcPr>
          <w:p>
            <w:pPr>
              <w:jc w:val="center"/>
              <w:ind w:right="240"/>
              <w:spacing w:after="0"/>
              <w:rPr>
                <w:sz w:val="20"/>
                <w:szCs w:val="20"/>
                <w:color w:val="auto"/>
              </w:rPr>
            </w:pPr>
            <w:r>
              <w:rPr>
                <w:rFonts w:ascii="Arial" w:cs="Arial" w:eastAsia="Arial" w:hAnsi="Arial"/>
                <w:sz w:val="12"/>
                <w:szCs w:val="12"/>
                <w:color w:val="auto"/>
                <w:w w:val="87"/>
              </w:rPr>
              <w:t>Chemicals, Plastics and Rubber</w:t>
            </w:r>
          </w:p>
        </w:tc>
        <w:tc>
          <w:tcPr>
            <w:tcW w:w="920" w:type="dxa"/>
            <w:vAlign w:val="bottom"/>
            <w:gridSpan w:val="3"/>
            <w:shd w:val="clear" w:color="auto" w:fill="CCECFF"/>
          </w:tcPr>
          <w:p>
            <w:pPr>
              <w:jc w:val="right"/>
              <w:ind w:right="160"/>
              <w:spacing w:after="0"/>
              <w:rPr>
                <w:sz w:val="20"/>
                <w:szCs w:val="20"/>
                <w:color w:val="auto"/>
              </w:rPr>
            </w:pPr>
            <w:r>
              <w:rPr>
                <w:rFonts w:ascii="Arial" w:cs="Arial" w:eastAsia="Arial" w:hAnsi="Arial"/>
                <w:sz w:val="12"/>
                <w:szCs w:val="12"/>
                <w:color w:val="auto"/>
              </w:rPr>
              <w:t>8.00%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E+800</w:t>
            </w: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jc w:val="right"/>
              <w:spacing w:after="0"/>
              <w:rPr>
                <w:sz w:val="20"/>
                <w:szCs w:val="20"/>
                <w:color w:val="auto"/>
              </w:rPr>
            </w:pPr>
            <w:r>
              <w:rPr>
                <w:rFonts w:ascii="Arial" w:cs="Arial" w:eastAsia="Arial" w:hAnsi="Arial"/>
                <w:sz w:val="9"/>
                <w:szCs w:val="9"/>
                <w:color w:val="auto"/>
                <w:w w:val="78"/>
              </w:rPr>
              <w:t>€</w:t>
            </w:r>
          </w:p>
        </w:tc>
        <w:tc>
          <w:tcPr>
            <w:tcW w:w="56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w w:val="97"/>
              </w:rPr>
              <w:t>9,778,665</w:t>
            </w:r>
          </w:p>
        </w:tc>
        <w:tc>
          <w:tcPr>
            <w:tcW w:w="1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11,707,914</w:t>
            </w:r>
          </w:p>
        </w:tc>
        <w:tc>
          <w:tcPr>
            <w:tcW w:w="24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70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rPr>
              <w:t>11,417,139</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80" w:type="dxa"/>
            <w:vAlign w:val="bottom"/>
          </w:tcPr>
          <w:p>
            <w:pPr>
              <w:spacing w:after="0"/>
              <w:rPr>
                <w:sz w:val="20"/>
                <w:szCs w:val="20"/>
                <w:color w:val="auto"/>
              </w:rPr>
            </w:pPr>
            <w:r>
              <w:rPr>
                <w:rFonts w:ascii="Arial" w:cs="Arial" w:eastAsia="Arial" w:hAnsi="Arial"/>
                <w:sz w:val="12"/>
                <w:szCs w:val="12"/>
                <w:color w:val="auto"/>
              </w:rPr>
              <w:t xml:space="preserve">Infrastructure Supply Operations Pty Ltd. </w:t>
            </w:r>
            <w:r>
              <w:rPr>
                <w:rFonts w:ascii="Arial" w:cs="Arial" w:eastAsia="Arial" w:hAnsi="Arial"/>
                <w:sz w:val="9"/>
                <w:szCs w:val="9"/>
                <w:color w:val="auto"/>
              </w:rPr>
              <w:t>(3), (4)</w:t>
            </w:r>
          </w:p>
        </w:tc>
        <w:tc>
          <w:tcPr>
            <w:tcW w:w="920" w:type="dxa"/>
            <w:vAlign w:val="bottom"/>
          </w:tcPr>
          <w:p>
            <w:pPr>
              <w:jc w:val="center"/>
              <w:ind w:right="122"/>
              <w:spacing w:after="0"/>
              <w:rPr>
                <w:sz w:val="20"/>
                <w:szCs w:val="20"/>
                <w:color w:val="auto"/>
              </w:rPr>
            </w:pPr>
            <w:r>
              <w:rPr>
                <w:rFonts w:ascii="Arial" w:cs="Arial" w:eastAsia="Arial" w:hAnsi="Arial"/>
                <w:sz w:val="12"/>
                <w:szCs w:val="12"/>
                <w:color w:val="auto"/>
                <w:w w:val="89"/>
              </w:rPr>
              <w:t>12/12/2023</w:t>
            </w:r>
          </w:p>
        </w:tc>
        <w:tc>
          <w:tcPr>
            <w:tcW w:w="2640" w:type="dxa"/>
            <w:vAlign w:val="bottom"/>
            <w:gridSpan w:val="2"/>
          </w:tcPr>
          <w:p>
            <w:pPr>
              <w:jc w:val="center"/>
              <w:ind w:right="220"/>
              <w:spacing w:after="0"/>
              <w:rPr>
                <w:sz w:val="20"/>
                <w:szCs w:val="20"/>
                <w:color w:val="auto"/>
              </w:rPr>
            </w:pPr>
            <w:r>
              <w:rPr>
                <w:rFonts w:ascii="Arial" w:cs="Arial" w:eastAsia="Arial" w:hAnsi="Arial"/>
                <w:sz w:val="12"/>
                <w:szCs w:val="12"/>
                <w:color w:val="auto"/>
                <w:w w:val="89"/>
              </w:rPr>
              <w:t>Wholesale</w:t>
            </w:r>
          </w:p>
        </w:tc>
        <w:tc>
          <w:tcPr>
            <w:tcW w:w="920" w:type="dxa"/>
            <w:vAlign w:val="bottom"/>
            <w:gridSpan w:val="3"/>
          </w:tcPr>
          <w:p>
            <w:pPr>
              <w:jc w:val="right"/>
              <w:ind w:right="160"/>
              <w:spacing w:after="0"/>
              <w:rPr>
                <w:sz w:val="20"/>
                <w:szCs w:val="20"/>
                <w:color w:val="auto"/>
              </w:rPr>
            </w:pPr>
            <w:r>
              <w:rPr>
                <w:rFonts w:ascii="Arial" w:cs="Arial" w:eastAsia="Arial" w:hAnsi="Arial"/>
                <w:sz w:val="12"/>
                <w:szCs w:val="12"/>
                <w:color w:val="auto"/>
              </w:rPr>
              <w:t>6.72%</w:t>
            </w:r>
          </w:p>
        </w:tc>
        <w:tc>
          <w:tcPr>
            <w:tcW w:w="660" w:type="dxa"/>
            <w:vAlign w:val="bottom"/>
          </w:tcPr>
          <w:p>
            <w:pPr>
              <w:jc w:val="right"/>
              <w:spacing w:after="0"/>
              <w:rPr>
                <w:sz w:val="20"/>
                <w:szCs w:val="20"/>
                <w:color w:val="auto"/>
              </w:rPr>
            </w:pPr>
            <w:r>
              <w:rPr>
                <w:rFonts w:ascii="Arial" w:cs="Arial" w:eastAsia="Arial" w:hAnsi="Arial"/>
                <w:sz w:val="12"/>
                <w:szCs w:val="12"/>
                <w:color w:val="auto"/>
              </w:rPr>
              <w:t>1M L+475</w:t>
            </w:r>
          </w:p>
        </w:tc>
        <w:tc>
          <w:tcPr>
            <w:tcW w:w="420" w:type="dxa"/>
            <w:vAlign w:val="bottom"/>
            <w:gridSpan w:val="2"/>
          </w:tcPr>
          <w:p>
            <w:pPr>
              <w:jc w:val="right"/>
              <w:spacing w:after="0"/>
              <w:rPr>
                <w:sz w:val="20"/>
                <w:szCs w:val="20"/>
                <w:color w:val="auto"/>
              </w:rPr>
            </w:pPr>
            <w:r>
              <w:rPr>
                <w:rFonts w:ascii="Arial" w:cs="Arial" w:eastAsia="Arial" w:hAnsi="Arial"/>
                <w:sz w:val="12"/>
                <w:szCs w:val="12"/>
                <w:color w:val="auto"/>
              </w:rPr>
              <w:t>A $</w:t>
            </w:r>
          </w:p>
        </w:tc>
        <w:tc>
          <w:tcPr>
            <w:tcW w:w="560" w:type="dxa"/>
            <w:vAlign w:val="bottom"/>
            <w:gridSpan w:val="2"/>
          </w:tcPr>
          <w:p>
            <w:pPr>
              <w:jc w:val="right"/>
              <w:ind w:right="20"/>
              <w:spacing w:after="0"/>
              <w:rPr>
                <w:sz w:val="20"/>
                <w:szCs w:val="20"/>
                <w:color w:val="auto"/>
              </w:rPr>
            </w:pPr>
            <w:r>
              <w:rPr>
                <w:rFonts w:ascii="Arial" w:cs="Arial" w:eastAsia="Arial" w:hAnsi="Arial"/>
                <w:sz w:val="12"/>
                <w:szCs w:val="12"/>
                <w:color w:val="auto"/>
                <w:w w:val="86"/>
              </w:rPr>
              <w:t>10,000,000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7,305,217</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2"/>
                <w:szCs w:val="12"/>
                <w:color w:val="auto"/>
              </w:rPr>
              <w:t>7,360,523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80" w:type="dxa"/>
            <w:vAlign w:val="bottom"/>
            <w:shd w:val="clear" w:color="auto" w:fill="CCECFF"/>
          </w:tcPr>
          <w:p>
            <w:pPr>
              <w:spacing w:after="0"/>
              <w:rPr>
                <w:sz w:val="20"/>
                <w:szCs w:val="20"/>
                <w:color w:val="auto"/>
              </w:rPr>
            </w:pPr>
            <w:r>
              <w:rPr>
                <w:rFonts w:ascii="Arial" w:cs="Arial" w:eastAsia="Arial" w:hAnsi="Arial"/>
                <w:sz w:val="12"/>
                <w:szCs w:val="12"/>
                <w:color w:val="auto"/>
              </w:rPr>
              <w:t>Long's Drugs Incorporated</w:t>
            </w:r>
          </w:p>
        </w:tc>
        <w:tc>
          <w:tcPr>
            <w:tcW w:w="920" w:type="dxa"/>
            <w:vAlign w:val="bottom"/>
            <w:shd w:val="clear" w:color="auto" w:fill="CCECFF"/>
          </w:tcPr>
          <w:p>
            <w:pPr>
              <w:jc w:val="center"/>
              <w:ind w:right="122"/>
              <w:spacing w:after="0"/>
              <w:rPr>
                <w:sz w:val="20"/>
                <w:szCs w:val="20"/>
                <w:color w:val="auto"/>
              </w:rPr>
            </w:pPr>
            <w:r>
              <w:rPr>
                <w:rFonts w:ascii="Arial" w:cs="Arial" w:eastAsia="Arial" w:hAnsi="Arial"/>
                <w:sz w:val="12"/>
                <w:szCs w:val="12"/>
                <w:color w:val="auto"/>
                <w:w w:val="89"/>
              </w:rPr>
              <w:t>08/19/2022</w:t>
            </w:r>
          </w:p>
        </w:tc>
        <w:tc>
          <w:tcPr>
            <w:tcW w:w="2640" w:type="dxa"/>
            <w:vAlign w:val="bottom"/>
            <w:gridSpan w:val="2"/>
            <w:shd w:val="clear" w:color="auto" w:fill="CCECFF"/>
          </w:tcPr>
          <w:p>
            <w:pPr>
              <w:jc w:val="center"/>
              <w:ind w:right="220"/>
              <w:spacing w:after="0"/>
              <w:rPr>
                <w:sz w:val="20"/>
                <w:szCs w:val="20"/>
                <w:color w:val="auto"/>
              </w:rPr>
            </w:pPr>
            <w:r>
              <w:rPr>
                <w:rFonts w:ascii="Arial" w:cs="Arial" w:eastAsia="Arial" w:hAnsi="Arial"/>
                <w:sz w:val="12"/>
                <w:szCs w:val="12"/>
                <w:color w:val="auto"/>
                <w:w w:val="86"/>
              </w:rPr>
              <w:t>Healthcare and Pharmaceuticals</w:t>
            </w:r>
          </w:p>
        </w:tc>
        <w:tc>
          <w:tcPr>
            <w:tcW w:w="920" w:type="dxa"/>
            <w:vAlign w:val="bottom"/>
            <w:gridSpan w:val="3"/>
            <w:shd w:val="clear" w:color="auto" w:fill="CCECFF"/>
          </w:tcPr>
          <w:p>
            <w:pPr>
              <w:jc w:val="right"/>
              <w:ind w:right="160"/>
              <w:spacing w:after="0"/>
              <w:rPr>
                <w:sz w:val="20"/>
                <w:szCs w:val="20"/>
                <w:color w:val="auto"/>
              </w:rPr>
            </w:pPr>
            <w:r>
              <w:rPr>
                <w:rFonts w:ascii="Arial" w:cs="Arial" w:eastAsia="Arial" w:hAnsi="Arial"/>
                <w:sz w:val="12"/>
                <w:szCs w:val="12"/>
                <w:color w:val="auto"/>
              </w:rPr>
              <w:t>7.05%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L+500</w:t>
            </w: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w w:val="86"/>
              </w:rPr>
              <w:t>18,000,000</w:t>
            </w:r>
          </w:p>
        </w:tc>
        <w:tc>
          <w:tcPr>
            <w:tcW w:w="1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17,824,096</w:t>
            </w:r>
          </w:p>
        </w:tc>
        <w:tc>
          <w:tcPr>
            <w:tcW w:w="24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70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rPr>
              <w:t>17,820,000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80" w:type="dxa"/>
            <w:vAlign w:val="bottom"/>
          </w:tcPr>
          <w:p>
            <w:pPr>
              <w:spacing w:after="0"/>
              <w:rPr>
                <w:sz w:val="20"/>
                <w:szCs w:val="20"/>
                <w:color w:val="auto"/>
              </w:rPr>
            </w:pPr>
            <w:r>
              <w:rPr>
                <w:rFonts w:ascii="Arial" w:cs="Arial" w:eastAsia="Arial" w:hAnsi="Arial"/>
                <w:sz w:val="12"/>
                <w:szCs w:val="12"/>
                <w:color w:val="auto"/>
              </w:rPr>
              <w:t>LSF9 Atlantis Holdings, LLC</w:t>
            </w:r>
          </w:p>
        </w:tc>
        <w:tc>
          <w:tcPr>
            <w:tcW w:w="920" w:type="dxa"/>
            <w:vAlign w:val="bottom"/>
          </w:tcPr>
          <w:p>
            <w:pPr>
              <w:jc w:val="center"/>
              <w:ind w:right="122"/>
              <w:spacing w:after="0"/>
              <w:rPr>
                <w:sz w:val="20"/>
                <w:szCs w:val="20"/>
                <w:color w:val="auto"/>
              </w:rPr>
            </w:pPr>
            <w:r>
              <w:rPr>
                <w:rFonts w:ascii="Arial" w:cs="Arial" w:eastAsia="Arial" w:hAnsi="Arial"/>
                <w:sz w:val="12"/>
                <w:szCs w:val="12"/>
                <w:color w:val="auto"/>
                <w:w w:val="89"/>
              </w:rPr>
              <w:t>05/01/2023</w:t>
            </w:r>
          </w:p>
        </w:tc>
        <w:tc>
          <w:tcPr>
            <w:tcW w:w="2640" w:type="dxa"/>
            <w:vAlign w:val="bottom"/>
            <w:gridSpan w:val="2"/>
          </w:tcPr>
          <w:p>
            <w:pPr>
              <w:jc w:val="center"/>
              <w:ind w:right="240"/>
              <w:spacing w:after="0"/>
              <w:rPr>
                <w:sz w:val="20"/>
                <w:szCs w:val="20"/>
                <w:color w:val="auto"/>
              </w:rPr>
            </w:pPr>
            <w:r>
              <w:rPr>
                <w:rFonts w:ascii="Arial" w:cs="Arial" w:eastAsia="Arial" w:hAnsi="Arial"/>
                <w:sz w:val="12"/>
                <w:szCs w:val="12"/>
                <w:color w:val="auto"/>
                <w:w w:val="91"/>
              </w:rPr>
              <w:t>Retail</w:t>
            </w:r>
          </w:p>
        </w:tc>
        <w:tc>
          <w:tcPr>
            <w:tcW w:w="920" w:type="dxa"/>
            <w:vAlign w:val="bottom"/>
            <w:gridSpan w:val="3"/>
          </w:tcPr>
          <w:p>
            <w:pPr>
              <w:jc w:val="right"/>
              <w:ind w:right="160"/>
              <w:spacing w:after="0"/>
              <w:rPr>
                <w:sz w:val="20"/>
                <w:szCs w:val="20"/>
                <w:color w:val="auto"/>
              </w:rPr>
            </w:pPr>
            <w:r>
              <w:rPr>
                <w:rFonts w:ascii="Arial" w:cs="Arial" w:eastAsia="Arial" w:hAnsi="Arial"/>
                <w:sz w:val="12"/>
                <w:szCs w:val="12"/>
                <w:color w:val="auto"/>
              </w:rPr>
              <w:t>8.00%</w:t>
            </w:r>
          </w:p>
        </w:tc>
        <w:tc>
          <w:tcPr>
            <w:tcW w:w="660" w:type="dxa"/>
            <w:vAlign w:val="bottom"/>
          </w:tcPr>
          <w:p>
            <w:pPr>
              <w:jc w:val="right"/>
              <w:spacing w:after="0"/>
              <w:rPr>
                <w:sz w:val="20"/>
                <w:szCs w:val="20"/>
                <w:color w:val="auto"/>
              </w:rPr>
            </w:pPr>
            <w:r>
              <w:rPr>
                <w:rFonts w:ascii="Arial" w:cs="Arial" w:eastAsia="Arial" w:hAnsi="Arial"/>
                <w:sz w:val="12"/>
                <w:szCs w:val="12"/>
                <w:color w:val="auto"/>
              </w:rPr>
              <w:t>1M L+600</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2"/>
                <w:szCs w:val="12"/>
                <w:color w:val="auto"/>
                <w:w w:val="97"/>
              </w:rPr>
              <w:t>7,312,500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7,369,915</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2"/>
                <w:szCs w:val="12"/>
                <w:color w:val="auto"/>
              </w:rPr>
              <w:t>7,221,094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80" w:type="dxa"/>
            <w:vAlign w:val="bottom"/>
            <w:shd w:val="clear" w:color="auto" w:fill="CCECFF"/>
          </w:tcPr>
          <w:p>
            <w:pPr>
              <w:spacing w:after="0"/>
              <w:rPr>
                <w:sz w:val="20"/>
                <w:szCs w:val="20"/>
                <w:color w:val="auto"/>
              </w:rPr>
            </w:pPr>
            <w:r>
              <w:rPr>
                <w:rFonts w:ascii="Arial" w:cs="Arial" w:eastAsia="Arial" w:hAnsi="Arial"/>
                <w:sz w:val="12"/>
                <w:szCs w:val="12"/>
                <w:color w:val="auto"/>
              </w:rPr>
              <w:t>Manna Pro Products, LLC</w:t>
            </w:r>
          </w:p>
        </w:tc>
        <w:tc>
          <w:tcPr>
            <w:tcW w:w="920" w:type="dxa"/>
            <w:vAlign w:val="bottom"/>
            <w:shd w:val="clear" w:color="auto" w:fill="CCECFF"/>
          </w:tcPr>
          <w:p>
            <w:pPr>
              <w:jc w:val="center"/>
              <w:ind w:right="122"/>
              <w:spacing w:after="0"/>
              <w:rPr>
                <w:sz w:val="20"/>
                <w:szCs w:val="20"/>
                <w:color w:val="auto"/>
              </w:rPr>
            </w:pPr>
            <w:r>
              <w:rPr>
                <w:rFonts w:ascii="Arial" w:cs="Arial" w:eastAsia="Arial" w:hAnsi="Arial"/>
                <w:sz w:val="12"/>
                <w:szCs w:val="12"/>
                <w:color w:val="auto"/>
                <w:w w:val="89"/>
              </w:rPr>
              <w:t>12/08/2023</w:t>
            </w:r>
          </w:p>
        </w:tc>
        <w:tc>
          <w:tcPr>
            <w:tcW w:w="2640" w:type="dxa"/>
            <w:vAlign w:val="bottom"/>
            <w:gridSpan w:val="2"/>
            <w:shd w:val="clear" w:color="auto" w:fill="CCECFF"/>
          </w:tcPr>
          <w:p>
            <w:pPr>
              <w:jc w:val="center"/>
              <w:ind w:right="220"/>
              <w:spacing w:after="0"/>
              <w:rPr>
                <w:sz w:val="20"/>
                <w:szCs w:val="20"/>
                <w:color w:val="auto"/>
              </w:rPr>
            </w:pPr>
            <w:r>
              <w:rPr>
                <w:rFonts w:ascii="Arial" w:cs="Arial" w:eastAsia="Arial" w:hAnsi="Arial"/>
                <w:sz w:val="12"/>
                <w:szCs w:val="12"/>
                <w:color w:val="auto"/>
                <w:w w:val="88"/>
              </w:rPr>
              <w:t>Consumer Goods: Non-Durable</w:t>
            </w:r>
          </w:p>
        </w:tc>
        <w:tc>
          <w:tcPr>
            <w:tcW w:w="920" w:type="dxa"/>
            <w:vAlign w:val="bottom"/>
            <w:gridSpan w:val="3"/>
            <w:shd w:val="clear" w:color="auto" w:fill="CCECFF"/>
          </w:tcPr>
          <w:p>
            <w:pPr>
              <w:jc w:val="right"/>
              <w:ind w:right="160"/>
              <w:spacing w:after="0"/>
              <w:rPr>
                <w:sz w:val="20"/>
                <w:szCs w:val="20"/>
                <w:color w:val="auto"/>
              </w:rPr>
            </w:pPr>
            <w:r>
              <w:rPr>
                <w:rFonts w:ascii="Arial" w:cs="Arial" w:eastAsia="Arial" w:hAnsi="Arial"/>
                <w:sz w:val="12"/>
                <w:szCs w:val="12"/>
                <w:color w:val="auto"/>
              </w:rPr>
              <w:t>8.05%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L+600</w:t>
            </w: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w w:val="97"/>
              </w:rPr>
              <w:t>6,965,000</w:t>
            </w:r>
          </w:p>
        </w:tc>
        <w:tc>
          <w:tcPr>
            <w:tcW w:w="1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6,867,470</w:t>
            </w:r>
          </w:p>
        </w:tc>
        <w:tc>
          <w:tcPr>
            <w:tcW w:w="24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70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rPr>
              <w:t>6,950,985</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80" w:type="dxa"/>
            <w:vAlign w:val="bottom"/>
          </w:tcPr>
          <w:p>
            <w:pPr>
              <w:spacing w:after="0"/>
              <w:rPr>
                <w:sz w:val="20"/>
                <w:szCs w:val="20"/>
                <w:color w:val="auto"/>
              </w:rPr>
            </w:pPr>
            <w:r>
              <w:rPr>
                <w:rFonts w:ascii="Arial" w:cs="Arial" w:eastAsia="Arial" w:hAnsi="Arial"/>
                <w:sz w:val="12"/>
                <w:szCs w:val="12"/>
                <w:color w:val="auto"/>
              </w:rPr>
              <w:t xml:space="preserve">Marketplace Events LLC </w:t>
            </w:r>
            <w:r>
              <w:rPr>
                <w:rFonts w:ascii="Arial" w:cs="Arial" w:eastAsia="Arial" w:hAnsi="Arial"/>
                <w:sz w:val="9"/>
                <w:szCs w:val="9"/>
                <w:color w:val="auto"/>
              </w:rPr>
              <w:t>(4)</w:t>
            </w:r>
          </w:p>
        </w:tc>
        <w:tc>
          <w:tcPr>
            <w:tcW w:w="920" w:type="dxa"/>
            <w:vAlign w:val="bottom"/>
          </w:tcPr>
          <w:p>
            <w:pPr>
              <w:jc w:val="center"/>
              <w:ind w:right="122"/>
              <w:spacing w:after="0"/>
              <w:rPr>
                <w:sz w:val="20"/>
                <w:szCs w:val="20"/>
                <w:color w:val="auto"/>
              </w:rPr>
            </w:pPr>
            <w:r>
              <w:rPr>
                <w:rFonts w:ascii="Arial" w:cs="Arial" w:eastAsia="Arial" w:hAnsi="Arial"/>
                <w:sz w:val="12"/>
                <w:szCs w:val="12"/>
                <w:color w:val="auto"/>
                <w:w w:val="89"/>
              </w:rPr>
              <w:t>01/27/2021</w:t>
            </w:r>
          </w:p>
        </w:tc>
        <w:tc>
          <w:tcPr>
            <w:tcW w:w="2640" w:type="dxa"/>
            <w:vAlign w:val="bottom"/>
            <w:gridSpan w:val="2"/>
          </w:tcPr>
          <w:p>
            <w:pPr>
              <w:jc w:val="center"/>
              <w:ind w:right="220"/>
              <w:spacing w:after="0"/>
              <w:rPr>
                <w:sz w:val="20"/>
                <w:szCs w:val="20"/>
                <w:color w:val="auto"/>
              </w:rPr>
            </w:pPr>
            <w:r>
              <w:rPr>
                <w:rFonts w:ascii="Arial" w:cs="Arial" w:eastAsia="Arial" w:hAnsi="Arial"/>
                <w:sz w:val="12"/>
                <w:szCs w:val="12"/>
                <w:color w:val="auto"/>
                <w:w w:val="90"/>
              </w:rPr>
              <w:t>Media: Diversified and Production</w:t>
            </w:r>
          </w:p>
        </w:tc>
        <w:tc>
          <w:tcPr>
            <w:tcW w:w="920" w:type="dxa"/>
            <w:vAlign w:val="bottom"/>
            <w:gridSpan w:val="3"/>
          </w:tcPr>
          <w:p>
            <w:pPr>
              <w:jc w:val="right"/>
              <w:ind w:right="160"/>
              <w:spacing w:after="0"/>
              <w:rPr>
                <w:sz w:val="20"/>
                <w:szCs w:val="20"/>
                <w:color w:val="auto"/>
              </w:rPr>
            </w:pPr>
            <w:r>
              <w:rPr>
                <w:rFonts w:ascii="Arial" w:cs="Arial" w:eastAsia="Arial" w:hAnsi="Arial"/>
                <w:sz w:val="12"/>
                <w:szCs w:val="12"/>
                <w:color w:val="auto"/>
              </w:rPr>
              <w:t>6.89%</w:t>
            </w:r>
          </w:p>
        </w:tc>
        <w:tc>
          <w:tcPr>
            <w:tcW w:w="660" w:type="dxa"/>
            <w:vAlign w:val="bottom"/>
          </w:tcPr>
          <w:p>
            <w:pPr>
              <w:jc w:val="right"/>
              <w:spacing w:after="0"/>
              <w:rPr>
                <w:sz w:val="20"/>
                <w:szCs w:val="20"/>
                <w:color w:val="auto"/>
              </w:rPr>
            </w:pPr>
            <w:r>
              <w:rPr>
                <w:rFonts w:ascii="Arial" w:cs="Arial" w:eastAsia="Arial" w:hAnsi="Arial"/>
                <w:sz w:val="12"/>
                <w:szCs w:val="12"/>
                <w:color w:val="auto"/>
              </w:rPr>
              <w:t>P+275</w:t>
            </w:r>
          </w:p>
        </w:tc>
        <w:tc>
          <w:tcPr>
            <w:tcW w:w="420" w:type="dxa"/>
            <w:vAlign w:val="bottom"/>
            <w:gridSpan w:val="2"/>
          </w:tcPr>
          <w:p>
            <w:pPr>
              <w:jc w:val="right"/>
              <w:spacing w:after="0"/>
              <w:rPr>
                <w:sz w:val="20"/>
                <w:szCs w:val="20"/>
                <w:color w:val="auto"/>
              </w:rPr>
            </w:pPr>
            <w:r>
              <w:rPr>
                <w:rFonts w:ascii="Arial" w:cs="Arial" w:eastAsia="Arial" w:hAnsi="Arial"/>
                <w:sz w:val="12"/>
                <w:szCs w:val="12"/>
                <w:color w:val="auto"/>
              </w:rPr>
              <w:t>C $</w:t>
            </w:r>
          </w:p>
        </w:tc>
        <w:tc>
          <w:tcPr>
            <w:tcW w:w="560" w:type="dxa"/>
            <w:vAlign w:val="bottom"/>
            <w:gridSpan w:val="2"/>
          </w:tcPr>
          <w:p>
            <w:pPr>
              <w:jc w:val="right"/>
              <w:ind w:right="20"/>
              <w:spacing w:after="0"/>
              <w:rPr>
                <w:sz w:val="20"/>
                <w:szCs w:val="20"/>
                <w:color w:val="auto"/>
              </w:rPr>
            </w:pPr>
            <w:r>
              <w:rPr>
                <w:rFonts w:ascii="Arial" w:cs="Arial" w:eastAsia="Arial" w:hAnsi="Arial"/>
                <w:sz w:val="12"/>
                <w:szCs w:val="12"/>
                <w:color w:val="auto"/>
                <w:w w:val="97"/>
              </w:rPr>
              <w:t>5,835,254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4,492,564</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2"/>
                <w:szCs w:val="12"/>
                <w:color w:val="auto"/>
              </w:rPr>
              <w:t>4,435,937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80" w:type="dxa"/>
            <w:vAlign w:val="bottom"/>
            <w:shd w:val="clear" w:color="auto" w:fill="CCECFF"/>
          </w:tcPr>
          <w:p>
            <w:pPr>
              <w:spacing w:after="0"/>
              <w:rPr>
                <w:sz w:val="20"/>
                <w:szCs w:val="20"/>
                <w:color w:val="auto"/>
              </w:rPr>
            </w:pPr>
            <w:r>
              <w:rPr>
                <w:rFonts w:ascii="Arial" w:cs="Arial" w:eastAsia="Arial" w:hAnsi="Arial"/>
                <w:sz w:val="12"/>
                <w:szCs w:val="12"/>
                <w:color w:val="auto"/>
              </w:rPr>
              <w:t>Maytex Mills, Inc.</w:t>
            </w:r>
          </w:p>
        </w:tc>
        <w:tc>
          <w:tcPr>
            <w:tcW w:w="920" w:type="dxa"/>
            <w:vAlign w:val="bottom"/>
            <w:shd w:val="clear" w:color="auto" w:fill="CCECFF"/>
          </w:tcPr>
          <w:p>
            <w:pPr>
              <w:jc w:val="center"/>
              <w:ind w:right="122"/>
              <w:spacing w:after="0"/>
              <w:rPr>
                <w:sz w:val="20"/>
                <w:szCs w:val="20"/>
                <w:color w:val="auto"/>
              </w:rPr>
            </w:pPr>
            <w:r>
              <w:rPr>
                <w:rFonts w:ascii="Arial" w:cs="Arial" w:eastAsia="Arial" w:hAnsi="Arial"/>
                <w:sz w:val="12"/>
                <w:szCs w:val="12"/>
                <w:color w:val="auto"/>
                <w:w w:val="89"/>
              </w:rPr>
              <w:t>12/27/2023</w:t>
            </w:r>
          </w:p>
        </w:tc>
        <w:tc>
          <w:tcPr>
            <w:tcW w:w="2640" w:type="dxa"/>
            <w:vAlign w:val="bottom"/>
            <w:gridSpan w:val="2"/>
            <w:shd w:val="clear" w:color="auto" w:fill="CCECFF"/>
          </w:tcPr>
          <w:p>
            <w:pPr>
              <w:jc w:val="center"/>
              <w:ind w:right="220"/>
              <w:spacing w:after="0"/>
              <w:rPr>
                <w:sz w:val="20"/>
                <w:szCs w:val="20"/>
                <w:color w:val="auto"/>
              </w:rPr>
            </w:pPr>
            <w:r>
              <w:rPr>
                <w:rFonts w:ascii="Arial" w:cs="Arial" w:eastAsia="Arial" w:hAnsi="Arial"/>
                <w:sz w:val="12"/>
                <w:szCs w:val="12"/>
                <w:color w:val="auto"/>
                <w:w w:val="88"/>
              </w:rPr>
              <w:t>Consumer Goods: Durable</w:t>
            </w:r>
          </w:p>
        </w:tc>
        <w:tc>
          <w:tcPr>
            <w:tcW w:w="920" w:type="dxa"/>
            <w:vAlign w:val="bottom"/>
            <w:gridSpan w:val="3"/>
            <w:shd w:val="clear" w:color="auto" w:fill="CCECFF"/>
          </w:tcPr>
          <w:p>
            <w:pPr>
              <w:jc w:val="right"/>
              <w:ind w:right="160"/>
              <w:spacing w:after="0"/>
              <w:rPr>
                <w:sz w:val="20"/>
                <w:szCs w:val="20"/>
                <w:color w:val="auto"/>
              </w:rPr>
            </w:pPr>
            <w:r>
              <w:rPr>
                <w:rFonts w:ascii="Arial" w:cs="Arial" w:eastAsia="Arial" w:hAnsi="Arial"/>
                <w:sz w:val="12"/>
                <w:szCs w:val="12"/>
                <w:color w:val="auto"/>
              </w:rPr>
              <w:t>6.58%</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L+450</w:t>
            </w: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w w:val="97"/>
              </w:rPr>
              <w:t>8,955,000</w:t>
            </w:r>
          </w:p>
        </w:tc>
        <w:tc>
          <w:tcPr>
            <w:tcW w:w="1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8,912,698</w:t>
            </w:r>
          </w:p>
        </w:tc>
        <w:tc>
          <w:tcPr>
            <w:tcW w:w="24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70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rPr>
              <w:t>8,955,000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80" w:type="dxa"/>
            <w:vAlign w:val="bottom"/>
          </w:tcPr>
          <w:p>
            <w:pPr>
              <w:spacing w:after="0"/>
              <w:rPr>
                <w:sz w:val="20"/>
                <w:szCs w:val="20"/>
                <w:color w:val="auto"/>
              </w:rPr>
            </w:pPr>
            <w:r>
              <w:rPr>
                <w:rFonts w:ascii="Arial" w:cs="Arial" w:eastAsia="Arial" w:hAnsi="Arial"/>
                <w:sz w:val="12"/>
                <w:szCs w:val="12"/>
                <w:color w:val="auto"/>
              </w:rPr>
              <w:t>McAfee, LLC</w:t>
            </w:r>
          </w:p>
        </w:tc>
        <w:tc>
          <w:tcPr>
            <w:tcW w:w="920" w:type="dxa"/>
            <w:vAlign w:val="bottom"/>
          </w:tcPr>
          <w:p>
            <w:pPr>
              <w:jc w:val="center"/>
              <w:ind w:right="122"/>
              <w:spacing w:after="0"/>
              <w:rPr>
                <w:sz w:val="20"/>
                <w:szCs w:val="20"/>
                <w:color w:val="auto"/>
              </w:rPr>
            </w:pPr>
            <w:r>
              <w:rPr>
                <w:rFonts w:ascii="Arial" w:cs="Arial" w:eastAsia="Arial" w:hAnsi="Arial"/>
                <w:sz w:val="12"/>
                <w:szCs w:val="12"/>
                <w:color w:val="auto"/>
                <w:w w:val="89"/>
              </w:rPr>
              <w:t>09/30/2024</w:t>
            </w:r>
          </w:p>
        </w:tc>
        <w:tc>
          <w:tcPr>
            <w:tcW w:w="2640" w:type="dxa"/>
            <w:vAlign w:val="bottom"/>
            <w:gridSpan w:val="2"/>
          </w:tcPr>
          <w:p>
            <w:pPr>
              <w:jc w:val="center"/>
              <w:ind w:right="220"/>
              <w:spacing w:after="0"/>
              <w:rPr>
                <w:sz w:val="20"/>
                <w:szCs w:val="20"/>
                <w:color w:val="auto"/>
              </w:rPr>
            </w:pPr>
            <w:r>
              <w:rPr>
                <w:rFonts w:ascii="Arial" w:cs="Arial" w:eastAsia="Arial" w:hAnsi="Arial"/>
                <w:sz w:val="12"/>
                <w:szCs w:val="12"/>
                <w:color w:val="auto"/>
                <w:w w:val="89"/>
              </w:rPr>
              <w:t>High Tech Industries</w:t>
            </w:r>
          </w:p>
        </w:tc>
        <w:tc>
          <w:tcPr>
            <w:tcW w:w="920" w:type="dxa"/>
            <w:vAlign w:val="bottom"/>
            <w:gridSpan w:val="3"/>
          </w:tcPr>
          <w:p>
            <w:pPr>
              <w:jc w:val="right"/>
              <w:ind w:right="160"/>
              <w:spacing w:after="0"/>
              <w:rPr>
                <w:sz w:val="20"/>
                <w:szCs w:val="20"/>
                <w:color w:val="auto"/>
              </w:rPr>
            </w:pPr>
            <w:r>
              <w:rPr>
                <w:rFonts w:ascii="Arial" w:cs="Arial" w:eastAsia="Arial" w:hAnsi="Arial"/>
                <w:sz w:val="12"/>
                <w:szCs w:val="12"/>
                <w:color w:val="auto"/>
              </w:rPr>
              <w:t>6.59%</w:t>
            </w:r>
          </w:p>
        </w:tc>
        <w:tc>
          <w:tcPr>
            <w:tcW w:w="660" w:type="dxa"/>
            <w:vAlign w:val="bottom"/>
          </w:tcPr>
          <w:p>
            <w:pPr>
              <w:jc w:val="right"/>
              <w:spacing w:after="0"/>
              <w:rPr>
                <w:sz w:val="20"/>
                <w:szCs w:val="20"/>
                <w:color w:val="auto"/>
              </w:rPr>
            </w:pPr>
            <w:r>
              <w:rPr>
                <w:rFonts w:ascii="Arial" w:cs="Arial" w:eastAsia="Arial" w:hAnsi="Arial"/>
                <w:sz w:val="12"/>
                <w:szCs w:val="12"/>
                <w:color w:val="auto"/>
              </w:rPr>
              <w:t>1M L+450</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2"/>
                <w:szCs w:val="12"/>
                <w:color w:val="auto"/>
                <w:w w:val="97"/>
              </w:rPr>
              <w:t>7,443,750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7,375,905</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2"/>
                <w:szCs w:val="12"/>
                <w:color w:val="auto"/>
              </w:rPr>
              <w:t>7,474,344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80" w:type="dxa"/>
            <w:vAlign w:val="bottom"/>
            <w:shd w:val="clear" w:color="auto" w:fill="CCECFF"/>
          </w:tcPr>
          <w:p>
            <w:pPr>
              <w:spacing w:after="0"/>
              <w:rPr>
                <w:sz w:val="20"/>
                <w:szCs w:val="20"/>
                <w:color w:val="auto"/>
              </w:rPr>
            </w:pPr>
            <w:r>
              <w:rPr>
                <w:rFonts w:ascii="Arial" w:cs="Arial" w:eastAsia="Arial" w:hAnsi="Arial"/>
                <w:sz w:val="12"/>
                <w:szCs w:val="12"/>
                <w:color w:val="auto"/>
              </w:rPr>
              <w:t>Mission Critical Electronics, Inc.</w:t>
            </w:r>
          </w:p>
        </w:tc>
        <w:tc>
          <w:tcPr>
            <w:tcW w:w="920" w:type="dxa"/>
            <w:vAlign w:val="bottom"/>
            <w:shd w:val="clear" w:color="auto" w:fill="CCECFF"/>
          </w:tcPr>
          <w:p>
            <w:pPr>
              <w:jc w:val="center"/>
              <w:ind w:right="122"/>
              <w:spacing w:after="0"/>
              <w:rPr>
                <w:sz w:val="20"/>
                <w:szCs w:val="20"/>
                <w:color w:val="auto"/>
              </w:rPr>
            </w:pPr>
            <w:r>
              <w:rPr>
                <w:rFonts w:ascii="Arial" w:cs="Arial" w:eastAsia="Arial" w:hAnsi="Arial"/>
                <w:sz w:val="12"/>
                <w:szCs w:val="12"/>
                <w:color w:val="auto"/>
                <w:w w:val="89"/>
              </w:rPr>
              <w:t>09/28/2022</w:t>
            </w:r>
          </w:p>
        </w:tc>
        <w:tc>
          <w:tcPr>
            <w:tcW w:w="2640" w:type="dxa"/>
            <w:vAlign w:val="bottom"/>
            <w:gridSpan w:val="2"/>
            <w:shd w:val="clear" w:color="auto" w:fill="CCECFF"/>
          </w:tcPr>
          <w:p>
            <w:pPr>
              <w:jc w:val="center"/>
              <w:ind w:right="240"/>
              <w:spacing w:after="0"/>
              <w:rPr>
                <w:sz w:val="20"/>
                <w:szCs w:val="20"/>
                <w:color w:val="auto"/>
              </w:rPr>
            </w:pPr>
            <w:r>
              <w:rPr>
                <w:rFonts w:ascii="Arial" w:cs="Arial" w:eastAsia="Arial" w:hAnsi="Arial"/>
                <w:sz w:val="12"/>
                <w:szCs w:val="12"/>
                <w:color w:val="auto"/>
                <w:w w:val="89"/>
              </w:rPr>
              <w:t>Capital Equipment</w:t>
            </w:r>
          </w:p>
        </w:tc>
        <w:tc>
          <w:tcPr>
            <w:tcW w:w="920" w:type="dxa"/>
            <w:vAlign w:val="bottom"/>
            <w:gridSpan w:val="3"/>
            <w:shd w:val="clear" w:color="auto" w:fill="CCECFF"/>
          </w:tcPr>
          <w:p>
            <w:pPr>
              <w:jc w:val="right"/>
              <w:ind w:right="160"/>
              <w:spacing w:after="0"/>
              <w:rPr>
                <w:sz w:val="20"/>
                <w:szCs w:val="20"/>
                <w:color w:val="auto"/>
              </w:rPr>
            </w:pPr>
            <w:r>
              <w:rPr>
                <w:rFonts w:ascii="Arial" w:cs="Arial" w:eastAsia="Arial" w:hAnsi="Arial"/>
                <w:sz w:val="12"/>
                <w:szCs w:val="12"/>
                <w:color w:val="auto"/>
              </w:rPr>
              <w:t>7.17%</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2M L+500</w:t>
            </w: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w w:val="97"/>
              </w:rPr>
              <w:t>4,005,973</w:t>
            </w:r>
          </w:p>
        </w:tc>
        <w:tc>
          <w:tcPr>
            <w:tcW w:w="1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3,985,004</w:t>
            </w:r>
          </w:p>
        </w:tc>
        <w:tc>
          <w:tcPr>
            <w:tcW w:w="24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70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rPr>
              <w:t>3,999,261</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80" w:type="dxa"/>
            <w:vAlign w:val="bottom"/>
          </w:tcPr>
          <w:p>
            <w:pPr>
              <w:spacing w:after="0"/>
              <w:rPr>
                <w:sz w:val="20"/>
                <w:szCs w:val="20"/>
                <w:color w:val="auto"/>
              </w:rPr>
            </w:pPr>
            <w:r>
              <w:rPr>
                <w:rFonts w:ascii="Arial" w:cs="Arial" w:eastAsia="Arial" w:hAnsi="Arial"/>
                <w:sz w:val="12"/>
                <w:szCs w:val="12"/>
                <w:color w:val="auto"/>
              </w:rPr>
              <w:t>Morphe, LLC</w:t>
            </w:r>
          </w:p>
        </w:tc>
        <w:tc>
          <w:tcPr>
            <w:tcW w:w="920" w:type="dxa"/>
            <w:vAlign w:val="bottom"/>
          </w:tcPr>
          <w:p>
            <w:pPr>
              <w:jc w:val="center"/>
              <w:ind w:right="122"/>
              <w:spacing w:after="0"/>
              <w:rPr>
                <w:sz w:val="20"/>
                <w:szCs w:val="20"/>
                <w:color w:val="auto"/>
              </w:rPr>
            </w:pPr>
            <w:r>
              <w:rPr>
                <w:rFonts w:ascii="Arial" w:cs="Arial" w:eastAsia="Arial" w:hAnsi="Arial"/>
                <w:sz w:val="12"/>
                <w:szCs w:val="12"/>
                <w:color w:val="auto"/>
                <w:w w:val="89"/>
              </w:rPr>
              <w:t>02/10/2023</w:t>
            </w:r>
          </w:p>
        </w:tc>
        <w:tc>
          <w:tcPr>
            <w:tcW w:w="2640" w:type="dxa"/>
            <w:vAlign w:val="bottom"/>
            <w:gridSpan w:val="2"/>
          </w:tcPr>
          <w:p>
            <w:pPr>
              <w:jc w:val="center"/>
              <w:ind w:right="220"/>
              <w:spacing w:after="0"/>
              <w:rPr>
                <w:sz w:val="20"/>
                <w:szCs w:val="20"/>
                <w:color w:val="auto"/>
              </w:rPr>
            </w:pPr>
            <w:r>
              <w:rPr>
                <w:rFonts w:ascii="Arial" w:cs="Arial" w:eastAsia="Arial" w:hAnsi="Arial"/>
                <w:sz w:val="12"/>
                <w:szCs w:val="12"/>
                <w:color w:val="auto"/>
                <w:w w:val="88"/>
              </w:rPr>
              <w:t>Consumer Goods: Non-Durable</w:t>
            </w:r>
          </w:p>
        </w:tc>
        <w:tc>
          <w:tcPr>
            <w:tcW w:w="920" w:type="dxa"/>
            <w:vAlign w:val="bottom"/>
            <w:gridSpan w:val="3"/>
          </w:tcPr>
          <w:p>
            <w:pPr>
              <w:jc w:val="right"/>
              <w:ind w:right="160"/>
              <w:spacing w:after="0"/>
              <w:rPr>
                <w:sz w:val="20"/>
                <w:szCs w:val="20"/>
                <w:color w:val="auto"/>
              </w:rPr>
            </w:pPr>
            <w:r>
              <w:rPr>
                <w:rFonts w:ascii="Arial" w:cs="Arial" w:eastAsia="Arial" w:hAnsi="Arial"/>
                <w:sz w:val="12"/>
                <w:szCs w:val="12"/>
                <w:color w:val="auto"/>
              </w:rPr>
              <w:t>8.33%</w:t>
            </w:r>
          </w:p>
        </w:tc>
        <w:tc>
          <w:tcPr>
            <w:tcW w:w="660" w:type="dxa"/>
            <w:vAlign w:val="bottom"/>
          </w:tcPr>
          <w:p>
            <w:pPr>
              <w:jc w:val="right"/>
              <w:spacing w:after="0"/>
              <w:rPr>
                <w:sz w:val="20"/>
                <w:szCs w:val="20"/>
                <w:color w:val="auto"/>
              </w:rPr>
            </w:pPr>
            <w:r>
              <w:rPr>
                <w:rFonts w:ascii="Arial" w:cs="Arial" w:eastAsia="Arial" w:hAnsi="Arial"/>
                <w:sz w:val="12"/>
                <w:szCs w:val="12"/>
                <w:color w:val="auto"/>
              </w:rPr>
              <w:t>3M L+600</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2"/>
                <w:szCs w:val="12"/>
                <w:color w:val="auto"/>
                <w:w w:val="86"/>
              </w:rPr>
              <w:t>13,081,250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12,946,963</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2"/>
                <w:szCs w:val="12"/>
                <w:color w:val="auto"/>
              </w:rPr>
              <w:t>13,015,844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80" w:type="dxa"/>
            <w:vAlign w:val="bottom"/>
            <w:shd w:val="clear" w:color="auto" w:fill="CCECFF"/>
          </w:tcPr>
          <w:p>
            <w:pPr>
              <w:spacing w:after="0"/>
              <w:rPr>
                <w:sz w:val="20"/>
                <w:szCs w:val="20"/>
                <w:color w:val="auto"/>
              </w:rPr>
            </w:pPr>
            <w:r>
              <w:rPr>
                <w:rFonts w:ascii="Arial" w:cs="Arial" w:eastAsia="Arial" w:hAnsi="Arial"/>
                <w:sz w:val="12"/>
                <w:szCs w:val="12"/>
                <w:color w:val="auto"/>
              </w:rPr>
              <w:t>New Milani Group LLC</w:t>
            </w:r>
          </w:p>
        </w:tc>
        <w:tc>
          <w:tcPr>
            <w:tcW w:w="920" w:type="dxa"/>
            <w:vAlign w:val="bottom"/>
            <w:shd w:val="clear" w:color="auto" w:fill="CCECFF"/>
          </w:tcPr>
          <w:p>
            <w:pPr>
              <w:jc w:val="center"/>
              <w:ind w:right="122"/>
              <w:spacing w:after="0"/>
              <w:rPr>
                <w:sz w:val="20"/>
                <w:szCs w:val="20"/>
                <w:color w:val="auto"/>
              </w:rPr>
            </w:pPr>
            <w:r>
              <w:rPr>
                <w:rFonts w:ascii="Arial" w:cs="Arial" w:eastAsia="Arial" w:hAnsi="Arial"/>
                <w:sz w:val="12"/>
                <w:szCs w:val="12"/>
                <w:color w:val="auto"/>
                <w:w w:val="89"/>
              </w:rPr>
              <w:t>06/06/2024</w:t>
            </w:r>
          </w:p>
        </w:tc>
        <w:tc>
          <w:tcPr>
            <w:tcW w:w="2640" w:type="dxa"/>
            <w:vAlign w:val="bottom"/>
            <w:gridSpan w:val="2"/>
            <w:shd w:val="clear" w:color="auto" w:fill="CCECFF"/>
          </w:tcPr>
          <w:p>
            <w:pPr>
              <w:jc w:val="center"/>
              <w:ind w:right="220"/>
              <w:spacing w:after="0"/>
              <w:rPr>
                <w:sz w:val="20"/>
                <w:szCs w:val="20"/>
                <w:color w:val="auto"/>
              </w:rPr>
            </w:pPr>
            <w:r>
              <w:rPr>
                <w:rFonts w:ascii="Arial" w:cs="Arial" w:eastAsia="Arial" w:hAnsi="Arial"/>
                <w:sz w:val="12"/>
                <w:szCs w:val="12"/>
                <w:color w:val="auto"/>
                <w:w w:val="88"/>
              </w:rPr>
              <w:t>Consumer Goods: Non-Durable</w:t>
            </w:r>
          </w:p>
        </w:tc>
        <w:tc>
          <w:tcPr>
            <w:tcW w:w="920" w:type="dxa"/>
            <w:vAlign w:val="bottom"/>
            <w:gridSpan w:val="3"/>
            <w:shd w:val="clear" w:color="auto" w:fill="CCECFF"/>
          </w:tcPr>
          <w:p>
            <w:pPr>
              <w:jc w:val="right"/>
              <w:ind w:right="160"/>
              <w:spacing w:after="0"/>
              <w:rPr>
                <w:sz w:val="20"/>
                <w:szCs w:val="20"/>
                <w:color w:val="auto"/>
              </w:rPr>
            </w:pPr>
            <w:r>
              <w:rPr>
                <w:rFonts w:ascii="Arial" w:cs="Arial" w:eastAsia="Arial" w:hAnsi="Arial"/>
                <w:sz w:val="12"/>
                <w:szCs w:val="12"/>
                <w:color w:val="auto"/>
              </w:rPr>
              <w:t>6.34%</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L+425</w:t>
            </w: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w w:val="86"/>
              </w:rPr>
              <w:t>15,000,000</w:t>
            </w:r>
          </w:p>
        </w:tc>
        <w:tc>
          <w:tcPr>
            <w:tcW w:w="1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14,850,858</w:t>
            </w:r>
          </w:p>
        </w:tc>
        <w:tc>
          <w:tcPr>
            <w:tcW w:w="24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70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rPr>
              <w:t>14,850,000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80" w:type="dxa"/>
            <w:vAlign w:val="bottom"/>
          </w:tcPr>
          <w:p>
            <w:pPr>
              <w:spacing w:after="0"/>
              <w:rPr>
                <w:sz w:val="20"/>
                <w:szCs w:val="20"/>
                <w:color w:val="auto"/>
              </w:rPr>
            </w:pPr>
            <w:r>
              <w:rPr>
                <w:rFonts w:ascii="Arial" w:cs="Arial" w:eastAsia="Arial" w:hAnsi="Arial"/>
                <w:sz w:val="12"/>
                <w:szCs w:val="12"/>
                <w:color w:val="auto"/>
              </w:rPr>
              <w:t>Olde Thompson, LLC</w:t>
            </w:r>
          </w:p>
        </w:tc>
        <w:tc>
          <w:tcPr>
            <w:tcW w:w="920" w:type="dxa"/>
            <w:vAlign w:val="bottom"/>
          </w:tcPr>
          <w:p>
            <w:pPr>
              <w:jc w:val="center"/>
              <w:ind w:right="122"/>
              <w:spacing w:after="0"/>
              <w:rPr>
                <w:sz w:val="20"/>
                <w:szCs w:val="20"/>
                <w:color w:val="auto"/>
              </w:rPr>
            </w:pPr>
            <w:r>
              <w:rPr>
                <w:rFonts w:ascii="Arial" w:cs="Arial" w:eastAsia="Arial" w:hAnsi="Arial"/>
                <w:sz w:val="12"/>
                <w:szCs w:val="12"/>
                <w:color w:val="auto"/>
                <w:w w:val="89"/>
              </w:rPr>
              <w:t>05/14/2024</w:t>
            </w:r>
          </w:p>
        </w:tc>
        <w:tc>
          <w:tcPr>
            <w:tcW w:w="2640" w:type="dxa"/>
            <w:vAlign w:val="bottom"/>
            <w:gridSpan w:val="2"/>
          </w:tcPr>
          <w:p>
            <w:pPr>
              <w:jc w:val="center"/>
              <w:ind w:right="240"/>
              <w:spacing w:after="0"/>
              <w:rPr>
                <w:sz w:val="20"/>
                <w:szCs w:val="20"/>
                <w:color w:val="auto"/>
              </w:rPr>
            </w:pPr>
            <w:r>
              <w:rPr>
                <w:rFonts w:ascii="Arial" w:cs="Arial" w:eastAsia="Arial" w:hAnsi="Arial"/>
                <w:sz w:val="12"/>
                <w:szCs w:val="12"/>
                <w:color w:val="auto"/>
                <w:w w:val="85"/>
              </w:rPr>
              <w:t>Beverage, Food and Tobacco</w:t>
            </w:r>
          </w:p>
        </w:tc>
        <w:tc>
          <w:tcPr>
            <w:tcW w:w="920" w:type="dxa"/>
            <w:vAlign w:val="bottom"/>
            <w:gridSpan w:val="3"/>
          </w:tcPr>
          <w:p>
            <w:pPr>
              <w:jc w:val="right"/>
              <w:ind w:right="160"/>
              <w:spacing w:after="0"/>
              <w:rPr>
                <w:sz w:val="20"/>
                <w:szCs w:val="20"/>
                <w:color w:val="auto"/>
              </w:rPr>
            </w:pPr>
            <w:r>
              <w:rPr>
                <w:rFonts w:ascii="Arial" w:cs="Arial" w:eastAsia="Arial" w:hAnsi="Arial"/>
                <w:sz w:val="12"/>
                <w:szCs w:val="12"/>
                <w:color w:val="auto"/>
              </w:rPr>
              <w:t>6.56%</w:t>
            </w:r>
          </w:p>
        </w:tc>
        <w:tc>
          <w:tcPr>
            <w:tcW w:w="660" w:type="dxa"/>
            <w:vAlign w:val="bottom"/>
          </w:tcPr>
          <w:p>
            <w:pPr>
              <w:jc w:val="right"/>
              <w:spacing w:after="0"/>
              <w:rPr>
                <w:sz w:val="20"/>
                <w:szCs w:val="20"/>
                <w:color w:val="auto"/>
              </w:rPr>
            </w:pPr>
            <w:r>
              <w:rPr>
                <w:rFonts w:ascii="Arial" w:cs="Arial" w:eastAsia="Arial" w:hAnsi="Arial"/>
                <w:sz w:val="12"/>
                <w:szCs w:val="12"/>
                <w:color w:val="auto"/>
              </w:rPr>
              <w:t>1M L+450</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2"/>
                <w:szCs w:val="12"/>
                <w:color w:val="auto"/>
                <w:w w:val="86"/>
              </w:rPr>
              <w:t>14,000,000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13,860,000</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2"/>
                <w:szCs w:val="12"/>
                <w:color w:val="auto"/>
              </w:rPr>
              <w:t>13,860,000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80" w:type="dxa"/>
            <w:vAlign w:val="bottom"/>
            <w:shd w:val="clear" w:color="auto" w:fill="CCECFF"/>
          </w:tcPr>
          <w:p>
            <w:pPr>
              <w:spacing w:after="0"/>
              <w:rPr>
                <w:sz w:val="20"/>
                <w:szCs w:val="20"/>
                <w:color w:val="auto"/>
              </w:rPr>
            </w:pPr>
            <w:r>
              <w:rPr>
                <w:rFonts w:ascii="Arial" w:cs="Arial" w:eastAsia="Arial" w:hAnsi="Arial"/>
                <w:sz w:val="12"/>
                <w:szCs w:val="12"/>
                <w:color w:val="auto"/>
              </w:rPr>
              <w:t>Output Services Group, Inc.</w:t>
            </w:r>
          </w:p>
        </w:tc>
        <w:tc>
          <w:tcPr>
            <w:tcW w:w="920" w:type="dxa"/>
            <w:vAlign w:val="bottom"/>
            <w:shd w:val="clear" w:color="auto" w:fill="CCECFF"/>
          </w:tcPr>
          <w:p>
            <w:pPr>
              <w:jc w:val="center"/>
              <w:ind w:right="122"/>
              <w:spacing w:after="0"/>
              <w:rPr>
                <w:sz w:val="20"/>
                <w:szCs w:val="20"/>
                <w:color w:val="auto"/>
              </w:rPr>
            </w:pPr>
            <w:r>
              <w:rPr>
                <w:rFonts w:ascii="Arial" w:cs="Arial" w:eastAsia="Arial" w:hAnsi="Arial"/>
                <w:sz w:val="12"/>
                <w:szCs w:val="12"/>
                <w:color w:val="auto"/>
                <w:w w:val="89"/>
              </w:rPr>
              <w:t>03/27/2024</w:t>
            </w:r>
          </w:p>
        </w:tc>
        <w:tc>
          <w:tcPr>
            <w:tcW w:w="2640" w:type="dxa"/>
            <w:vAlign w:val="bottom"/>
            <w:gridSpan w:val="2"/>
            <w:shd w:val="clear" w:color="auto" w:fill="CCECFF"/>
          </w:tcPr>
          <w:p>
            <w:pPr>
              <w:jc w:val="center"/>
              <w:ind w:right="240"/>
              <w:spacing w:after="0"/>
              <w:rPr>
                <w:sz w:val="20"/>
                <w:szCs w:val="20"/>
                <w:color w:val="auto"/>
              </w:rPr>
            </w:pPr>
            <w:r>
              <w:rPr>
                <w:rFonts w:ascii="Arial" w:cs="Arial" w:eastAsia="Arial" w:hAnsi="Arial"/>
                <w:sz w:val="12"/>
                <w:szCs w:val="12"/>
                <w:color w:val="auto"/>
                <w:w w:val="85"/>
              </w:rPr>
              <w:t>Business Services</w:t>
            </w:r>
          </w:p>
        </w:tc>
        <w:tc>
          <w:tcPr>
            <w:tcW w:w="920" w:type="dxa"/>
            <w:vAlign w:val="bottom"/>
            <w:gridSpan w:val="3"/>
            <w:shd w:val="clear" w:color="auto" w:fill="CCECFF"/>
          </w:tcPr>
          <w:p>
            <w:pPr>
              <w:jc w:val="right"/>
              <w:ind w:right="160"/>
              <w:spacing w:after="0"/>
              <w:rPr>
                <w:sz w:val="20"/>
                <w:szCs w:val="20"/>
                <w:color w:val="auto"/>
              </w:rPr>
            </w:pPr>
            <w:r>
              <w:rPr>
                <w:rFonts w:ascii="Arial" w:cs="Arial" w:eastAsia="Arial" w:hAnsi="Arial"/>
                <w:sz w:val="12"/>
                <w:szCs w:val="12"/>
                <w:color w:val="auto"/>
              </w:rPr>
              <w:t>6.34%</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L+425</w:t>
            </w: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w w:val="97"/>
              </w:rPr>
              <w:t>6,615,897</w:t>
            </w:r>
          </w:p>
        </w:tc>
        <w:tc>
          <w:tcPr>
            <w:tcW w:w="1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6,656,466</w:t>
            </w:r>
          </w:p>
        </w:tc>
        <w:tc>
          <w:tcPr>
            <w:tcW w:w="24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70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rPr>
              <w:t>6,657,247</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80" w:type="dxa"/>
            <w:vAlign w:val="bottom"/>
          </w:tcPr>
          <w:p>
            <w:pPr>
              <w:spacing w:after="0"/>
              <w:rPr>
                <w:sz w:val="20"/>
                <w:szCs w:val="20"/>
                <w:color w:val="auto"/>
              </w:rPr>
            </w:pPr>
            <w:r>
              <w:rPr>
                <w:rFonts w:ascii="Arial" w:cs="Arial" w:eastAsia="Arial" w:hAnsi="Arial"/>
                <w:sz w:val="12"/>
                <w:szCs w:val="12"/>
                <w:color w:val="auto"/>
              </w:rPr>
              <w:t xml:space="preserve">Output Services Group, Inc. </w:t>
            </w:r>
            <w:r>
              <w:rPr>
                <w:rFonts w:ascii="Arial" w:cs="Arial" w:eastAsia="Arial" w:hAnsi="Arial"/>
                <w:sz w:val="9"/>
                <w:szCs w:val="9"/>
                <w:color w:val="auto"/>
              </w:rPr>
              <w:t>(5)</w:t>
            </w:r>
          </w:p>
        </w:tc>
        <w:tc>
          <w:tcPr>
            <w:tcW w:w="920" w:type="dxa"/>
            <w:vAlign w:val="bottom"/>
          </w:tcPr>
          <w:p>
            <w:pPr>
              <w:jc w:val="center"/>
              <w:ind w:right="122"/>
              <w:spacing w:after="0"/>
              <w:rPr>
                <w:sz w:val="20"/>
                <w:szCs w:val="20"/>
                <w:color w:val="auto"/>
              </w:rPr>
            </w:pPr>
            <w:r>
              <w:rPr>
                <w:rFonts w:ascii="Arial" w:cs="Arial" w:eastAsia="Arial" w:hAnsi="Arial"/>
                <w:sz w:val="12"/>
                <w:szCs w:val="12"/>
                <w:color w:val="auto"/>
                <w:w w:val="89"/>
              </w:rPr>
              <w:t>03/27/2024</w:t>
            </w:r>
          </w:p>
        </w:tc>
        <w:tc>
          <w:tcPr>
            <w:tcW w:w="2640" w:type="dxa"/>
            <w:vAlign w:val="bottom"/>
            <w:gridSpan w:val="2"/>
          </w:tcPr>
          <w:p>
            <w:pPr>
              <w:jc w:val="center"/>
              <w:ind w:right="240"/>
              <w:spacing w:after="0"/>
              <w:rPr>
                <w:sz w:val="20"/>
                <w:szCs w:val="20"/>
                <w:color w:val="auto"/>
              </w:rPr>
            </w:pPr>
            <w:r>
              <w:rPr>
                <w:rFonts w:ascii="Arial" w:cs="Arial" w:eastAsia="Arial" w:hAnsi="Arial"/>
                <w:sz w:val="12"/>
                <w:szCs w:val="12"/>
                <w:color w:val="auto"/>
                <w:w w:val="85"/>
              </w:rPr>
              <w:t>Business Services</w:t>
            </w:r>
          </w:p>
        </w:tc>
        <w:tc>
          <w:tcPr>
            <w:tcW w:w="540" w:type="dxa"/>
            <w:vAlign w:val="bottom"/>
          </w:tcPr>
          <w:p>
            <w:pPr>
              <w:spacing w:after="0"/>
              <w:rPr>
                <w:sz w:val="12"/>
                <w:szCs w:val="12"/>
                <w:color w:val="auto"/>
              </w:rPr>
            </w:pPr>
          </w:p>
        </w:tc>
        <w:tc>
          <w:tcPr>
            <w:tcW w:w="380" w:type="dxa"/>
            <w:vAlign w:val="bottom"/>
            <w:gridSpan w:val="2"/>
          </w:tcPr>
          <w:p>
            <w:pPr>
              <w:jc w:val="right"/>
              <w:ind w:right="260"/>
              <w:spacing w:after="0"/>
              <w:rPr>
                <w:sz w:val="20"/>
                <w:szCs w:val="20"/>
                <w:color w:val="auto"/>
              </w:rPr>
            </w:pPr>
            <w:r>
              <w:rPr>
                <w:rFonts w:ascii="Arial" w:cs="Arial" w:eastAsia="Arial" w:hAnsi="Arial"/>
                <w:sz w:val="12"/>
                <w:szCs w:val="12"/>
                <w:color w:val="auto"/>
                <w:w w:val="82"/>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2"/>
                <w:szCs w:val="12"/>
                <w:color w:val="auto"/>
                <w:w w:val="97"/>
              </w:rPr>
              <w:t>1,367,521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2"/>
                <w:szCs w:val="12"/>
                <w:color w:val="auto"/>
              </w:rPr>
              <w:t>15,384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80" w:type="dxa"/>
            <w:vAlign w:val="bottom"/>
            <w:shd w:val="clear" w:color="auto" w:fill="CCECFF"/>
          </w:tcPr>
          <w:p>
            <w:pPr>
              <w:spacing w:after="0"/>
              <w:rPr>
                <w:sz w:val="20"/>
                <w:szCs w:val="20"/>
                <w:color w:val="auto"/>
              </w:rPr>
            </w:pPr>
            <w:r>
              <w:rPr>
                <w:rFonts w:ascii="Arial" w:cs="Arial" w:eastAsia="Arial" w:hAnsi="Arial"/>
                <w:sz w:val="12"/>
                <w:szCs w:val="12"/>
                <w:color w:val="auto"/>
              </w:rPr>
              <w:t>Snak Club, LLC</w:t>
            </w:r>
          </w:p>
        </w:tc>
        <w:tc>
          <w:tcPr>
            <w:tcW w:w="920" w:type="dxa"/>
            <w:vAlign w:val="bottom"/>
            <w:shd w:val="clear" w:color="auto" w:fill="CCECFF"/>
          </w:tcPr>
          <w:p>
            <w:pPr>
              <w:jc w:val="center"/>
              <w:ind w:right="122"/>
              <w:spacing w:after="0"/>
              <w:rPr>
                <w:sz w:val="20"/>
                <w:szCs w:val="20"/>
                <w:color w:val="auto"/>
              </w:rPr>
            </w:pPr>
            <w:r>
              <w:rPr>
                <w:rFonts w:ascii="Arial" w:cs="Arial" w:eastAsia="Arial" w:hAnsi="Arial"/>
                <w:sz w:val="12"/>
                <w:szCs w:val="12"/>
                <w:color w:val="auto"/>
                <w:w w:val="89"/>
              </w:rPr>
              <w:t>07/19/2021</w:t>
            </w:r>
          </w:p>
        </w:tc>
        <w:tc>
          <w:tcPr>
            <w:tcW w:w="2640" w:type="dxa"/>
            <w:vAlign w:val="bottom"/>
            <w:gridSpan w:val="2"/>
            <w:shd w:val="clear" w:color="auto" w:fill="CCECFF"/>
          </w:tcPr>
          <w:p>
            <w:pPr>
              <w:jc w:val="center"/>
              <w:ind w:right="240"/>
              <w:spacing w:after="0"/>
              <w:rPr>
                <w:sz w:val="20"/>
                <w:szCs w:val="20"/>
                <w:color w:val="auto"/>
              </w:rPr>
            </w:pPr>
            <w:r>
              <w:rPr>
                <w:rFonts w:ascii="Arial" w:cs="Arial" w:eastAsia="Arial" w:hAnsi="Arial"/>
                <w:sz w:val="12"/>
                <w:szCs w:val="12"/>
                <w:color w:val="auto"/>
                <w:w w:val="85"/>
              </w:rPr>
              <w:t>Beverage, Food and Tobacco</w:t>
            </w:r>
          </w:p>
        </w:tc>
        <w:tc>
          <w:tcPr>
            <w:tcW w:w="920" w:type="dxa"/>
            <w:vAlign w:val="bottom"/>
            <w:gridSpan w:val="3"/>
            <w:shd w:val="clear" w:color="auto" w:fill="CCECFF"/>
          </w:tcPr>
          <w:p>
            <w:pPr>
              <w:jc w:val="right"/>
              <w:ind w:right="160"/>
              <w:spacing w:after="0"/>
              <w:rPr>
                <w:sz w:val="20"/>
                <w:szCs w:val="20"/>
                <w:color w:val="auto"/>
              </w:rPr>
            </w:pPr>
            <w:r>
              <w:rPr>
                <w:rFonts w:ascii="Arial" w:cs="Arial" w:eastAsia="Arial" w:hAnsi="Arial"/>
                <w:sz w:val="12"/>
                <w:szCs w:val="12"/>
                <w:color w:val="auto"/>
              </w:rPr>
              <w:t>7.98%</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L+600</w:t>
            </w: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w w:val="97"/>
              </w:rPr>
              <w:t>4,749,995</w:t>
            </w:r>
          </w:p>
        </w:tc>
        <w:tc>
          <w:tcPr>
            <w:tcW w:w="1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4,749,995</w:t>
            </w:r>
          </w:p>
        </w:tc>
        <w:tc>
          <w:tcPr>
            <w:tcW w:w="24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70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rPr>
              <w:t>4,726,245</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80" w:type="dxa"/>
            <w:vAlign w:val="bottom"/>
          </w:tcPr>
          <w:p>
            <w:pPr>
              <w:spacing w:after="0"/>
              <w:rPr>
                <w:sz w:val="20"/>
                <w:szCs w:val="20"/>
                <w:color w:val="auto"/>
              </w:rPr>
            </w:pPr>
            <w:r>
              <w:rPr>
                <w:rFonts w:ascii="Arial" w:cs="Arial" w:eastAsia="Arial" w:hAnsi="Arial"/>
                <w:sz w:val="12"/>
                <w:szCs w:val="12"/>
                <w:color w:val="auto"/>
              </w:rPr>
              <w:t>Sonny's Enterprises, LLC</w:t>
            </w:r>
          </w:p>
        </w:tc>
        <w:tc>
          <w:tcPr>
            <w:tcW w:w="920" w:type="dxa"/>
            <w:vAlign w:val="bottom"/>
          </w:tcPr>
          <w:p>
            <w:pPr>
              <w:jc w:val="center"/>
              <w:ind w:right="122"/>
              <w:spacing w:after="0"/>
              <w:rPr>
                <w:sz w:val="20"/>
                <w:szCs w:val="20"/>
                <w:color w:val="auto"/>
              </w:rPr>
            </w:pPr>
            <w:r>
              <w:rPr>
                <w:rFonts w:ascii="Arial" w:cs="Arial" w:eastAsia="Arial" w:hAnsi="Arial"/>
                <w:sz w:val="12"/>
                <w:szCs w:val="12"/>
                <w:color w:val="auto"/>
                <w:w w:val="89"/>
              </w:rPr>
              <w:t>12/01/2022</w:t>
            </w:r>
          </w:p>
        </w:tc>
        <w:tc>
          <w:tcPr>
            <w:tcW w:w="2640" w:type="dxa"/>
            <w:vAlign w:val="bottom"/>
            <w:gridSpan w:val="2"/>
          </w:tcPr>
          <w:p>
            <w:pPr>
              <w:jc w:val="center"/>
              <w:ind w:right="240"/>
              <w:spacing w:after="0"/>
              <w:rPr>
                <w:sz w:val="20"/>
                <w:szCs w:val="20"/>
                <w:color w:val="auto"/>
              </w:rPr>
            </w:pPr>
            <w:r>
              <w:rPr>
                <w:rFonts w:ascii="Arial" w:cs="Arial" w:eastAsia="Arial" w:hAnsi="Arial"/>
                <w:sz w:val="12"/>
                <w:szCs w:val="12"/>
                <w:color w:val="auto"/>
                <w:w w:val="89"/>
              </w:rPr>
              <w:t>Capital Equipment</w:t>
            </w:r>
          </w:p>
        </w:tc>
        <w:tc>
          <w:tcPr>
            <w:tcW w:w="920" w:type="dxa"/>
            <w:vAlign w:val="bottom"/>
            <w:gridSpan w:val="3"/>
          </w:tcPr>
          <w:p>
            <w:pPr>
              <w:jc w:val="right"/>
              <w:ind w:right="160"/>
              <w:spacing w:after="0"/>
              <w:rPr>
                <w:sz w:val="20"/>
                <w:szCs w:val="20"/>
                <w:color w:val="auto"/>
              </w:rPr>
            </w:pPr>
            <w:r>
              <w:rPr>
                <w:rFonts w:ascii="Arial" w:cs="Arial" w:eastAsia="Arial" w:hAnsi="Arial"/>
                <w:sz w:val="12"/>
                <w:szCs w:val="12"/>
                <w:color w:val="auto"/>
              </w:rPr>
              <w:t>6.59%</w:t>
            </w:r>
          </w:p>
        </w:tc>
        <w:tc>
          <w:tcPr>
            <w:tcW w:w="660" w:type="dxa"/>
            <w:vAlign w:val="bottom"/>
          </w:tcPr>
          <w:p>
            <w:pPr>
              <w:jc w:val="right"/>
              <w:spacing w:after="0"/>
              <w:rPr>
                <w:sz w:val="20"/>
                <w:szCs w:val="20"/>
                <w:color w:val="auto"/>
              </w:rPr>
            </w:pPr>
            <w:r>
              <w:rPr>
                <w:rFonts w:ascii="Arial" w:cs="Arial" w:eastAsia="Arial" w:hAnsi="Arial"/>
                <w:sz w:val="12"/>
                <w:szCs w:val="12"/>
                <w:color w:val="auto"/>
              </w:rPr>
              <w:t>1M L+450</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2"/>
                <w:szCs w:val="12"/>
                <w:color w:val="auto"/>
                <w:w w:val="97"/>
              </w:rPr>
              <w:t>9,950,000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9,953,109</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2"/>
                <w:szCs w:val="12"/>
                <w:color w:val="auto"/>
              </w:rPr>
              <w:t>9,950,000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80" w:type="dxa"/>
            <w:vAlign w:val="bottom"/>
            <w:shd w:val="clear" w:color="auto" w:fill="CCECFF"/>
          </w:tcPr>
          <w:p>
            <w:pPr>
              <w:spacing w:after="0"/>
              <w:rPr>
                <w:sz w:val="20"/>
                <w:szCs w:val="20"/>
                <w:color w:val="auto"/>
              </w:rPr>
            </w:pPr>
            <w:r>
              <w:rPr>
                <w:rFonts w:ascii="Arial" w:cs="Arial" w:eastAsia="Arial" w:hAnsi="Arial"/>
                <w:sz w:val="12"/>
                <w:szCs w:val="12"/>
                <w:color w:val="auto"/>
              </w:rPr>
              <w:t>The Infosoft Group, LLC</w:t>
            </w:r>
          </w:p>
        </w:tc>
        <w:tc>
          <w:tcPr>
            <w:tcW w:w="920" w:type="dxa"/>
            <w:vAlign w:val="bottom"/>
            <w:shd w:val="clear" w:color="auto" w:fill="CCECFF"/>
          </w:tcPr>
          <w:p>
            <w:pPr>
              <w:jc w:val="center"/>
              <w:ind w:right="122"/>
              <w:spacing w:after="0"/>
              <w:rPr>
                <w:sz w:val="20"/>
                <w:szCs w:val="20"/>
                <w:color w:val="auto"/>
              </w:rPr>
            </w:pPr>
            <w:r>
              <w:rPr>
                <w:rFonts w:ascii="Arial" w:cs="Arial" w:eastAsia="Arial" w:hAnsi="Arial"/>
                <w:sz w:val="12"/>
                <w:szCs w:val="12"/>
                <w:color w:val="auto"/>
                <w:w w:val="89"/>
              </w:rPr>
              <w:t>12/02/2021</w:t>
            </w:r>
          </w:p>
        </w:tc>
        <w:tc>
          <w:tcPr>
            <w:tcW w:w="2640" w:type="dxa"/>
            <w:vAlign w:val="bottom"/>
            <w:gridSpan w:val="2"/>
            <w:shd w:val="clear" w:color="auto" w:fill="CCECFF"/>
          </w:tcPr>
          <w:p>
            <w:pPr>
              <w:jc w:val="center"/>
              <w:ind w:right="240"/>
              <w:spacing w:after="0"/>
              <w:rPr>
                <w:sz w:val="20"/>
                <w:szCs w:val="20"/>
                <w:color w:val="auto"/>
              </w:rPr>
            </w:pPr>
            <w:r>
              <w:rPr>
                <w:rFonts w:ascii="Arial" w:cs="Arial" w:eastAsia="Arial" w:hAnsi="Arial"/>
                <w:sz w:val="12"/>
                <w:szCs w:val="12"/>
                <w:color w:val="auto"/>
                <w:w w:val="89"/>
              </w:rPr>
              <w:t>Media: Broadcasting and Subscription</w:t>
            </w:r>
          </w:p>
        </w:tc>
        <w:tc>
          <w:tcPr>
            <w:tcW w:w="920" w:type="dxa"/>
            <w:vAlign w:val="bottom"/>
            <w:gridSpan w:val="3"/>
            <w:shd w:val="clear" w:color="auto" w:fill="CCECFF"/>
          </w:tcPr>
          <w:p>
            <w:pPr>
              <w:jc w:val="right"/>
              <w:ind w:right="160"/>
              <w:spacing w:after="0"/>
              <w:rPr>
                <w:sz w:val="20"/>
                <w:szCs w:val="20"/>
                <w:color w:val="auto"/>
              </w:rPr>
            </w:pPr>
            <w:r>
              <w:rPr>
                <w:rFonts w:ascii="Arial" w:cs="Arial" w:eastAsia="Arial" w:hAnsi="Arial"/>
                <w:sz w:val="12"/>
                <w:szCs w:val="12"/>
                <w:color w:val="auto"/>
              </w:rPr>
              <w:t>7.57%</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L+525</w:t>
            </w: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w w:val="97"/>
              </w:rPr>
              <w:t>4,740,341</w:t>
            </w:r>
          </w:p>
        </w:tc>
        <w:tc>
          <w:tcPr>
            <w:tcW w:w="1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4,740,341</w:t>
            </w:r>
          </w:p>
        </w:tc>
        <w:tc>
          <w:tcPr>
            <w:tcW w:w="24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70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rPr>
              <w:t>4,740,341</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80" w:type="dxa"/>
            <w:vAlign w:val="bottom"/>
          </w:tcPr>
          <w:p>
            <w:pPr>
              <w:spacing w:after="0"/>
              <w:rPr>
                <w:sz w:val="20"/>
                <w:szCs w:val="20"/>
                <w:color w:val="auto"/>
              </w:rPr>
            </w:pPr>
            <w:r>
              <w:rPr>
                <w:rFonts w:ascii="Arial" w:cs="Arial" w:eastAsia="Arial" w:hAnsi="Arial"/>
                <w:sz w:val="12"/>
                <w:szCs w:val="12"/>
                <w:color w:val="auto"/>
              </w:rPr>
              <w:t>UBEO, LLC</w:t>
            </w:r>
          </w:p>
        </w:tc>
        <w:tc>
          <w:tcPr>
            <w:tcW w:w="920" w:type="dxa"/>
            <w:vAlign w:val="bottom"/>
          </w:tcPr>
          <w:p>
            <w:pPr>
              <w:jc w:val="center"/>
              <w:ind w:right="122"/>
              <w:spacing w:after="0"/>
              <w:rPr>
                <w:sz w:val="20"/>
                <w:szCs w:val="20"/>
                <w:color w:val="auto"/>
              </w:rPr>
            </w:pPr>
            <w:r>
              <w:rPr>
                <w:rFonts w:ascii="Arial" w:cs="Arial" w:eastAsia="Arial" w:hAnsi="Arial"/>
                <w:sz w:val="12"/>
                <w:szCs w:val="12"/>
                <w:color w:val="auto"/>
                <w:w w:val="89"/>
              </w:rPr>
              <w:t>04/03/2024</w:t>
            </w:r>
          </w:p>
        </w:tc>
        <w:tc>
          <w:tcPr>
            <w:tcW w:w="2640" w:type="dxa"/>
            <w:vAlign w:val="bottom"/>
            <w:gridSpan w:val="2"/>
          </w:tcPr>
          <w:p>
            <w:pPr>
              <w:jc w:val="center"/>
              <w:ind w:right="240"/>
              <w:spacing w:after="0"/>
              <w:rPr>
                <w:sz w:val="20"/>
                <w:szCs w:val="20"/>
                <w:color w:val="auto"/>
              </w:rPr>
            </w:pPr>
            <w:r>
              <w:rPr>
                <w:rFonts w:ascii="Arial" w:cs="Arial" w:eastAsia="Arial" w:hAnsi="Arial"/>
                <w:sz w:val="12"/>
                <w:szCs w:val="12"/>
                <w:color w:val="auto"/>
                <w:w w:val="89"/>
              </w:rPr>
              <w:t>Capital Equipment</w:t>
            </w:r>
          </w:p>
        </w:tc>
        <w:tc>
          <w:tcPr>
            <w:tcW w:w="920" w:type="dxa"/>
            <w:vAlign w:val="bottom"/>
            <w:gridSpan w:val="3"/>
          </w:tcPr>
          <w:p>
            <w:pPr>
              <w:jc w:val="right"/>
              <w:ind w:right="160"/>
              <w:spacing w:after="0"/>
              <w:rPr>
                <w:sz w:val="20"/>
                <w:szCs w:val="20"/>
                <w:color w:val="auto"/>
              </w:rPr>
            </w:pPr>
            <w:r>
              <w:rPr>
                <w:rFonts w:ascii="Arial" w:cs="Arial" w:eastAsia="Arial" w:hAnsi="Arial"/>
                <w:sz w:val="12"/>
                <w:szCs w:val="12"/>
                <w:color w:val="auto"/>
              </w:rPr>
              <w:t>6.50%</w:t>
            </w:r>
          </w:p>
        </w:tc>
        <w:tc>
          <w:tcPr>
            <w:tcW w:w="660" w:type="dxa"/>
            <w:vAlign w:val="bottom"/>
          </w:tcPr>
          <w:p>
            <w:pPr>
              <w:jc w:val="right"/>
              <w:spacing w:after="0"/>
              <w:rPr>
                <w:sz w:val="20"/>
                <w:szCs w:val="20"/>
                <w:color w:val="auto"/>
              </w:rPr>
            </w:pPr>
            <w:r>
              <w:rPr>
                <w:rFonts w:ascii="Arial" w:cs="Arial" w:eastAsia="Arial" w:hAnsi="Arial"/>
                <w:sz w:val="12"/>
                <w:szCs w:val="12"/>
                <w:color w:val="auto"/>
              </w:rPr>
              <w:t>1M L+450</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2"/>
                <w:szCs w:val="12"/>
                <w:color w:val="auto"/>
                <w:w w:val="86"/>
              </w:rPr>
              <w:t>12,500,000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12,379,229</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2"/>
                <w:szCs w:val="12"/>
                <w:color w:val="auto"/>
              </w:rPr>
              <w:t>12,375,000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80" w:type="dxa"/>
            <w:vAlign w:val="bottom"/>
            <w:shd w:val="clear" w:color="auto" w:fill="CCECFF"/>
          </w:tcPr>
          <w:p>
            <w:pPr>
              <w:spacing w:after="0"/>
              <w:rPr>
                <w:sz w:val="20"/>
                <w:szCs w:val="20"/>
                <w:color w:val="auto"/>
              </w:rPr>
            </w:pPr>
            <w:r>
              <w:rPr>
                <w:rFonts w:ascii="Arial" w:cs="Arial" w:eastAsia="Arial" w:hAnsi="Arial"/>
                <w:sz w:val="12"/>
                <w:szCs w:val="12"/>
                <w:color w:val="auto"/>
              </w:rPr>
              <w:t>VIP Cinema Holdings, Inc.</w:t>
            </w:r>
          </w:p>
        </w:tc>
        <w:tc>
          <w:tcPr>
            <w:tcW w:w="920" w:type="dxa"/>
            <w:vAlign w:val="bottom"/>
            <w:shd w:val="clear" w:color="auto" w:fill="CCECFF"/>
          </w:tcPr>
          <w:p>
            <w:pPr>
              <w:jc w:val="center"/>
              <w:ind w:right="122"/>
              <w:spacing w:after="0"/>
              <w:rPr>
                <w:sz w:val="20"/>
                <w:szCs w:val="20"/>
                <w:color w:val="auto"/>
              </w:rPr>
            </w:pPr>
            <w:r>
              <w:rPr>
                <w:rFonts w:ascii="Arial" w:cs="Arial" w:eastAsia="Arial" w:hAnsi="Arial"/>
                <w:sz w:val="12"/>
                <w:szCs w:val="12"/>
                <w:color w:val="auto"/>
                <w:w w:val="89"/>
              </w:rPr>
              <w:t>03/01/2023</w:t>
            </w:r>
          </w:p>
        </w:tc>
        <w:tc>
          <w:tcPr>
            <w:tcW w:w="2640" w:type="dxa"/>
            <w:vAlign w:val="bottom"/>
            <w:gridSpan w:val="2"/>
            <w:shd w:val="clear" w:color="auto" w:fill="CCECFF"/>
          </w:tcPr>
          <w:p>
            <w:pPr>
              <w:jc w:val="center"/>
              <w:ind w:right="220"/>
              <w:spacing w:after="0"/>
              <w:rPr>
                <w:sz w:val="20"/>
                <w:szCs w:val="20"/>
                <w:color w:val="auto"/>
              </w:rPr>
            </w:pPr>
            <w:r>
              <w:rPr>
                <w:rFonts w:ascii="Arial" w:cs="Arial" w:eastAsia="Arial" w:hAnsi="Arial"/>
                <w:sz w:val="12"/>
                <w:szCs w:val="12"/>
                <w:color w:val="auto"/>
                <w:w w:val="88"/>
              </w:rPr>
              <w:t>Consumer Goods: Durable</w:t>
            </w:r>
          </w:p>
        </w:tc>
        <w:tc>
          <w:tcPr>
            <w:tcW w:w="920" w:type="dxa"/>
            <w:vAlign w:val="bottom"/>
            <w:gridSpan w:val="3"/>
            <w:shd w:val="clear" w:color="auto" w:fill="CCECFF"/>
          </w:tcPr>
          <w:p>
            <w:pPr>
              <w:jc w:val="right"/>
              <w:ind w:right="160"/>
              <w:spacing w:after="0"/>
              <w:rPr>
                <w:sz w:val="20"/>
                <w:szCs w:val="20"/>
                <w:color w:val="auto"/>
              </w:rPr>
            </w:pPr>
            <w:r>
              <w:rPr>
                <w:rFonts w:ascii="Arial" w:cs="Arial" w:eastAsia="Arial" w:hAnsi="Arial"/>
                <w:sz w:val="12"/>
                <w:szCs w:val="12"/>
                <w:color w:val="auto"/>
              </w:rPr>
              <w:t>8.34%</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L+600</w:t>
            </w: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w w:val="97"/>
              </w:rPr>
              <w:t>4,687,500</w:t>
            </w:r>
          </w:p>
        </w:tc>
        <w:tc>
          <w:tcPr>
            <w:tcW w:w="1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4,744,600</w:t>
            </w:r>
          </w:p>
        </w:tc>
        <w:tc>
          <w:tcPr>
            <w:tcW w:w="24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70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rPr>
              <w:t>4,716,797</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80" w:type="dxa"/>
            <w:vAlign w:val="bottom"/>
          </w:tcPr>
          <w:p>
            <w:pPr>
              <w:spacing w:after="0"/>
              <w:rPr>
                <w:sz w:val="20"/>
                <w:szCs w:val="20"/>
                <w:color w:val="auto"/>
              </w:rPr>
            </w:pPr>
            <w:r>
              <w:rPr>
                <w:rFonts w:ascii="Arial" w:cs="Arial" w:eastAsia="Arial" w:hAnsi="Arial"/>
                <w:sz w:val="12"/>
                <w:szCs w:val="12"/>
                <w:color w:val="auto"/>
              </w:rPr>
              <w:t>Whitney, Bradley &amp; Brown, Inc.</w:t>
            </w:r>
          </w:p>
        </w:tc>
        <w:tc>
          <w:tcPr>
            <w:tcW w:w="920" w:type="dxa"/>
            <w:vAlign w:val="bottom"/>
          </w:tcPr>
          <w:p>
            <w:pPr>
              <w:jc w:val="center"/>
              <w:ind w:right="122"/>
              <w:spacing w:after="0"/>
              <w:rPr>
                <w:sz w:val="20"/>
                <w:szCs w:val="20"/>
                <w:color w:val="auto"/>
              </w:rPr>
            </w:pPr>
            <w:r>
              <w:rPr>
                <w:rFonts w:ascii="Arial" w:cs="Arial" w:eastAsia="Arial" w:hAnsi="Arial"/>
                <w:sz w:val="12"/>
                <w:szCs w:val="12"/>
                <w:color w:val="auto"/>
                <w:w w:val="89"/>
              </w:rPr>
              <w:t>10/18/2022</w:t>
            </w:r>
          </w:p>
        </w:tc>
        <w:tc>
          <w:tcPr>
            <w:tcW w:w="2640" w:type="dxa"/>
            <w:vAlign w:val="bottom"/>
            <w:gridSpan w:val="2"/>
          </w:tcPr>
          <w:p>
            <w:pPr>
              <w:jc w:val="center"/>
              <w:ind w:right="220"/>
              <w:spacing w:after="0"/>
              <w:rPr>
                <w:sz w:val="20"/>
                <w:szCs w:val="20"/>
                <w:color w:val="auto"/>
              </w:rPr>
            </w:pPr>
            <w:r>
              <w:rPr>
                <w:rFonts w:ascii="Arial" w:cs="Arial" w:eastAsia="Arial" w:hAnsi="Arial"/>
                <w:sz w:val="12"/>
                <w:szCs w:val="12"/>
                <w:color w:val="auto"/>
                <w:w w:val="85"/>
              </w:rPr>
              <w:t>Aerospace and Defense</w:t>
            </w:r>
          </w:p>
        </w:tc>
        <w:tc>
          <w:tcPr>
            <w:tcW w:w="920" w:type="dxa"/>
            <w:vAlign w:val="bottom"/>
            <w:gridSpan w:val="3"/>
          </w:tcPr>
          <w:p>
            <w:pPr>
              <w:jc w:val="right"/>
              <w:ind w:right="160"/>
              <w:spacing w:after="0"/>
              <w:rPr>
                <w:sz w:val="20"/>
                <w:szCs w:val="20"/>
                <w:color w:val="auto"/>
              </w:rPr>
            </w:pPr>
            <w:r>
              <w:rPr>
                <w:rFonts w:ascii="Arial" w:cs="Arial" w:eastAsia="Arial" w:hAnsi="Arial"/>
                <w:sz w:val="12"/>
                <w:szCs w:val="12"/>
                <w:color w:val="auto"/>
              </w:rPr>
              <w:t>11.10%</w:t>
            </w:r>
          </w:p>
        </w:tc>
        <w:tc>
          <w:tcPr>
            <w:tcW w:w="660" w:type="dxa"/>
            <w:vAlign w:val="bottom"/>
          </w:tcPr>
          <w:p>
            <w:pPr>
              <w:jc w:val="right"/>
              <w:spacing w:after="0"/>
              <w:rPr>
                <w:sz w:val="20"/>
                <w:szCs w:val="20"/>
                <w:color w:val="auto"/>
              </w:rPr>
            </w:pPr>
            <w:r>
              <w:rPr>
                <w:rFonts w:ascii="Arial" w:cs="Arial" w:eastAsia="Arial" w:hAnsi="Arial"/>
                <w:sz w:val="12"/>
                <w:szCs w:val="12"/>
                <w:color w:val="auto"/>
              </w:rPr>
              <w:t>1M L+900</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2"/>
                <w:szCs w:val="12"/>
                <w:color w:val="auto"/>
                <w:w w:val="97"/>
              </w:rPr>
              <w:t>4,962,500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4,874,462</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2"/>
                <w:szCs w:val="12"/>
                <w:color w:val="auto"/>
              </w:rPr>
              <w:t>4,962,500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80" w:type="dxa"/>
            <w:vAlign w:val="bottom"/>
            <w:shd w:val="clear" w:color="auto" w:fill="CCECFF"/>
          </w:tcPr>
          <w:p>
            <w:pPr>
              <w:spacing w:after="0"/>
              <w:rPr>
                <w:sz w:val="20"/>
                <w:szCs w:val="20"/>
                <w:color w:val="auto"/>
              </w:rPr>
            </w:pPr>
            <w:r>
              <w:rPr>
                <w:rFonts w:ascii="Arial" w:cs="Arial" w:eastAsia="Arial" w:hAnsi="Arial"/>
                <w:sz w:val="12"/>
                <w:szCs w:val="12"/>
                <w:color w:val="auto"/>
              </w:rPr>
              <w:t>Xebec Global Holdings, LLC</w:t>
            </w:r>
          </w:p>
        </w:tc>
        <w:tc>
          <w:tcPr>
            <w:tcW w:w="920" w:type="dxa"/>
            <w:vAlign w:val="bottom"/>
            <w:shd w:val="clear" w:color="auto" w:fill="CCECFF"/>
          </w:tcPr>
          <w:p>
            <w:pPr>
              <w:jc w:val="center"/>
              <w:ind w:right="122"/>
              <w:spacing w:after="0"/>
              <w:rPr>
                <w:sz w:val="20"/>
                <w:szCs w:val="20"/>
                <w:color w:val="auto"/>
              </w:rPr>
            </w:pPr>
            <w:r>
              <w:rPr>
                <w:rFonts w:ascii="Arial" w:cs="Arial" w:eastAsia="Arial" w:hAnsi="Arial"/>
                <w:sz w:val="12"/>
                <w:szCs w:val="12"/>
                <w:color w:val="auto"/>
                <w:w w:val="89"/>
              </w:rPr>
              <w:t>02/12/2024</w:t>
            </w:r>
          </w:p>
        </w:tc>
        <w:tc>
          <w:tcPr>
            <w:tcW w:w="2640" w:type="dxa"/>
            <w:vAlign w:val="bottom"/>
            <w:gridSpan w:val="2"/>
            <w:shd w:val="clear" w:color="auto" w:fill="CCECFF"/>
          </w:tcPr>
          <w:p>
            <w:pPr>
              <w:jc w:val="center"/>
              <w:ind w:right="220"/>
              <w:spacing w:after="0"/>
              <w:rPr>
                <w:sz w:val="20"/>
                <w:szCs w:val="20"/>
                <w:color w:val="auto"/>
              </w:rPr>
            </w:pPr>
            <w:r>
              <w:rPr>
                <w:rFonts w:ascii="Arial" w:cs="Arial" w:eastAsia="Arial" w:hAnsi="Arial"/>
                <w:sz w:val="12"/>
                <w:szCs w:val="12"/>
                <w:color w:val="auto"/>
                <w:w w:val="85"/>
              </w:rPr>
              <w:t>Aerospace and Defense</w:t>
            </w:r>
          </w:p>
        </w:tc>
        <w:tc>
          <w:tcPr>
            <w:tcW w:w="920" w:type="dxa"/>
            <w:vAlign w:val="bottom"/>
            <w:gridSpan w:val="3"/>
            <w:shd w:val="clear" w:color="auto" w:fill="CCECFF"/>
          </w:tcPr>
          <w:p>
            <w:pPr>
              <w:jc w:val="right"/>
              <w:ind w:right="160"/>
              <w:spacing w:after="0"/>
              <w:rPr>
                <w:sz w:val="20"/>
                <w:szCs w:val="20"/>
                <w:color w:val="auto"/>
              </w:rPr>
            </w:pPr>
            <w:r>
              <w:rPr>
                <w:rFonts w:ascii="Arial" w:cs="Arial" w:eastAsia="Arial" w:hAnsi="Arial"/>
                <w:sz w:val="12"/>
                <w:szCs w:val="12"/>
                <w:color w:val="auto"/>
              </w:rPr>
              <w:t>7.32%</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L+550</w:t>
            </w: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w w:val="97"/>
              </w:rPr>
              <w:t>5,735,625</w:t>
            </w:r>
          </w:p>
        </w:tc>
        <w:tc>
          <w:tcPr>
            <w:tcW w:w="1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5,706,991</w:t>
            </w:r>
          </w:p>
        </w:tc>
        <w:tc>
          <w:tcPr>
            <w:tcW w:w="240" w:type="dxa"/>
            <w:vAlign w:val="bottom"/>
            <w:shd w:val="clear" w:color="auto" w:fill="CCECFF"/>
          </w:tcPr>
          <w:p>
            <w:pPr>
              <w:spacing w:after="0"/>
              <w:rPr>
                <w:sz w:val="12"/>
                <w:szCs w:val="12"/>
                <w:color w:val="auto"/>
              </w:rPr>
            </w:pPr>
          </w:p>
        </w:tc>
        <w:tc>
          <w:tcPr>
            <w:tcW w:w="60" w:type="dxa"/>
            <w:vAlign w:val="bottom"/>
            <w:tcBorders>
              <w:bottom w:val="single" w:sz="8" w:color="auto"/>
            </w:tcBorders>
            <w:shd w:val="clear" w:color="auto" w:fill="CCECFF"/>
          </w:tcPr>
          <w:p>
            <w:pPr>
              <w:spacing w:after="0"/>
              <w:rPr>
                <w:sz w:val="12"/>
                <w:szCs w:val="12"/>
                <w:color w:val="auto"/>
              </w:rPr>
            </w:pPr>
          </w:p>
        </w:tc>
        <w:tc>
          <w:tcPr>
            <w:tcW w:w="700" w:type="dxa"/>
            <w:vAlign w:val="bottom"/>
            <w:tcBorders>
              <w:bottom w:val="single" w:sz="8" w:color="auto"/>
            </w:tcBorders>
            <w:gridSpan w:val="2"/>
            <w:shd w:val="clear" w:color="auto" w:fill="CCECFF"/>
          </w:tcPr>
          <w:p>
            <w:pPr>
              <w:jc w:val="right"/>
              <w:ind w:right="20"/>
              <w:spacing w:after="0"/>
              <w:rPr>
                <w:sz w:val="20"/>
                <w:szCs w:val="20"/>
                <w:color w:val="auto"/>
              </w:rPr>
            </w:pPr>
            <w:r>
              <w:rPr>
                <w:rFonts w:ascii="Arial" w:cs="Arial" w:eastAsia="Arial" w:hAnsi="Arial"/>
                <w:sz w:val="12"/>
                <w:szCs w:val="12"/>
                <w:color w:val="auto"/>
              </w:rPr>
              <w:t>5,663,930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8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First Lien Secured Debt</w:t>
            </w:r>
          </w:p>
        </w:tc>
        <w:tc>
          <w:tcPr>
            <w:tcW w:w="920" w:type="dxa"/>
            <w:vAlign w:val="bottom"/>
            <w:tcBorders>
              <w:bottom w:val="single" w:sz="8" w:color="CCECFF"/>
            </w:tcBorders>
          </w:tcPr>
          <w:p>
            <w:pPr>
              <w:spacing w:after="0"/>
              <w:rPr>
                <w:sz w:val="12"/>
                <w:szCs w:val="12"/>
                <w:color w:val="auto"/>
              </w:rPr>
            </w:pPr>
          </w:p>
        </w:tc>
        <w:tc>
          <w:tcPr>
            <w:tcW w:w="252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540" w:type="dxa"/>
            <w:vAlign w:val="bottom"/>
            <w:tcBorders>
              <w:bottom w:val="single" w:sz="8" w:color="CCECFF"/>
            </w:tcBorders>
          </w:tcPr>
          <w:p>
            <w:pPr>
              <w:spacing w:after="0"/>
              <w:rPr>
                <w:sz w:val="12"/>
                <w:szCs w:val="12"/>
                <w:color w:val="auto"/>
              </w:rPr>
            </w:pPr>
          </w:p>
        </w:tc>
        <w:tc>
          <w:tcPr>
            <w:tcW w:w="14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32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34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1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346,547,032</w:t>
            </w:r>
          </w:p>
        </w:tc>
        <w:tc>
          <w:tcPr>
            <w:tcW w:w="240" w:type="dxa"/>
            <w:vAlign w:val="bottom"/>
            <w:tcBorders>
              <w:bottom w:val="single" w:sz="8" w:color="CCEC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w w:val="98"/>
              </w:rPr>
              <w:t>346,936,205</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00" w:type="dxa"/>
            <w:vAlign w:val="bottom"/>
            <w:gridSpan w:val="2"/>
            <w:shd w:val="clear" w:color="auto" w:fill="CCECFF"/>
          </w:tcPr>
          <w:p>
            <w:pPr>
              <w:spacing w:after="0"/>
              <w:rPr>
                <w:sz w:val="20"/>
                <w:szCs w:val="20"/>
                <w:color w:val="auto"/>
              </w:rPr>
            </w:pPr>
            <w:r>
              <w:rPr>
                <w:rFonts w:ascii="Arial" w:cs="Arial" w:eastAsia="Arial" w:hAnsi="Arial"/>
                <w:sz w:val="12"/>
                <w:szCs w:val="12"/>
                <w:b w:val="1"/>
                <w:bCs w:val="1"/>
                <w:color w:val="auto"/>
                <w:w w:val="96"/>
              </w:rPr>
              <w:t>Total Investments in Non-Controlled, Non-Affiliated Portfolio Companies</w:t>
            </w:r>
          </w:p>
        </w:tc>
        <w:tc>
          <w:tcPr>
            <w:tcW w:w="25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3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89"/>
              </w:rPr>
              <w:t>346,547,032</w:t>
            </w:r>
          </w:p>
        </w:tc>
        <w:tc>
          <w:tcPr>
            <w:tcW w:w="240" w:type="dxa"/>
            <w:vAlign w:val="bottom"/>
            <w:shd w:val="clear" w:color="auto" w:fill="CCECFF"/>
          </w:tcPr>
          <w:p>
            <w:pPr>
              <w:spacing w:after="0"/>
              <w:rPr>
                <w:sz w:val="12"/>
                <w:szCs w:val="12"/>
                <w:color w:val="auto"/>
              </w:rPr>
            </w:pPr>
          </w:p>
        </w:tc>
        <w:tc>
          <w:tcPr>
            <w:tcW w:w="60" w:type="dxa"/>
            <w:vAlign w:val="bottom"/>
            <w:tcBorders>
              <w:bottom w:val="single" w:sz="8" w:color="auto"/>
            </w:tcBorders>
            <w:shd w:val="clear" w:color="auto" w:fill="CCECFF"/>
          </w:tcPr>
          <w:p>
            <w:pPr>
              <w:spacing w:after="0"/>
              <w:rPr>
                <w:sz w:val="12"/>
                <w:szCs w:val="12"/>
                <w:color w:val="auto"/>
              </w:rPr>
            </w:pPr>
          </w:p>
        </w:tc>
        <w:tc>
          <w:tcPr>
            <w:tcW w:w="700" w:type="dxa"/>
            <w:vAlign w:val="bottom"/>
            <w:tcBorders>
              <w:bottom w:val="single" w:sz="8" w:color="auto"/>
            </w:tcBorders>
            <w:gridSpan w:val="2"/>
            <w:shd w:val="clear" w:color="auto" w:fill="CCECFF"/>
          </w:tcPr>
          <w:p>
            <w:pPr>
              <w:jc w:val="right"/>
              <w:ind w:right="20"/>
              <w:spacing w:after="0"/>
              <w:rPr>
                <w:sz w:val="20"/>
                <w:szCs w:val="20"/>
                <w:color w:val="auto"/>
              </w:rPr>
            </w:pPr>
            <w:r>
              <w:rPr>
                <w:rFonts w:ascii="Arial" w:cs="Arial" w:eastAsia="Arial" w:hAnsi="Arial"/>
                <w:sz w:val="12"/>
                <w:szCs w:val="12"/>
                <w:color w:val="auto"/>
                <w:w w:val="98"/>
              </w:rPr>
              <w:t>346,936,205</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80" w:type="dxa"/>
            <w:vAlign w:val="bottom"/>
          </w:tcPr>
          <w:p>
            <w:pPr>
              <w:spacing w:after="0"/>
              <w:rPr>
                <w:sz w:val="20"/>
                <w:szCs w:val="20"/>
                <w:color w:val="auto"/>
              </w:rPr>
            </w:pPr>
            <w:r>
              <w:rPr>
                <w:rFonts w:ascii="Arial" w:cs="Arial" w:eastAsia="Arial" w:hAnsi="Arial"/>
                <w:sz w:val="12"/>
                <w:szCs w:val="12"/>
                <w:b w:val="1"/>
                <w:bCs w:val="1"/>
                <w:color w:val="auto"/>
              </w:rPr>
              <w:t>Cash and Cash Equivalents—9.9%</w:t>
            </w:r>
          </w:p>
        </w:tc>
        <w:tc>
          <w:tcPr>
            <w:tcW w:w="9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80" w:type="dxa"/>
            <w:vAlign w:val="bottom"/>
            <w:shd w:val="clear" w:color="auto" w:fill="CCECFF"/>
          </w:tcPr>
          <w:p>
            <w:pPr>
              <w:spacing w:after="0"/>
              <w:rPr>
                <w:sz w:val="20"/>
                <w:szCs w:val="20"/>
                <w:color w:val="auto"/>
              </w:rPr>
            </w:pPr>
            <w:r>
              <w:rPr>
                <w:rFonts w:ascii="Arial" w:cs="Arial" w:eastAsia="Arial" w:hAnsi="Arial"/>
                <w:sz w:val="12"/>
                <w:szCs w:val="12"/>
                <w:color w:val="auto"/>
              </w:rPr>
              <w:t>BlackRock Federal FD Institutional 30</w:t>
            </w:r>
          </w:p>
        </w:tc>
        <w:tc>
          <w:tcPr>
            <w:tcW w:w="920" w:type="dxa"/>
            <w:vAlign w:val="bottom"/>
            <w:shd w:val="clear" w:color="auto" w:fill="CCECFF"/>
          </w:tcPr>
          <w:p>
            <w:pPr>
              <w:spacing w:after="0"/>
              <w:rPr>
                <w:sz w:val="12"/>
                <w:szCs w:val="12"/>
                <w:color w:val="auto"/>
              </w:rPr>
            </w:pPr>
          </w:p>
        </w:tc>
        <w:tc>
          <w:tcPr>
            <w:tcW w:w="25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3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2,969,162</w:t>
            </w:r>
          </w:p>
        </w:tc>
        <w:tc>
          <w:tcPr>
            <w:tcW w:w="24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70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rPr>
              <w:t>2,969,162</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80" w:type="dxa"/>
            <w:vAlign w:val="bottom"/>
            <w:tcBorders>
              <w:bottom w:val="single" w:sz="8" w:color="CCECFF"/>
            </w:tcBorders>
          </w:tcPr>
          <w:p>
            <w:pPr>
              <w:spacing w:after="0"/>
              <w:rPr>
                <w:sz w:val="20"/>
                <w:szCs w:val="20"/>
                <w:color w:val="auto"/>
              </w:rPr>
            </w:pPr>
            <w:r>
              <w:rPr>
                <w:rFonts w:ascii="Arial" w:cs="Arial" w:eastAsia="Arial" w:hAnsi="Arial"/>
                <w:sz w:val="12"/>
                <w:szCs w:val="12"/>
                <w:color w:val="auto"/>
              </w:rPr>
              <w:t>US Bank Cash</w:t>
            </w:r>
          </w:p>
        </w:tc>
        <w:tc>
          <w:tcPr>
            <w:tcW w:w="920" w:type="dxa"/>
            <w:vAlign w:val="bottom"/>
            <w:tcBorders>
              <w:bottom w:val="single" w:sz="8" w:color="CCECFF"/>
            </w:tcBorders>
          </w:tcPr>
          <w:p>
            <w:pPr>
              <w:spacing w:after="0"/>
              <w:rPr>
                <w:sz w:val="12"/>
                <w:szCs w:val="12"/>
                <w:color w:val="auto"/>
              </w:rPr>
            </w:pPr>
          </w:p>
        </w:tc>
        <w:tc>
          <w:tcPr>
            <w:tcW w:w="252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540" w:type="dxa"/>
            <w:vAlign w:val="bottom"/>
            <w:tcBorders>
              <w:bottom w:val="single" w:sz="8" w:color="CCECFF"/>
            </w:tcBorders>
          </w:tcPr>
          <w:p>
            <w:pPr>
              <w:spacing w:after="0"/>
              <w:rPr>
                <w:sz w:val="12"/>
                <w:szCs w:val="12"/>
                <w:color w:val="auto"/>
              </w:rPr>
            </w:pPr>
          </w:p>
        </w:tc>
        <w:tc>
          <w:tcPr>
            <w:tcW w:w="14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32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34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1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1,196,654</w:t>
            </w:r>
          </w:p>
        </w:tc>
        <w:tc>
          <w:tcPr>
            <w:tcW w:w="240" w:type="dxa"/>
            <w:vAlign w:val="bottom"/>
            <w:tcBorders>
              <w:bottom w:val="single" w:sz="8" w:color="CCEC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1,184,331</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8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Cash and Cash Equivalents</w:t>
            </w:r>
          </w:p>
        </w:tc>
        <w:tc>
          <w:tcPr>
            <w:tcW w:w="920" w:type="dxa"/>
            <w:vAlign w:val="bottom"/>
            <w:shd w:val="clear" w:color="auto" w:fill="CCECFF"/>
          </w:tcPr>
          <w:p>
            <w:pPr>
              <w:spacing w:after="0"/>
              <w:rPr>
                <w:sz w:val="12"/>
                <w:szCs w:val="12"/>
                <w:color w:val="auto"/>
              </w:rPr>
            </w:pPr>
          </w:p>
        </w:tc>
        <w:tc>
          <w:tcPr>
            <w:tcW w:w="25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3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4,165,816</w:t>
            </w:r>
          </w:p>
        </w:tc>
        <w:tc>
          <w:tcPr>
            <w:tcW w:w="240" w:type="dxa"/>
            <w:vAlign w:val="bottom"/>
            <w:shd w:val="clear" w:color="auto" w:fill="CCECFF"/>
          </w:tcPr>
          <w:p>
            <w:pPr>
              <w:spacing w:after="0"/>
              <w:rPr>
                <w:sz w:val="12"/>
                <w:szCs w:val="12"/>
                <w:color w:val="auto"/>
              </w:rPr>
            </w:pPr>
          </w:p>
        </w:tc>
        <w:tc>
          <w:tcPr>
            <w:tcW w:w="60" w:type="dxa"/>
            <w:vAlign w:val="bottom"/>
            <w:tcBorders>
              <w:bottom w:val="single" w:sz="8" w:color="auto"/>
            </w:tcBorders>
            <w:shd w:val="clear" w:color="auto" w:fill="CCECFF"/>
          </w:tcPr>
          <w:p>
            <w:pPr>
              <w:spacing w:after="0"/>
              <w:rPr>
                <w:sz w:val="12"/>
                <w:szCs w:val="12"/>
                <w:color w:val="auto"/>
              </w:rPr>
            </w:pPr>
          </w:p>
        </w:tc>
        <w:tc>
          <w:tcPr>
            <w:tcW w:w="700" w:type="dxa"/>
            <w:vAlign w:val="bottom"/>
            <w:tcBorders>
              <w:bottom w:val="single" w:sz="8" w:color="auto"/>
            </w:tcBorders>
            <w:gridSpan w:val="2"/>
            <w:shd w:val="clear" w:color="auto" w:fill="CCECFF"/>
          </w:tcPr>
          <w:p>
            <w:pPr>
              <w:jc w:val="right"/>
              <w:ind w:right="20"/>
              <w:spacing w:after="0"/>
              <w:rPr>
                <w:sz w:val="20"/>
                <w:szCs w:val="20"/>
                <w:color w:val="auto"/>
              </w:rPr>
            </w:pPr>
            <w:r>
              <w:rPr>
                <w:rFonts w:ascii="Arial" w:cs="Arial" w:eastAsia="Arial" w:hAnsi="Arial"/>
                <w:sz w:val="12"/>
                <w:szCs w:val="12"/>
                <w:color w:val="auto"/>
              </w:rPr>
              <w:t>4,153,493</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080" w:type="dxa"/>
            <w:vAlign w:val="bottom"/>
          </w:tcPr>
          <w:p>
            <w:pPr>
              <w:spacing w:after="0"/>
              <w:rPr>
                <w:sz w:val="20"/>
                <w:szCs w:val="20"/>
                <w:color w:val="auto"/>
              </w:rPr>
            </w:pPr>
            <w:r>
              <w:rPr>
                <w:rFonts w:ascii="Arial" w:cs="Arial" w:eastAsia="Arial" w:hAnsi="Arial"/>
                <w:sz w:val="12"/>
                <w:szCs w:val="12"/>
                <w:b w:val="1"/>
                <w:bCs w:val="1"/>
                <w:color w:val="auto"/>
              </w:rPr>
              <w:t>Total Investments and Cash Equivalents—832.6%</w:t>
            </w:r>
          </w:p>
        </w:tc>
        <w:tc>
          <w:tcPr>
            <w:tcW w:w="9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gridSpan w:val="3"/>
          </w:tcPr>
          <w:p>
            <w:pPr>
              <w:jc w:val="right"/>
              <w:ind w:right="40"/>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w w:val="89"/>
              </w:rPr>
              <w:t>350,712,848</w:t>
            </w:r>
          </w:p>
        </w:tc>
        <w:tc>
          <w:tcPr>
            <w:tcW w:w="24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gridSpan w:val="2"/>
          </w:tcPr>
          <w:p>
            <w:pPr>
              <w:jc w:val="right"/>
              <w:ind w:right="20"/>
              <w:spacing w:after="0"/>
              <w:rPr>
                <w:sz w:val="20"/>
                <w:szCs w:val="20"/>
                <w:color w:val="auto"/>
              </w:rPr>
            </w:pPr>
            <w:r>
              <w:rPr>
                <w:rFonts w:ascii="Arial" w:cs="Arial" w:eastAsia="Arial" w:hAnsi="Arial"/>
                <w:sz w:val="12"/>
                <w:szCs w:val="12"/>
                <w:color w:val="auto"/>
                <w:w w:val="98"/>
              </w:rPr>
              <w:t>351,089,698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80" w:type="dxa"/>
            <w:vAlign w:val="bottom"/>
            <w:tcBorders>
              <w:top w:val="single" w:sz="8" w:color="CCECFF"/>
            </w:tcBorders>
            <w:vMerge w:val="restart"/>
            <w:shd w:val="clear" w:color="auto" w:fill="CCECFF"/>
          </w:tcPr>
          <w:p>
            <w:pPr>
              <w:spacing w:after="0"/>
              <w:rPr>
                <w:sz w:val="20"/>
                <w:szCs w:val="20"/>
                <w:color w:val="auto"/>
              </w:rPr>
            </w:pPr>
            <w:r>
              <w:rPr>
                <w:rFonts w:ascii="Arial" w:cs="Arial" w:eastAsia="Arial" w:hAnsi="Arial"/>
                <w:sz w:val="12"/>
                <w:szCs w:val="12"/>
                <w:b w:val="1"/>
                <w:bCs w:val="1"/>
                <w:color w:val="auto"/>
              </w:rPr>
              <w:t>Liabilities in Excess of Other Assets—(732.6)%</w:t>
            </w:r>
          </w:p>
        </w:tc>
        <w:tc>
          <w:tcPr>
            <w:tcW w:w="920" w:type="dxa"/>
            <w:vAlign w:val="bottom"/>
            <w:tcBorders>
              <w:top w:val="single" w:sz="8" w:color="CCECFF"/>
            </w:tcBorders>
            <w:shd w:val="clear" w:color="auto" w:fill="CCECFF"/>
          </w:tcPr>
          <w:p>
            <w:pPr>
              <w:spacing w:after="0" w:line="20" w:lineRule="exact"/>
              <w:rPr>
                <w:sz w:val="1"/>
                <w:szCs w:val="1"/>
                <w:color w:val="auto"/>
              </w:rPr>
            </w:pPr>
          </w:p>
        </w:tc>
        <w:tc>
          <w:tcPr>
            <w:tcW w:w="2520" w:type="dxa"/>
            <w:vAlign w:val="bottom"/>
            <w:tcBorders>
              <w:top w:val="single" w:sz="8" w:color="CCECFF"/>
            </w:tcBorders>
            <w:shd w:val="clear" w:color="auto" w:fill="CCECFF"/>
          </w:tcPr>
          <w:p>
            <w:pPr>
              <w:spacing w:after="0" w:line="20" w:lineRule="exact"/>
              <w:rPr>
                <w:sz w:val="1"/>
                <w:szCs w:val="1"/>
                <w:color w:val="auto"/>
              </w:rPr>
            </w:pPr>
          </w:p>
        </w:tc>
        <w:tc>
          <w:tcPr>
            <w:tcW w:w="120" w:type="dxa"/>
            <w:vAlign w:val="bottom"/>
            <w:tcBorders>
              <w:top w:val="single" w:sz="8" w:color="CCECFF"/>
            </w:tcBorders>
            <w:shd w:val="clear" w:color="auto" w:fill="CCECFF"/>
          </w:tcPr>
          <w:p>
            <w:pPr>
              <w:spacing w:after="0" w:line="20" w:lineRule="exact"/>
              <w:rPr>
                <w:sz w:val="1"/>
                <w:szCs w:val="1"/>
                <w:color w:val="auto"/>
              </w:rPr>
            </w:pPr>
          </w:p>
        </w:tc>
        <w:tc>
          <w:tcPr>
            <w:tcW w:w="540" w:type="dxa"/>
            <w:vAlign w:val="bottom"/>
            <w:tcBorders>
              <w:top w:val="single" w:sz="8" w:color="CCECFF"/>
            </w:tcBorders>
            <w:shd w:val="clear" w:color="auto" w:fill="CCECFF"/>
          </w:tcPr>
          <w:p>
            <w:pPr>
              <w:spacing w:after="0" w:line="20" w:lineRule="exact"/>
              <w:rPr>
                <w:sz w:val="1"/>
                <w:szCs w:val="1"/>
                <w:color w:val="auto"/>
              </w:rPr>
            </w:pPr>
          </w:p>
        </w:tc>
        <w:tc>
          <w:tcPr>
            <w:tcW w:w="140" w:type="dxa"/>
            <w:vAlign w:val="bottom"/>
            <w:tcBorders>
              <w:top w:val="single" w:sz="8" w:color="CCECFF"/>
            </w:tcBorders>
            <w:shd w:val="clear" w:color="auto" w:fill="CCECFF"/>
          </w:tcPr>
          <w:p>
            <w:pPr>
              <w:spacing w:after="0" w:line="20" w:lineRule="exact"/>
              <w:rPr>
                <w:sz w:val="1"/>
                <w:szCs w:val="1"/>
                <w:color w:val="auto"/>
              </w:rPr>
            </w:pPr>
          </w:p>
        </w:tc>
        <w:tc>
          <w:tcPr>
            <w:tcW w:w="240" w:type="dxa"/>
            <w:vAlign w:val="bottom"/>
            <w:tcBorders>
              <w:top w:val="single" w:sz="8" w:color="CCECFF"/>
            </w:tcBorders>
            <w:shd w:val="clear" w:color="auto" w:fill="CCECFF"/>
          </w:tcPr>
          <w:p>
            <w:pPr>
              <w:spacing w:after="0" w:line="20" w:lineRule="exact"/>
              <w:rPr>
                <w:sz w:val="1"/>
                <w:szCs w:val="1"/>
                <w:color w:val="auto"/>
              </w:rPr>
            </w:pPr>
          </w:p>
        </w:tc>
        <w:tc>
          <w:tcPr>
            <w:tcW w:w="660" w:type="dxa"/>
            <w:vAlign w:val="bottom"/>
            <w:tcBorders>
              <w:top w:val="single" w:sz="8" w:color="CCECFF"/>
            </w:tcBorders>
            <w:shd w:val="clear" w:color="auto" w:fill="CCECFF"/>
          </w:tcPr>
          <w:p>
            <w:pPr>
              <w:spacing w:after="0" w:line="20" w:lineRule="exact"/>
              <w:rPr>
                <w:sz w:val="1"/>
                <w:szCs w:val="1"/>
                <w:color w:val="auto"/>
              </w:rPr>
            </w:pPr>
          </w:p>
        </w:tc>
        <w:tc>
          <w:tcPr>
            <w:tcW w:w="320" w:type="dxa"/>
            <w:vAlign w:val="bottom"/>
            <w:tcBorders>
              <w:top w:val="single" w:sz="8" w:color="CCECFF"/>
            </w:tcBorders>
            <w:shd w:val="clear" w:color="auto" w:fill="CCECFF"/>
          </w:tcPr>
          <w:p>
            <w:pPr>
              <w:spacing w:after="0" w:line="20" w:lineRule="exact"/>
              <w:rPr>
                <w:sz w:val="1"/>
                <w:szCs w:val="1"/>
                <w:color w:val="auto"/>
              </w:rPr>
            </w:pPr>
          </w:p>
        </w:tc>
        <w:tc>
          <w:tcPr>
            <w:tcW w:w="100" w:type="dxa"/>
            <w:vAlign w:val="bottom"/>
            <w:tcBorders>
              <w:top w:val="single" w:sz="8" w:color="CCECFF"/>
            </w:tcBorders>
            <w:shd w:val="clear" w:color="auto" w:fill="CCECFF"/>
          </w:tcPr>
          <w:p>
            <w:pPr>
              <w:spacing w:after="0" w:line="20" w:lineRule="exact"/>
              <w:rPr>
                <w:sz w:val="1"/>
                <w:szCs w:val="1"/>
                <w:color w:val="auto"/>
              </w:rPr>
            </w:pPr>
          </w:p>
        </w:tc>
        <w:tc>
          <w:tcPr>
            <w:tcW w:w="340" w:type="dxa"/>
            <w:vAlign w:val="bottom"/>
            <w:tcBorders>
              <w:top w:val="single" w:sz="8" w:color="CCECFF"/>
            </w:tcBorders>
            <w:shd w:val="clear" w:color="auto" w:fill="CCECFF"/>
          </w:tcPr>
          <w:p>
            <w:pPr>
              <w:spacing w:after="0" w:line="20" w:lineRule="exact"/>
              <w:rPr>
                <w:sz w:val="1"/>
                <w:szCs w:val="1"/>
                <w:color w:val="auto"/>
              </w:rPr>
            </w:pPr>
          </w:p>
        </w:tc>
        <w:tc>
          <w:tcPr>
            <w:tcW w:w="220" w:type="dxa"/>
            <w:vAlign w:val="bottom"/>
            <w:tcBorders>
              <w:top w:val="single" w:sz="8" w:color="CCECFF"/>
            </w:tcBorders>
            <w:shd w:val="clear" w:color="auto" w:fill="CCECFF"/>
          </w:tcPr>
          <w:p>
            <w:pPr>
              <w:spacing w:after="0" w:line="20" w:lineRule="exact"/>
              <w:rPr>
                <w:sz w:val="1"/>
                <w:szCs w:val="1"/>
                <w:color w:val="auto"/>
              </w:rPr>
            </w:pPr>
          </w:p>
        </w:tc>
        <w:tc>
          <w:tcPr>
            <w:tcW w:w="100" w:type="dxa"/>
            <w:vAlign w:val="bottom"/>
            <w:tcBorders>
              <w:top w:val="single" w:sz="8" w:color="CCECFF"/>
            </w:tcBorders>
            <w:shd w:val="clear" w:color="auto" w:fill="CCECFF"/>
          </w:tcPr>
          <w:p>
            <w:pPr>
              <w:spacing w:after="0" w:line="20" w:lineRule="exact"/>
              <w:rPr>
                <w:sz w:val="1"/>
                <w:szCs w:val="1"/>
                <w:color w:val="auto"/>
              </w:rPr>
            </w:pPr>
          </w:p>
        </w:tc>
        <w:tc>
          <w:tcPr>
            <w:tcW w:w="140" w:type="dxa"/>
            <w:vAlign w:val="bottom"/>
            <w:tcBorders>
              <w:top w:val="single" w:sz="8" w:color="CCECFF"/>
            </w:tcBorders>
            <w:shd w:val="clear" w:color="auto" w:fill="CCEC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CFF"/>
            </w:tcBorders>
            <w:shd w:val="clear" w:color="auto" w:fill="CCECFF"/>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gridSpan w:val="2"/>
            <w:shd w:val="clear" w:color="auto" w:fill="000000"/>
          </w:tcPr>
          <w:p>
            <w:pPr>
              <w:spacing w:after="0" w:line="20" w:lineRule="exact"/>
              <w:rPr>
                <w:sz w:val="1"/>
                <w:szCs w:val="1"/>
                <w:color w:val="auto"/>
              </w:rPr>
            </w:pPr>
          </w:p>
        </w:tc>
        <w:tc>
          <w:tcPr>
            <w:tcW w:w="100" w:type="dxa"/>
            <w:vAlign w:val="bottom"/>
            <w:tcBorders>
              <w:top w:val="single" w:sz="8" w:color="CCECFF"/>
            </w:tcBorders>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080" w:type="dxa"/>
            <w:vAlign w:val="bottom"/>
            <w:vMerge w:val="continue"/>
            <w:shd w:val="clear" w:color="auto" w:fill="CCECFF"/>
          </w:tcPr>
          <w:p>
            <w:pPr>
              <w:spacing w:after="0"/>
              <w:rPr>
                <w:sz w:val="11"/>
                <w:szCs w:val="11"/>
                <w:color w:val="auto"/>
              </w:rPr>
            </w:pPr>
          </w:p>
        </w:tc>
        <w:tc>
          <w:tcPr>
            <w:tcW w:w="920" w:type="dxa"/>
            <w:vAlign w:val="bottom"/>
            <w:shd w:val="clear" w:color="auto" w:fill="CCECFF"/>
          </w:tcPr>
          <w:p>
            <w:pPr>
              <w:spacing w:after="0"/>
              <w:rPr>
                <w:sz w:val="11"/>
                <w:szCs w:val="11"/>
                <w:color w:val="auto"/>
              </w:rPr>
            </w:pPr>
          </w:p>
        </w:tc>
        <w:tc>
          <w:tcPr>
            <w:tcW w:w="25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3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800" w:type="dxa"/>
            <w:vAlign w:val="bottom"/>
            <w:gridSpan w:val="3"/>
            <w:shd w:val="clear" w:color="auto" w:fill="CCECFF"/>
          </w:tcPr>
          <w:p>
            <w:pPr>
              <w:jc w:val="right"/>
              <w:ind w:right="60"/>
              <w:spacing w:after="0" w:line="129" w:lineRule="exact"/>
              <w:rPr>
                <w:sz w:val="20"/>
                <w:szCs w:val="20"/>
                <w:color w:val="auto"/>
              </w:rPr>
            </w:pPr>
            <w:r>
              <w:rPr>
                <w:rFonts w:ascii="Arial" w:cs="Arial" w:eastAsia="Arial" w:hAnsi="Arial"/>
                <w:sz w:val="12"/>
                <w:szCs w:val="12"/>
                <w:color w:val="auto"/>
                <w:w w:val="96"/>
              </w:rPr>
              <w:t>(308,919,445)</w:t>
            </w:r>
          </w:p>
        </w:tc>
        <w:tc>
          <w:tcPr>
            <w:tcW w:w="0" w:type="dxa"/>
            <w:vAlign w:val="bottom"/>
          </w:tcPr>
          <w:p>
            <w:pPr>
              <w:spacing w:after="0"/>
              <w:rPr>
                <w:sz w:val="1"/>
                <w:szCs w:val="1"/>
                <w:color w:val="auto"/>
              </w:rPr>
            </w:pPr>
          </w:p>
        </w:tc>
      </w:tr>
      <w:tr>
        <w:trPr>
          <w:trHeight w:val="149"/>
        </w:trPr>
        <w:tc>
          <w:tcPr>
            <w:tcW w:w="3080" w:type="dxa"/>
            <w:vAlign w:val="bottom"/>
          </w:tcPr>
          <w:p>
            <w:pPr>
              <w:spacing w:after="0"/>
              <w:rPr>
                <w:sz w:val="20"/>
                <w:szCs w:val="20"/>
                <w:color w:val="auto"/>
              </w:rPr>
            </w:pPr>
            <w:r>
              <w:rPr>
                <w:rFonts w:ascii="Arial" w:cs="Arial" w:eastAsia="Arial" w:hAnsi="Arial"/>
                <w:sz w:val="12"/>
                <w:szCs w:val="12"/>
                <w:b w:val="1"/>
                <w:bCs w:val="1"/>
                <w:color w:val="auto"/>
              </w:rPr>
              <w:t>Members' Equity—100.0%</w:t>
            </w:r>
          </w:p>
        </w:tc>
        <w:tc>
          <w:tcPr>
            <w:tcW w:w="9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42,170,253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86880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868805" cy="8890"/>
                    </a:xfrm>
                    <a:prstGeom prst="rect">
                      <a:avLst/>
                    </a:prstGeom>
                    <a:noFill/>
                  </pic:spPr>
                </pic:pic>
              </a:graphicData>
            </a:graphic>
          </wp:anchor>
        </w:drawing>
      </w:r>
    </w:p>
    <w:p>
      <w:pPr>
        <w:spacing w:after="0" w:line="163" w:lineRule="exact"/>
        <w:rPr>
          <w:sz w:val="20"/>
          <w:szCs w:val="20"/>
          <w:color w:val="auto"/>
        </w:rPr>
      </w:pPr>
    </w:p>
    <w:p>
      <w:pPr>
        <w:ind w:left="380" w:right="20" w:hanging="372"/>
        <w:spacing w:after="0"/>
        <w:tabs>
          <w:tab w:leader="none" w:pos="380" w:val="left"/>
        </w:tabs>
        <w:numPr>
          <w:ilvl w:val="0"/>
          <w:numId w:val="8"/>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LIBOR, EURIBOR or Prime rate.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and EURIBOR loans are typically indexed to a 90-day EURIBOR rate (3M E), at the borrower’s option. All securities are subject to a LIBOR or Prime rate floor where a spread is provided, unless noted. The spread provided includes PIK interest and other fee rates, if any.</w:t>
      </w:r>
    </w:p>
    <w:p>
      <w:pPr>
        <w:spacing w:after="0" w:line="28" w:lineRule="exact"/>
        <w:rPr>
          <w:rFonts w:ascii="Arial" w:cs="Arial" w:eastAsia="Arial" w:hAnsi="Arial"/>
          <w:sz w:val="12"/>
          <w:szCs w:val="12"/>
          <w:color w:val="auto"/>
        </w:rPr>
      </w:pPr>
    </w:p>
    <w:p>
      <w:pPr>
        <w:ind w:left="380" w:hanging="372"/>
        <w:spacing w:after="0"/>
        <w:tabs>
          <w:tab w:leader="none" w:pos="380" w:val="left"/>
        </w:tabs>
        <w:numPr>
          <w:ilvl w:val="0"/>
          <w:numId w:val="8"/>
        </w:numPr>
        <w:rPr>
          <w:rFonts w:ascii="Arial" w:cs="Arial" w:eastAsia="Arial" w:hAnsi="Arial"/>
          <w:sz w:val="12"/>
          <w:szCs w:val="12"/>
          <w:color w:val="auto"/>
        </w:rPr>
      </w:pPr>
      <w:r>
        <w:rPr>
          <w:rFonts w:ascii="Arial" w:cs="Arial" w:eastAsia="Arial" w:hAnsi="Arial"/>
          <w:sz w:val="12"/>
          <w:szCs w:val="12"/>
          <w:color w:val="auto"/>
        </w:rPr>
        <w:t>Valued based on PSSL’s accounting policy.</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8"/>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494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9" w:name="page20"/>
    <w:bookmarkEnd w:id="19"/>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line="221" w:lineRule="auto"/>
        <w:rPr>
          <w:sz w:val="20"/>
          <w:szCs w:val="20"/>
          <w:color w:val="auto"/>
        </w:rPr>
      </w:pPr>
      <w:r>
        <w:rPr>
          <w:rFonts w:ascii="Arial" w:cs="Arial" w:eastAsia="Arial" w:hAnsi="Arial"/>
          <w:sz w:val="14"/>
          <w:szCs w:val="14"/>
          <w:b w:val="1"/>
          <w:bCs w:val="1"/>
          <w:color w:val="auto"/>
        </w:rPr>
        <w:t>JUNE 30, 2018</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91" w:lineRule="exact"/>
        <w:rPr>
          <w:sz w:val="20"/>
          <w:szCs w:val="20"/>
          <w:color w:val="auto"/>
        </w:rPr>
      </w:pPr>
    </w:p>
    <w:p>
      <w:pPr>
        <w:ind w:left="380" w:hanging="372"/>
        <w:spacing w:after="0"/>
        <w:tabs>
          <w:tab w:leader="none" w:pos="380" w:val="left"/>
        </w:tabs>
        <w:numPr>
          <w:ilvl w:val="0"/>
          <w:numId w:val="9"/>
        </w:numPr>
        <w:rPr>
          <w:rFonts w:ascii="Arial" w:cs="Arial" w:eastAsia="Arial" w:hAnsi="Arial"/>
          <w:sz w:val="12"/>
          <w:szCs w:val="12"/>
          <w:color w:val="auto"/>
        </w:rPr>
      </w:pPr>
      <w:r>
        <w:rPr>
          <w:rFonts w:ascii="Arial" w:cs="Arial" w:eastAsia="Arial" w:hAnsi="Arial"/>
          <w:sz w:val="12"/>
          <w:szCs w:val="12"/>
          <w:color w:val="auto"/>
        </w:rPr>
        <w:t>Par amount is denominated in Australian Dollars (A$), Canadian Dollars (C$) or in Euros (€) as denoted.</w:t>
      </w:r>
    </w:p>
    <w:p>
      <w:pPr>
        <w:spacing w:after="0" w:line="11" w:lineRule="exact"/>
        <w:rPr>
          <w:sz w:val="20"/>
          <w:szCs w:val="20"/>
          <w:color w:val="auto"/>
        </w:rPr>
      </w:pPr>
    </w:p>
    <w:p>
      <w:pPr>
        <w:ind w:left="20"/>
        <w:spacing w:after="0"/>
        <w:tabs>
          <w:tab w:leader="none" w:pos="320" w:val="left"/>
          <w:tab w:leader="none" w:pos="10080" w:val="left"/>
        </w:tabs>
        <w:rPr>
          <w:sz w:val="20"/>
          <w:szCs w:val="20"/>
          <w:color w:val="auto"/>
        </w:rPr>
      </w:pPr>
      <w:r>
        <w:rPr>
          <w:rFonts w:ascii="Arial" w:cs="Arial" w:eastAsia="Arial" w:hAnsi="Arial"/>
          <w:sz w:val="11"/>
          <w:szCs w:val="11"/>
          <w:color w:val="auto"/>
        </w:rPr>
        <w:t>(5)</w:t>
      </w:r>
      <w:r>
        <w:rPr>
          <w:sz w:val="20"/>
          <w:szCs w:val="20"/>
          <w:color w:val="auto"/>
        </w:rPr>
        <w:tab/>
      </w: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w:t>
      </w:r>
      <w:r>
        <w:rPr>
          <w:sz w:val="20"/>
          <w:szCs w:val="20"/>
          <w:color w:val="auto"/>
        </w:rPr>
        <w:tab/>
      </w:r>
      <w:r>
        <w:rPr>
          <w:rFonts w:ascii="Arial" w:cs="Arial" w:eastAsia="Arial" w:hAnsi="Arial"/>
          <w:sz w:val="9"/>
          <w:szCs w:val="9"/>
          <w:color w:val="auto"/>
        </w:rPr>
        <w:t>unfunded.</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4"/>
          <w:szCs w:val="14"/>
          <w:color w:val="auto"/>
        </w:rPr>
        <w:t>Below is a listing of PSSL’s individual investments as of September 30, 2017:</w:t>
      </w:r>
    </w:p>
    <w:p>
      <w:pPr>
        <w:spacing w:after="0" w:line="294"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PennantPark Senior Secured Loan Fund I LLC</w:t>
      </w:r>
    </w:p>
    <w:p>
      <w:pPr>
        <w:spacing w:after="0" w:line="17"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Schedule of Investments</w:t>
      </w:r>
    </w:p>
    <w:p>
      <w:pPr>
        <w:spacing w:after="0" w:line="1"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September 30, 2017</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8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5"/>
              </w:rPr>
              <w:t>Basis Point</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88"/>
              </w:rPr>
              <w:t>Spread</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right"/>
              <w:ind w:right="360"/>
              <w:spacing w:after="0" w:line="135" w:lineRule="exact"/>
              <w:rPr>
                <w:sz w:val="20"/>
                <w:szCs w:val="20"/>
                <w:color w:val="auto"/>
              </w:rPr>
            </w:pPr>
            <w:r>
              <w:rPr>
                <w:rFonts w:ascii="Arial" w:cs="Arial" w:eastAsia="Arial" w:hAnsi="Arial"/>
                <w:sz w:val="12"/>
                <w:szCs w:val="12"/>
                <w:b w:val="1"/>
                <w:bCs w:val="1"/>
                <w:color w:val="auto"/>
              </w:rPr>
              <w:t>Current</w:t>
            </w:r>
          </w:p>
        </w:tc>
        <w:tc>
          <w:tcPr>
            <w:tcW w:w="100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87"/>
              </w:rPr>
              <w:t>Above</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860" w:type="dxa"/>
            <w:vAlign w:val="bottom"/>
          </w:tcPr>
          <w:p>
            <w:pPr>
              <w:spacing w:after="0"/>
              <w:rPr>
                <w:sz w:val="20"/>
                <w:szCs w:val="20"/>
                <w:color w:val="auto"/>
              </w:rPr>
            </w:pPr>
            <w:r>
              <w:rPr>
                <w:rFonts w:ascii="Arial" w:cs="Arial" w:eastAsia="Arial" w:hAnsi="Arial"/>
                <w:sz w:val="12"/>
                <w:szCs w:val="12"/>
                <w:b w:val="1"/>
                <w:bCs w:val="1"/>
                <w:color w:val="auto"/>
              </w:rPr>
              <w:t>Issuer Name</w:t>
            </w:r>
          </w:p>
        </w:tc>
        <w:tc>
          <w:tcPr>
            <w:tcW w:w="1040" w:type="dxa"/>
            <w:vAlign w:val="bottom"/>
          </w:tcPr>
          <w:p>
            <w:pPr>
              <w:ind w:left="360"/>
              <w:spacing w:after="0"/>
              <w:rPr>
                <w:sz w:val="20"/>
                <w:szCs w:val="20"/>
                <w:color w:val="auto"/>
              </w:rPr>
            </w:pPr>
            <w:r>
              <w:rPr>
                <w:rFonts w:ascii="Arial" w:cs="Arial" w:eastAsia="Arial" w:hAnsi="Arial"/>
                <w:sz w:val="12"/>
                <w:szCs w:val="12"/>
                <w:b w:val="1"/>
                <w:bCs w:val="1"/>
                <w:color w:val="auto"/>
              </w:rPr>
              <w:t>Maturity</w:t>
            </w:r>
          </w:p>
        </w:tc>
        <w:tc>
          <w:tcPr>
            <w:tcW w:w="2760" w:type="dxa"/>
            <w:vAlign w:val="bottom"/>
            <w:gridSpan w:val="2"/>
          </w:tcPr>
          <w:p>
            <w:pPr>
              <w:ind w:left="1100"/>
              <w:spacing w:after="0"/>
              <w:rPr>
                <w:sz w:val="20"/>
                <w:szCs w:val="20"/>
                <w:color w:val="auto"/>
              </w:rPr>
            </w:pPr>
            <w:r>
              <w:rPr>
                <w:rFonts w:ascii="Arial" w:cs="Arial" w:eastAsia="Arial" w:hAnsi="Arial"/>
                <w:sz w:val="12"/>
                <w:szCs w:val="12"/>
                <w:b w:val="1"/>
                <w:bCs w:val="1"/>
                <w:color w:val="auto"/>
              </w:rPr>
              <w:t>Industry</w:t>
            </w:r>
          </w:p>
        </w:tc>
        <w:tc>
          <w:tcPr>
            <w:tcW w:w="900" w:type="dxa"/>
            <w:vAlign w:val="bottom"/>
            <w:gridSpan w:val="2"/>
          </w:tcPr>
          <w:p>
            <w:pPr>
              <w:jc w:val="right"/>
              <w:ind w:right="380"/>
              <w:spacing w:after="0"/>
              <w:rPr>
                <w:sz w:val="20"/>
                <w:szCs w:val="20"/>
                <w:color w:val="auto"/>
              </w:rPr>
            </w:pPr>
            <w:r>
              <w:rPr>
                <w:rFonts w:ascii="Arial" w:cs="Arial" w:eastAsia="Arial" w:hAnsi="Arial"/>
                <w:sz w:val="12"/>
                <w:szCs w:val="12"/>
                <w:b w:val="1"/>
                <w:bCs w:val="1"/>
                <w:color w:val="auto"/>
              </w:rPr>
              <w:t>Coupon</w:t>
            </w:r>
          </w:p>
        </w:tc>
        <w:tc>
          <w:tcPr>
            <w:tcW w:w="10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(1)</w:t>
            </w:r>
          </w:p>
        </w:tc>
        <w:tc>
          <w:tcPr>
            <w:tcW w:w="120" w:type="dxa"/>
            <w:vAlign w:val="bottom"/>
          </w:tcPr>
          <w:p>
            <w:pPr>
              <w:spacing w:after="0"/>
              <w:rPr>
                <w:sz w:val="12"/>
                <w:szCs w:val="12"/>
                <w:color w:val="auto"/>
              </w:rPr>
            </w:pP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Par</w:t>
            </w:r>
          </w:p>
        </w:tc>
        <w:tc>
          <w:tcPr>
            <w:tcW w:w="80" w:type="dxa"/>
            <w:vAlign w:val="bottom"/>
          </w:tcPr>
          <w:p>
            <w:pPr>
              <w:spacing w:after="0"/>
              <w:rPr>
                <w:sz w:val="12"/>
                <w:szCs w:val="12"/>
                <w:color w:val="auto"/>
              </w:rPr>
            </w:pPr>
          </w:p>
        </w:tc>
        <w:tc>
          <w:tcPr>
            <w:tcW w:w="860" w:type="dxa"/>
            <w:vAlign w:val="bottom"/>
            <w:gridSpan w:val="2"/>
          </w:tcPr>
          <w:p>
            <w:pPr>
              <w:ind w:left="160"/>
              <w:spacing w:after="0"/>
              <w:rPr>
                <w:sz w:val="20"/>
                <w:szCs w:val="20"/>
                <w:color w:val="auto"/>
              </w:rPr>
            </w:pPr>
            <w:r>
              <w:rPr>
                <w:rFonts w:ascii="Arial" w:cs="Arial" w:eastAsia="Arial" w:hAnsi="Arial"/>
                <w:sz w:val="12"/>
                <w:szCs w:val="12"/>
                <w:b w:val="1"/>
                <w:bCs w:val="1"/>
                <w:color w:val="auto"/>
              </w:rPr>
              <w:t>Cost</w:t>
            </w:r>
          </w:p>
        </w:tc>
        <w:tc>
          <w:tcPr>
            <w:tcW w:w="84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w w:val="94"/>
              </w:rPr>
              <w:t xml:space="preserve">Fair Value </w:t>
            </w:r>
            <w:r>
              <w:rPr>
                <w:rFonts w:ascii="Arial" w:cs="Arial" w:eastAsia="Arial" w:hAnsi="Arial"/>
                <w:sz w:val="9"/>
                <w:szCs w:val="9"/>
                <w:b w:val="1"/>
                <w:bCs w:val="1"/>
                <w:color w:val="auto"/>
                <w:w w:val="94"/>
              </w:rPr>
              <w:t>(2)</w:t>
            </w:r>
          </w:p>
        </w:tc>
        <w:tc>
          <w:tcPr>
            <w:tcW w:w="0" w:type="dxa"/>
            <w:vAlign w:val="bottom"/>
          </w:tcPr>
          <w:p>
            <w:pPr>
              <w:spacing w:after="0"/>
              <w:rPr>
                <w:sz w:val="1"/>
                <w:szCs w:val="1"/>
                <w:color w:val="auto"/>
              </w:rPr>
            </w:pPr>
          </w:p>
        </w:tc>
      </w:tr>
      <w:tr>
        <w:trPr>
          <w:trHeight w:val="142"/>
        </w:trPr>
        <w:tc>
          <w:tcPr>
            <w:tcW w:w="3900" w:type="dxa"/>
            <w:vAlign w:val="bottom"/>
            <w:tcBorders>
              <w:top w:val="single" w:sz="8" w:color="auto"/>
            </w:tcBorders>
            <w:gridSpan w:val="2"/>
            <w:shd w:val="clear" w:color="auto" w:fill="CCECFF"/>
          </w:tcPr>
          <w:p>
            <w:pPr>
              <w:spacing w:after="0"/>
              <w:rPr>
                <w:sz w:val="20"/>
                <w:szCs w:val="20"/>
                <w:color w:val="auto"/>
              </w:rPr>
            </w:pPr>
            <w:r>
              <w:rPr>
                <w:rFonts w:ascii="Arial" w:cs="Arial" w:eastAsia="Arial" w:hAnsi="Arial"/>
                <w:sz w:val="12"/>
                <w:szCs w:val="12"/>
                <w:b w:val="1"/>
                <w:bCs w:val="1"/>
                <w:color w:val="auto"/>
                <w:w w:val="89"/>
              </w:rPr>
              <w:t>Investments in Non-Controlled, Non-Affiliated Portfolio Companies—651.7%</w:t>
            </w:r>
          </w:p>
        </w:tc>
        <w:tc>
          <w:tcPr>
            <w:tcW w:w="2640" w:type="dxa"/>
            <w:vAlign w:val="bottom"/>
            <w:tcBorders>
              <w:top w:val="single" w:sz="8" w:color="auto"/>
            </w:tcBorders>
            <w:shd w:val="clear" w:color="auto" w:fill="CCECFF"/>
          </w:tcPr>
          <w:p>
            <w:pPr>
              <w:spacing w:after="0"/>
              <w:rPr>
                <w:sz w:val="12"/>
                <w:szCs w:val="12"/>
                <w:color w:val="auto"/>
              </w:rPr>
            </w:pPr>
          </w:p>
        </w:tc>
        <w:tc>
          <w:tcPr>
            <w:tcW w:w="120" w:type="dxa"/>
            <w:vAlign w:val="bottom"/>
            <w:tcBorders>
              <w:top w:val="single" w:sz="8" w:color="CCECFF"/>
            </w:tcBorders>
            <w:shd w:val="clear" w:color="auto" w:fill="CCECFF"/>
          </w:tcPr>
          <w:p>
            <w:pPr>
              <w:spacing w:after="0"/>
              <w:rPr>
                <w:sz w:val="12"/>
                <w:szCs w:val="12"/>
                <w:color w:val="auto"/>
              </w:rPr>
            </w:pPr>
          </w:p>
        </w:tc>
        <w:tc>
          <w:tcPr>
            <w:tcW w:w="66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800" w:type="dxa"/>
            <w:vAlign w:val="bottom"/>
            <w:tcBorders>
              <w:top w:val="single" w:sz="8" w:color="auto"/>
            </w:tcBorders>
            <w:shd w:val="clear" w:color="auto" w:fill="CCECFF"/>
          </w:tcPr>
          <w:p>
            <w:pPr>
              <w:spacing w:after="0"/>
              <w:rPr>
                <w:sz w:val="12"/>
                <w:szCs w:val="12"/>
                <w:color w:val="auto"/>
              </w:rPr>
            </w:pPr>
          </w:p>
        </w:tc>
        <w:tc>
          <w:tcPr>
            <w:tcW w:w="200" w:type="dxa"/>
            <w:vAlign w:val="bottom"/>
            <w:tcBorders>
              <w:top w:val="single" w:sz="8" w:color="CCECFF"/>
            </w:tcBorders>
            <w:shd w:val="clear" w:color="auto" w:fill="CCECFF"/>
          </w:tcPr>
          <w:p>
            <w:pPr>
              <w:spacing w:after="0"/>
              <w:rPr>
                <w:sz w:val="12"/>
                <w:szCs w:val="12"/>
                <w:color w:val="auto"/>
              </w:rPr>
            </w:pPr>
          </w:p>
        </w:tc>
        <w:tc>
          <w:tcPr>
            <w:tcW w:w="120" w:type="dxa"/>
            <w:vAlign w:val="bottom"/>
            <w:tcBorders>
              <w:top w:val="single" w:sz="8" w:color="auto"/>
            </w:tcBorders>
            <w:shd w:val="clear" w:color="auto" w:fill="CCECFF"/>
          </w:tcPr>
          <w:p>
            <w:pPr>
              <w:spacing w:after="0"/>
              <w:rPr>
                <w:sz w:val="12"/>
                <w:szCs w:val="12"/>
                <w:color w:val="auto"/>
              </w:rPr>
            </w:pPr>
          </w:p>
        </w:tc>
        <w:tc>
          <w:tcPr>
            <w:tcW w:w="54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tcBorders>
            <w:shd w:val="clear" w:color="auto" w:fill="CCECFF"/>
          </w:tcPr>
          <w:p>
            <w:pPr>
              <w:spacing w:after="0"/>
              <w:rPr>
                <w:sz w:val="12"/>
                <w:szCs w:val="12"/>
                <w:color w:val="auto"/>
              </w:rPr>
            </w:pPr>
          </w:p>
        </w:tc>
        <w:tc>
          <w:tcPr>
            <w:tcW w:w="640" w:type="dxa"/>
            <w:vAlign w:val="bottom"/>
            <w:tcBorders>
              <w:top w:val="single" w:sz="8" w:color="auto"/>
            </w:tcBorders>
            <w:shd w:val="clear" w:color="auto" w:fill="CCECFF"/>
          </w:tcPr>
          <w:p>
            <w:pPr>
              <w:spacing w:after="0"/>
              <w:rPr>
                <w:sz w:val="12"/>
                <w:szCs w:val="12"/>
                <w:color w:val="auto"/>
              </w:rPr>
            </w:pPr>
          </w:p>
        </w:tc>
        <w:tc>
          <w:tcPr>
            <w:tcW w:w="220" w:type="dxa"/>
            <w:vAlign w:val="bottom"/>
            <w:tcBorders>
              <w:top w:val="single" w:sz="8" w:color="CCECFF"/>
            </w:tcBorders>
            <w:shd w:val="clear" w:color="auto" w:fill="CCECFF"/>
          </w:tcPr>
          <w:p>
            <w:pPr>
              <w:spacing w:after="0"/>
              <w:rPr>
                <w:sz w:val="12"/>
                <w:szCs w:val="12"/>
                <w:color w:val="auto"/>
              </w:rPr>
            </w:pPr>
          </w:p>
        </w:tc>
        <w:tc>
          <w:tcPr>
            <w:tcW w:w="100" w:type="dxa"/>
            <w:vAlign w:val="bottom"/>
            <w:tcBorders>
              <w:top w:val="single" w:sz="8" w:color="auto"/>
            </w:tcBorders>
            <w:shd w:val="clear" w:color="auto" w:fill="CCECFF"/>
          </w:tcPr>
          <w:p>
            <w:pPr>
              <w:spacing w:after="0"/>
              <w:rPr>
                <w:sz w:val="12"/>
                <w:szCs w:val="12"/>
                <w:color w:val="auto"/>
              </w:rPr>
            </w:pPr>
          </w:p>
        </w:tc>
        <w:tc>
          <w:tcPr>
            <w:tcW w:w="640" w:type="dxa"/>
            <w:vAlign w:val="bottom"/>
            <w:tcBorders>
              <w:top w:val="single" w:sz="8" w:color="auto"/>
            </w:tcBorders>
            <w:shd w:val="clear" w:color="auto" w:fill="CCECFF"/>
          </w:tcPr>
          <w:p>
            <w:pPr>
              <w:spacing w:after="0"/>
              <w:rPr>
                <w:sz w:val="12"/>
                <w:szCs w:val="12"/>
                <w:color w:val="auto"/>
              </w:rPr>
            </w:pPr>
          </w:p>
        </w:tc>
        <w:tc>
          <w:tcPr>
            <w:tcW w:w="100" w:type="dxa"/>
            <w:vAlign w:val="bottom"/>
            <w:tcBorders>
              <w:top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b w:val="1"/>
                <w:bCs w:val="1"/>
                <w:color w:val="auto"/>
              </w:rPr>
              <w:t>First Lien Secured Debt—674.2%</w:t>
            </w:r>
          </w:p>
        </w:tc>
        <w:tc>
          <w:tcPr>
            <w:tcW w:w="10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Alvogen Pharma US, Inc. </w:t>
            </w:r>
            <w:r>
              <w:rPr>
                <w:rFonts w:ascii="Arial" w:cs="Arial" w:eastAsia="Arial" w:hAnsi="Arial"/>
                <w:sz w:val="9"/>
                <w:szCs w:val="9"/>
                <w:color w:val="auto"/>
              </w:rPr>
              <w:t>(3)</w:t>
            </w:r>
          </w:p>
        </w:tc>
        <w:tc>
          <w:tcPr>
            <w:tcW w:w="1040" w:type="dxa"/>
            <w:vAlign w:val="bottom"/>
            <w:shd w:val="clear" w:color="auto" w:fill="CCECFF"/>
          </w:tcPr>
          <w:p>
            <w:pPr>
              <w:ind w:left="360"/>
              <w:spacing w:after="0"/>
              <w:rPr>
                <w:sz w:val="20"/>
                <w:szCs w:val="20"/>
                <w:color w:val="auto"/>
              </w:rPr>
            </w:pPr>
            <w:r>
              <w:rPr>
                <w:rFonts w:ascii="Arial" w:cs="Arial" w:eastAsia="Arial" w:hAnsi="Arial"/>
                <w:sz w:val="12"/>
                <w:szCs w:val="12"/>
                <w:color w:val="auto"/>
              </w:rPr>
              <w:t>04/04/2022</w:t>
            </w:r>
          </w:p>
        </w:tc>
        <w:tc>
          <w:tcPr>
            <w:tcW w:w="276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Healthcare and Pharmaceuticals</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6.24%</w:t>
            </w:r>
          </w:p>
        </w:tc>
        <w:tc>
          <w:tcPr>
            <w:tcW w:w="1000" w:type="dxa"/>
            <w:vAlign w:val="bottom"/>
            <w:gridSpan w:val="2"/>
            <w:shd w:val="clear" w:color="auto" w:fill="CCECFF"/>
          </w:tcPr>
          <w:p>
            <w:pPr>
              <w:ind w:left="460"/>
              <w:spacing w:after="0"/>
              <w:rPr>
                <w:sz w:val="20"/>
                <w:szCs w:val="20"/>
                <w:color w:val="auto"/>
              </w:rPr>
            </w:pPr>
            <w:r>
              <w:rPr>
                <w:rFonts w:ascii="Arial" w:cs="Arial" w:eastAsia="Arial" w:hAnsi="Arial"/>
                <w:sz w:val="12"/>
                <w:szCs w:val="12"/>
                <w:color w:val="auto"/>
              </w:rPr>
              <w:t>L+500</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5,664,954</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5,597,299</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5,636,629</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Anvil International, LLC</w:t>
            </w:r>
          </w:p>
        </w:tc>
        <w:tc>
          <w:tcPr>
            <w:tcW w:w="1040" w:type="dxa"/>
            <w:vAlign w:val="bottom"/>
          </w:tcPr>
          <w:p>
            <w:pPr>
              <w:ind w:left="360"/>
              <w:spacing w:after="0"/>
              <w:rPr>
                <w:sz w:val="20"/>
                <w:szCs w:val="20"/>
                <w:color w:val="auto"/>
              </w:rPr>
            </w:pPr>
            <w:r>
              <w:rPr>
                <w:rFonts w:ascii="Arial" w:cs="Arial" w:eastAsia="Arial" w:hAnsi="Arial"/>
                <w:sz w:val="12"/>
                <w:szCs w:val="12"/>
                <w:color w:val="auto"/>
              </w:rPr>
              <w:t>08/01/2024</w:t>
            </w:r>
          </w:p>
        </w:tc>
        <w:tc>
          <w:tcPr>
            <w:tcW w:w="2760" w:type="dxa"/>
            <w:vAlign w:val="bottom"/>
            <w:gridSpan w:val="2"/>
          </w:tcPr>
          <w:p>
            <w:pPr>
              <w:spacing w:after="0"/>
              <w:rPr>
                <w:sz w:val="20"/>
                <w:szCs w:val="20"/>
                <w:color w:val="auto"/>
              </w:rPr>
            </w:pPr>
            <w:r>
              <w:rPr>
                <w:rFonts w:ascii="Arial" w:cs="Arial" w:eastAsia="Arial" w:hAnsi="Arial"/>
                <w:sz w:val="12"/>
                <w:szCs w:val="12"/>
                <w:color w:val="auto"/>
              </w:rPr>
              <w:t>Construction and Building</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5.50%</w:t>
            </w:r>
          </w:p>
        </w:tc>
        <w:tc>
          <w:tcPr>
            <w:tcW w:w="1000" w:type="dxa"/>
            <w:vAlign w:val="bottom"/>
            <w:gridSpan w:val="2"/>
          </w:tcPr>
          <w:p>
            <w:pPr>
              <w:ind w:left="460"/>
              <w:spacing w:after="0"/>
              <w:rPr>
                <w:sz w:val="20"/>
                <w:szCs w:val="20"/>
                <w:color w:val="auto"/>
              </w:rPr>
            </w:pPr>
            <w:r>
              <w:rPr>
                <w:rFonts w:ascii="Arial" w:cs="Arial" w:eastAsia="Arial" w:hAnsi="Arial"/>
                <w:sz w:val="12"/>
                <w:szCs w:val="12"/>
                <w:color w:val="auto"/>
              </w:rPr>
              <w:t>L+450</w:t>
            </w: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w w:val="97"/>
              </w:rPr>
              <w:t>5,000,000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4,950,000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5,025,000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API Technologies Corp.</w:t>
            </w:r>
          </w:p>
        </w:tc>
        <w:tc>
          <w:tcPr>
            <w:tcW w:w="1040" w:type="dxa"/>
            <w:vAlign w:val="bottom"/>
            <w:shd w:val="clear" w:color="auto" w:fill="CCECFF"/>
          </w:tcPr>
          <w:p>
            <w:pPr>
              <w:ind w:left="360"/>
              <w:spacing w:after="0"/>
              <w:rPr>
                <w:sz w:val="20"/>
                <w:szCs w:val="20"/>
                <w:color w:val="auto"/>
              </w:rPr>
            </w:pPr>
            <w:r>
              <w:rPr>
                <w:rFonts w:ascii="Arial" w:cs="Arial" w:eastAsia="Arial" w:hAnsi="Arial"/>
                <w:sz w:val="12"/>
                <w:szCs w:val="12"/>
                <w:color w:val="auto"/>
              </w:rPr>
              <w:t>04/22/2022</w:t>
            </w:r>
          </w:p>
        </w:tc>
        <w:tc>
          <w:tcPr>
            <w:tcW w:w="276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Aerospace and Defense</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7.83%</w:t>
            </w:r>
          </w:p>
        </w:tc>
        <w:tc>
          <w:tcPr>
            <w:tcW w:w="1000" w:type="dxa"/>
            <w:vAlign w:val="bottom"/>
            <w:gridSpan w:val="2"/>
            <w:shd w:val="clear" w:color="auto" w:fill="CCECFF"/>
          </w:tcPr>
          <w:p>
            <w:pPr>
              <w:ind w:left="460"/>
              <w:spacing w:after="0"/>
              <w:rPr>
                <w:sz w:val="20"/>
                <w:szCs w:val="20"/>
                <w:color w:val="auto"/>
              </w:rPr>
            </w:pPr>
            <w:r>
              <w:rPr>
                <w:rFonts w:ascii="Arial" w:cs="Arial" w:eastAsia="Arial" w:hAnsi="Arial"/>
                <w:sz w:val="12"/>
                <w:szCs w:val="12"/>
                <w:color w:val="auto"/>
              </w:rPr>
              <w:t>L+650</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4,955,919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4,908,646</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4,906,360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20"/>
                <w:szCs w:val="20"/>
                <w:color w:val="auto"/>
              </w:rPr>
            </w:pPr>
            <w:r>
              <w:rPr>
                <w:rFonts w:ascii="Arial" w:cs="Arial" w:eastAsia="Arial" w:hAnsi="Arial"/>
                <w:sz w:val="12"/>
                <w:szCs w:val="12"/>
                <w:color w:val="auto"/>
              </w:rPr>
              <w:t>By Light Professional IT Services, LLC</w:t>
            </w:r>
          </w:p>
        </w:tc>
        <w:tc>
          <w:tcPr>
            <w:tcW w:w="1040" w:type="dxa"/>
            <w:vAlign w:val="bottom"/>
          </w:tcPr>
          <w:p>
            <w:pPr>
              <w:ind w:left="360"/>
              <w:spacing w:after="0"/>
              <w:rPr>
                <w:sz w:val="20"/>
                <w:szCs w:val="20"/>
                <w:color w:val="auto"/>
              </w:rPr>
            </w:pPr>
            <w:r>
              <w:rPr>
                <w:rFonts w:ascii="Arial" w:cs="Arial" w:eastAsia="Arial" w:hAnsi="Arial"/>
                <w:sz w:val="12"/>
                <w:szCs w:val="12"/>
                <w:color w:val="auto"/>
              </w:rPr>
              <w:t>05/16/2022</w:t>
            </w:r>
          </w:p>
        </w:tc>
        <w:tc>
          <w:tcPr>
            <w:tcW w:w="2760" w:type="dxa"/>
            <w:vAlign w:val="bottom"/>
            <w:gridSpan w:val="2"/>
          </w:tcPr>
          <w:p>
            <w:pPr>
              <w:spacing w:after="0"/>
              <w:rPr>
                <w:sz w:val="20"/>
                <w:szCs w:val="20"/>
                <w:color w:val="auto"/>
              </w:rPr>
            </w:pPr>
            <w:r>
              <w:rPr>
                <w:rFonts w:ascii="Arial" w:cs="Arial" w:eastAsia="Arial" w:hAnsi="Arial"/>
                <w:sz w:val="12"/>
                <w:szCs w:val="12"/>
                <w:color w:val="auto"/>
              </w:rPr>
              <w:t>High Tech Industries</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8.57%</w:t>
            </w:r>
          </w:p>
        </w:tc>
        <w:tc>
          <w:tcPr>
            <w:tcW w:w="1000" w:type="dxa"/>
            <w:vAlign w:val="bottom"/>
            <w:gridSpan w:val="2"/>
          </w:tcPr>
          <w:p>
            <w:pPr>
              <w:ind w:left="460"/>
              <w:spacing w:after="0"/>
              <w:rPr>
                <w:sz w:val="20"/>
                <w:szCs w:val="20"/>
                <w:color w:val="auto"/>
              </w:rPr>
            </w:pPr>
            <w:r>
              <w:rPr>
                <w:rFonts w:ascii="Arial" w:cs="Arial" w:eastAsia="Arial" w:hAnsi="Arial"/>
                <w:sz w:val="12"/>
                <w:szCs w:val="12"/>
                <w:color w:val="auto"/>
              </w:rPr>
              <w:t>L+725</w:t>
            </w: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w w:val="97"/>
              </w:rPr>
              <w:t>5,961,702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5,819,267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5,961,702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Cardenas Markets LLC</w:t>
            </w:r>
          </w:p>
        </w:tc>
        <w:tc>
          <w:tcPr>
            <w:tcW w:w="1040" w:type="dxa"/>
            <w:vAlign w:val="bottom"/>
            <w:shd w:val="clear" w:color="auto" w:fill="CCECFF"/>
          </w:tcPr>
          <w:p>
            <w:pPr>
              <w:ind w:left="380"/>
              <w:spacing w:after="0"/>
              <w:rPr>
                <w:sz w:val="20"/>
                <w:szCs w:val="20"/>
                <w:color w:val="auto"/>
              </w:rPr>
            </w:pPr>
            <w:r>
              <w:rPr>
                <w:rFonts w:ascii="Arial" w:cs="Arial" w:eastAsia="Arial" w:hAnsi="Arial"/>
                <w:sz w:val="12"/>
                <w:szCs w:val="12"/>
                <w:color w:val="auto"/>
              </w:rPr>
              <w:t>11/29/2023</w:t>
            </w:r>
          </w:p>
        </w:tc>
        <w:tc>
          <w:tcPr>
            <w:tcW w:w="276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Beverage, Food and Tobacco</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7.08%</w:t>
            </w:r>
          </w:p>
        </w:tc>
        <w:tc>
          <w:tcPr>
            <w:tcW w:w="1000" w:type="dxa"/>
            <w:vAlign w:val="bottom"/>
            <w:gridSpan w:val="2"/>
            <w:shd w:val="clear" w:color="auto" w:fill="CCECFF"/>
          </w:tcPr>
          <w:p>
            <w:pPr>
              <w:ind w:left="460"/>
              <w:spacing w:after="0"/>
              <w:rPr>
                <w:sz w:val="20"/>
                <w:szCs w:val="20"/>
                <w:color w:val="auto"/>
              </w:rPr>
            </w:pPr>
            <w:r>
              <w:rPr>
                <w:rFonts w:ascii="Arial" w:cs="Arial" w:eastAsia="Arial" w:hAnsi="Arial"/>
                <w:sz w:val="12"/>
                <w:szCs w:val="12"/>
                <w:color w:val="auto"/>
              </w:rPr>
              <w:t>L+575</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7,500,000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7,453,125</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7,425,000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Country Fresh Holdings, LLC</w:t>
            </w:r>
          </w:p>
        </w:tc>
        <w:tc>
          <w:tcPr>
            <w:tcW w:w="1040" w:type="dxa"/>
            <w:vAlign w:val="bottom"/>
          </w:tcPr>
          <w:p>
            <w:pPr>
              <w:ind w:left="360"/>
              <w:spacing w:after="0"/>
              <w:rPr>
                <w:sz w:val="20"/>
                <w:szCs w:val="20"/>
                <w:color w:val="auto"/>
              </w:rPr>
            </w:pPr>
            <w:r>
              <w:rPr>
                <w:rFonts w:ascii="Arial" w:cs="Arial" w:eastAsia="Arial" w:hAnsi="Arial"/>
                <w:sz w:val="12"/>
                <w:szCs w:val="12"/>
                <w:color w:val="auto"/>
              </w:rPr>
              <w:t>03/31/2023</w:t>
            </w:r>
          </w:p>
        </w:tc>
        <w:tc>
          <w:tcPr>
            <w:tcW w:w="2760" w:type="dxa"/>
            <w:vAlign w:val="bottom"/>
            <w:gridSpan w:val="2"/>
          </w:tcPr>
          <w:p>
            <w:pPr>
              <w:spacing w:after="0"/>
              <w:rPr>
                <w:sz w:val="20"/>
                <w:szCs w:val="20"/>
                <w:color w:val="auto"/>
              </w:rPr>
            </w:pPr>
            <w:r>
              <w:rPr>
                <w:rFonts w:ascii="Arial" w:cs="Arial" w:eastAsia="Arial" w:hAnsi="Arial"/>
                <w:sz w:val="12"/>
                <w:szCs w:val="12"/>
                <w:color w:val="auto"/>
              </w:rPr>
              <w:t>Beverage, Food and Tobacco</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6.24%</w:t>
            </w:r>
          </w:p>
        </w:tc>
        <w:tc>
          <w:tcPr>
            <w:tcW w:w="1000" w:type="dxa"/>
            <w:vAlign w:val="bottom"/>
            <w:gridSpan w:val="2"/>
          </w:tcPr>
          <w:p>
            <w:pPr>
              <w:ind w:left="460"/>
              <w:spacing w:after="0"/>
              <w:rPr>
                <w:sz w:val="20"/>
                <w:szCs w:val="20"/>
                <w:color w:val="auto"/>
              </w:rPr>
            </w:pPr>
            <w:r>
              <w:rPr>
                <w:rFonts w:ascii="Arial" w:cs="Arial" w:eastAsia="Arial" w:hAnsi="Arial"/>
                <w:sz w:val="12"/>
                <w:szCs w:val="12"/>
                <w:color w:val="auto"/>
              </w:rPr>
              <w:t>L+500</w:t>
            </w: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w w:val="97"/>
              </w:rPr>
              <w:t>4,875,132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4,875,132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4,807,559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DigiCert Holdings, Inc.</w:t>
            </w:r>
          </w:p>
        </w:tc>
        <w:tc>
          <w:tcPr>
            <w:tcW w:w="1040" w:type="dxa"/>
            <w:vAlign w:val="bottom"/>
            <w:shd w:val="clear" w:color="auto" w:fill="CCECFF"/>
          </w:tcPr>
          <w:p>
            <w:pPr>
              <w:ind w:left="360"/>
              <w:spacing w:after="0"/>
              <w:rPr>
                <w:sz w:val="20"/>
                <w:szCs w:val="20"/>
                <w:color w:val="auto"/>
              </w:rPr>
            </w:pPr>
            <w:r>
              <w:rPr>
                <w:rFonts w:ascii="Arial" w:cs="Arial" w:eastAsia="Arial" w:hAnsi="Arial"/>
                <w:sz w:val="12"/>
                <w:szCs w:val="12"/>
                <w:color w:val="auto"/>
              </w:rPr>
              <w:t>10/31/2024</w:t>
            </w:r>
          </w:p>
        </w:tc>
        <w:tc>
          <w:tcPr>
            <w:tcW w:w="276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High Tech Industries</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5.75%</w:t>
            </w:r>
          </w:p>
        </w:tc>
        <w:tc>
          <w:tcPr>
            <w:tcW w:w="1000" w:type="dxa"/>
            <w:vAlign w:val="bottom"/>
            <w:gridSpan w:val="2"/>
            <w:shd w:val="clear" w:color="auto" w:fill="CCECFF"/>
          </w:tcPr>
          <w:p>
            <w:pPr>
              <w:ind w:left="460"/>
              <w:spacing w:after="0"/>
              <w:rPr>
                <w:sz w:val="20"/>
                <w:szCs w:val="20"/>
                <w:color w:val="auto"/>
              </w:rPr>
            </w:pPr>
            <w:r>
              <w:rPr>
                <w:rFonts w:ascii="Arial" w:cs="Arial" w:eastAsia="Arial" w:hAnsi="Arial"/>
                <w:sz w:val="12"/>
                <w:szCs w:val="12"/>
                <w:color w:val="auto"/>
              </w:rPr>
              <w:t>L+475</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8,000,000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7,960,000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8,080,000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DISA Global Solutions, Inc.</w:t>
            </w:r>
          </w:p>
        </w:tc>
        <w:tc>
          <w:tcPr>
            <w:tcW w:w="1040" w:type="dxa"/>
            <w:vAlign w:val="bottom"/>
          </w:tcPr>
          <w:p>
            <w:pPr>
              <w:ind w:left="360"/>
              <w:spacing w:after="0"/>
              <w:rPr>
                <w:sz w:val="20"/>
                <w:szCs w:val="20"/>
                <w:color w:val="auto"/>
              </w:rPr>
            </w:pPr>
            <w:r>
              <w:rPr>
                <w:rFonts w:ascii="Arial" w:cs="Arial" w:eastAsia="Arial" w:hAnsi="Arial"/>
                <w:sz w:val="12"/>
                <w:szCs w:val="12"/>
                <w:color w:val="auto"/>
              </w:rPr>
              <w:t>12/09/2020</w:t>
            </w:r>
          </w:p>
        </w:tc>
        <w:tc>
          <w:tcPr>
            <w:tcW w:w="2760" w:type="dxa"/>
            <w:vAlign w:val="bottom"/>
            <w:gridSpan w:val="2"/>
          </w:tcPr>
          <w:p>
            <w:pPr>
              <w:spacing w:after="0"/>
              <w:rPr>
                <w:sz w:val="20"/>
                <w:szCs w:val="20"/>
                <w:color w:val="auto"/>
              </w:rPr>
            </w:pPr>
            <w:r>
              <w:rPr>
                <w:rFonts w:ascii="Arial" w:cs="Arial" w:eastAsia="Arial" w:hAnsi="Arial"/>
                <w:sz w:val="12"/>
                <w:szCs w:val="12"/>
                <w:color w:val="auto"/>
              </w:rPr>
              <w:t>Business Services</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5.55%</w:t>
            </w:r>
          </w:p>
        </w:tc>
        <w:tc>
          <w:tcPr>
            <w:tcW w:w="1000" w:type="dxa"/>
            <w:vAlign w:val="bottom"/>
            <w:gridSpan w:val="2"/>
          </w:tcPr>
          <w:p>
            <w:pPr>
              <w:ind w:left="460"/>
              <w:spacing w:after="0"/>
              <w:rPr>
                <w:sz w:val="20"/>
                <w:szCs w:val="20"/>
                <w:color w:val="auto"/>
              </w:rPr>
            </w:pPr>
            <w:r>
              <w:rPr>
                <w:rFonts w:ascii="Arial" w:cs="Arial" w:eastAsia="Arial" w:hAnsi="Arial"/>
                <w:sz w:val="12"/>
                <w:szCs w:val="12"/>
                <w:color w:val="auto"/>
              </w:rPr>
              <w:t>L+425</w:t>
            </w: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w w:val="97"/>
              </w:rPr>
              <w:t>4,744,586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4,732,725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4,720,863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Driven Performance Brands, Inc.</w:t>
            </w:r>
          </w:p>
        </w:tc>
        <w:tc>
          <w:tcPr>
            <w:tcW w:w="1040" w:type="dxa"/>
            <w:vAlign w:val="bottom"/>
            <w:shd w:val="clear" w:color="auto" w:fill="CCECFF"/>
          </w:tcPr>
          <w:p>
            <w:pPr>
              <w:ind w:left="360"/>
              <w:spacing w:after="0"/>
              <w:rPr>
                <w:sz w:val="20"/>
                <w:szCs w:val="20"/>
                <w:color w:val="auto"/>
              </w:rPr>
            </w:pPr>
            <w:r>
              <w:rPr>
                <w:rFonts w:ascii="Arial" w:cs="Arial" w:eastAsia="Arial" w:hAnsi="Arial"/>
                <w:sz w:val="12"/>
                <w:szCs w:val="12"/>
                <w:color w:val="auto"/>
              </w:rPr>
              <w:t>09/30/2022</w:t>
            </w:r>
          </w:p>
        </w:tc>
        <w:tc>
          <w:tcPr>
            <w:tcW w:w="276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Consumer Goods: Durable</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6.06%</w:t>
            </w:r>
          </w:p>
        </w:tc>
        <w:tc>
          <w:tcPr>
            <w:tcW w:w="1000" w:type="dxa"/>
            <w:vAlign w:val="bottom"/>
            <w:gridSpan w:val="2"/>
            <w:shd w:val="clear" w:color="auto" w:fill="CCECFF"/>
          </w:tcPr>
          <w:p>
            <w:pPr>
              <w:ind w:left="460"/>
              <w:spacing w:after="0"/>
              <w:rPr>
                <w:sz w:val="20"/>
                <w:szCs w:val="20"/>
                <w:color w:val="auto"/>
              </w:rPr>
            </w:pPr>
            <w:r>
              <w:rPr>
                <w:rFonts w:ascii="Arial" w:cs="Arial" w:eastAsia="Arial" w:hAnsi="Arial"/>
                <w:sz w:val="12"/>
                <w:szCs w:val="12"/>
                <w:color w:val="auto"/>
              </w:rPr>
              <w:t>L+475</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5,000,000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4,951,225</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5,000,000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20"/>
                <w:szCs w:val="20"/>
                <w:color w:val="auto"/>
              </w:rPr>
            </w:pPr>
            <w:r>
              <w:rPr>
                <w:rFonts w:ascii="Arial" w:cs="Arial" w:eastAsia="Arial" w:hAnsi="Arial"/>
                <w:sz w:val="12"/>
                <w:szCs w:val="12"/>
                <w:color w:val="auto"/>
              </w:rPr>
              <w:t xml:space="preserve">IGM RFE1 B.V. </w:t>
            </w:r>
            <w:r>
              <w:rPr>
                <w:rFonts w:ascii="Arial" w:cs="Arial" w:eastAsia="Arial" w:hAnsi="Arial"/>
                <w:sz w:val="9"/>
                <w:szCs w:val="9"/>
                <w:color w:val="auto"/>
              </w:rPr>
              <w:t>(3), (4)</w:t>
            </w:r>
          </w:p>
        </w:tc>
        <w:tc>
          <w:tcPr>
            <w:tcW w:w="1040" w:type="dxa"/>
            <w:vAlign w:val="bottom"/>
          </w:tcPr>
          <w:p>
            <w:pPr>
              <w:ind w:left="360"/>
              <w:spacing w:after="0"/>
              <w:rPr>
                <w:sz w:val="20"/>
                <w:szCs w:val="20"/>
                <w:color w:val="auto"/>
              </w:rPr>
            </w:pPr>
            <w:r>
              <w:rPr>
                <w:rFonts w:ascii="Arial" w:cs="Arial" w:eastAsia="Arial" w:hAnsi="Arial"/>
                <w:sz w:val="12"/>
                <w:szCs w:val="12"/>
                <w:color w:val="auto"/>
              </w:rPr>
              <w:t>10/12/2021</w:t>
            </w:r>
          </w:p>
        </w:tc>
        <w:tc>
          <w:tcPr>
            <w:tcW w:w="2760" w:type="dxa"/>
            <w:vAlign w:val="bottom"/>
            <w:gridSpan w:val="2"/>
          </w:tcPr>
          <w:p>
            <w:pPr>
              <w:spacing w:after="0"/>
              <w:rPr>
                <w:sz w:val="20"/>
                <w:szCs w:val="20"/>
                <w:color w:val="auto"/>
              </w:rPr>
            </w:pPr>
            <w:r>
              <w:rPr>
                <w:rFonts w:ascii="Arial" w:cs="Arial" w:eastAsia="Arial" w:hAnsi="Arial"/>
                <w:sz w:val="12"/>
                <w:szCs w:val="12"/>
                <w:color w:val="auto"/>
              </w:rPr>
              <w:t>Chemicals, Plastics and Rubber</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8.00%</w:t>
            </w:r>
          </w:p>
        </w:tc>
        <w:tc>
          <w:tcPr>
            <w:tcW w:w="1000" w:type="dxa"/>
            <w:vAlign w:val="bottom"/>
            <w:gridSpan w:val="2"/>
          </w:tcPr>
          <w:p>
            <w:pPr>
              <w:ind w:left="460"/>
              <w:spacing w:after="0"/>
              <w:rPr>
                <w:sz w:val="20"/>
                <w:szCs w:val="20"/>
                <w:color w:val="auto"/>
              </w:rPr>
            </w:pPr>
            <w:r>
              <w:rPr>
                <w:rFonts w:ascii="Arial" w:cs="Arial" w:eastAsia="Arial" w:hAnsi="Arial"/>
                <w:sz w:val="12"/>
                <w:szCs w:val="12"/>
                <w:color w:val="auto"/>
              </w:rPr>
              <w:t>E+800</w:t>
            </w:r>
          </w:p>
        </w:tc>
        <w:tc>
          <w:tcPr>
            <w:tcW w:w="120" w:type="dxa"/>
            <w:vAlign w:val="bottom"/>
          </w:tcPr>
          <w:p>
            <w:pPr>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w w:val="97"/>
              </w:rPr>
              <w:t>4,937,107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5,742,092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5,836,653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Impact Sales, LLC</w:t>
            </w:r>
          </w:p>
        </w:tc>
        <w:tc>
          <w:tcPr>
            <w:tcW w:w="1040" w:type="dxa"/>
            <w:vAlign w:val="bottom"/>
            <w:shd w:val="clear" w:color="auto" w:fill="CCECFF"/>
          </w:tcPr>
          <w:p>
            <w:pPr>
              <w:ind w:left="360"/>
              <w:spacing w:after="0"/>
              <w:rPr>
                <w:sz w:val="20"/>
                <w:szCs w:val="20"/>
                <w:color w:val="auto"/>
              </w:rPr>
            </w:pPr>
            <w:r>
              <w:rPr>
                <w:rFonts w:ascii="Arial" w:cs="Arial" w:eastAsia="Arial" w:hAnsi="Arial"/>
                <w:sz w:val="12"/>
                <w:szCs w:val="12"/>
                <w:color w:val="auto"/>
              </w:rPr>
              <w:t>12/30/2021</w:t>
            </w:r>
          </w:p>
        </w:tc>
        <w:tc>
          <w:tcPr>
            <w:tcW w:w="276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Wholesale</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8.30%</w:t>
            </w:r>
          </w:p>
        </w:tc>
        <w:tc>
          <w:tcPr>
            <w:tcW w:w="1000" w:type="dxa"/>
            <w:vAlign w:val="bottom"/>
            <w:gridSpan w:val="2"/>
            <w:shd w:val="clear" w:color="auto" w:fill="CCECFF"/>
          </w:tcPr>
          <w:p>
            <w:pPr>
              <w:ind w:left="460"/>
              <w:spacing w:after="0"/>
              <w:rPr>
                <w:sz w:val="20"/>
                <w:szCs w:val="20"/>
                <w:color w:val="auto"/>
              </w:rPr>
            </w:pPr>
            <w:r>
              <w:rPr>
                <w:rFonts w:ascii="Arial" w:cs="Arial" w:eastAsia="Arial" w:hAnsi="Arial"/>
                <w:sz w:val="12"/>
                <w:szCs w:val="12"/>
                <w:color w:val="auto"/>
              </w:rPr>
              <w:t>L+700</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4,984,962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4,970,404</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4,984,963</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LSF9 Atlantis Holdings, LLC</w:t>
            </w:r>
          </w:p>
        </w:tc>
        <w:tc>
          <w:tcPr>
            <w:tcW w:w="1040" w:type="dxa"/>
            <w:vAlign w:val="bottom"/>
          </w:tcPr>
          <w:p>
            <w:pPr>
              <w:ind w:left="360"/>
              <w:spacing w:after="0"/>
              <w:rPr>
                <w:sz w:val="20"/>
                <w:szCs w:val="20"/>
                <w:color w:val="auto"/>
              </w:rPr>
            </w:pPr>
            <w:r>
              <w:rPr>
                <w:rFonts w:ascii="Arial" w:cs="Arial" w:eastAsia="Arial" w:hAnsi="Arial"/>
                <w:sz w:val="12"/>
                <w:szCs w:val="12"/>
                <w:color w:val="auto"/>
              </w:rPr>
              <w:t>05/01/2023</w:t>
            </w:r>
          </w:p>
        </w:tc>
        <w:tc>
          <w:tcPr>
            <w:tcW w:w="2760" w:type="dxa"/>
            <w:vAlign w:val="bottom"/>
            <w:gridSpan w:val="2"/>
          </w:tcPr>
          <w:p>
            <w:pPr>
              <w:spacing w:after="0"/>
              <w:rPr>
                <w:sz w:val="20"/>
                <w:szCs w:val="20"/>
                <w:color w:val="auto"/>
              </w:rPr>
            </w:pPr>
            <w:r>
              <w:rPr>
                <w:rFonts w:ascii="Arial" w:cs="Arial" w:eastAsia="Arial" w:hAnsi="Arial"/>
                <w:sz w:val="12"/>
                <w:szCs w:val="12"/>
                <w:color w:val="auto"/>
              </w:rPr>
              <w:t>Retail</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7.24%</w:t>
            </w:r>
          </w:p>
        </w:tc>
        <w:tc>
          <w:tcPr>
            <w:tcW w:w="1000" w:type="dxa"/>
            <w:vAlign w:val="bottom"/>
            <w:gridSpan w:val="2"/>
          </w:tcPr>
          <w:p>
            <w:pPr>
              <w:ind w:left="460"/>
              <w:spacing w:after="0"/>
              <w:rPr>
                <w:sz w:val="20"/>
                <w:szCs w:val="20"/>
                <w:color w:val="auto"/>
              </w:rPr>
            </w:pPr>
            <w:r>
              <w:rPr>
                <w:rFonts w:ascii="Arial" w:cs="Arial" w:eastAsia="Arial" w:hAnsi="Arial"/>
                <w:sz w:val="12"/>
                <w:szCs w:val="12"/>
                <w:color w:val="auto"/>
              </w:rPr>
              <w:t>L+600</w:t>
            </w: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w w:val="97"/>
              </w:rPr>
              <w:t>7,453,125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7,521,186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7,468,628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Mission Critical Electronics, Inc.</w:t>
            </w:r>
          </w:p>
        </w:tc>
        <w:tc>
          <w:tcPr>
            <w:tcW w:w="1040" w:type="dxa"/>
            <w:vAlign w:val="bottom"/>
            <w:shd w:val="clear" w:color="auto" w:fill="CCECFF"/>
          </w:tcPr>
          <w:p>
            <w:pPr>
              <w:ind w:left="360"/>
              <w:spacing w:after="0"/>
              <w:rPr>
                <w:sz w:val="20"/>
                <w:szCs w:val="20"/>
                <w:color w:val="auto"/>
              </w:rPr>
            </w:pPr>
            <w:r>
              <w:rPr>
                <w:rFonts w:ascii="Arial" w:cs="Arial" w:eastAsia="Arial" w:hAnsi="Arial"/>
                <w:sz w:val="12"/>
                <w:szCs w:val="12"/>
                <w:color w:val="auto"/>
              </w:rPr>
              <w:t>09/28/2022</w:t>
            </w:r>
          </w:p>
        </w:tc>
        <w:tc>
          <w:tcPr>
            <w:tcW w:w="276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Capital Equipment</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6.33%</w:t>
            </w:r>
          </w:p>
        </w:tc>
        <w:tc>
          <w:tcPr>
            <w:tcW w:w="1000" w:type="dxa"/>
            <w:vAlign w:val="bottom"/>
            <w:gridSpan w:val="2"/>
            <w:shd w:val="clear" w:color="auto" w:fill="CCECFF"/>
          </w:tcPr>
          <w:p>
            <w:pPr>
              <w:ind w:left="460"/>
              <w:spacing w:after="0"/>
              <w:rPr>
                <w:sz w:val="20"/>
                <w:szCs w:val="20"/>
                <w:color w:val="auto"/>
              </w:rPr>
            </w:pPr>
            <w:r>
              <w:rPr>
                <w:rFonts w:ascii="Arial" w:cs="Arial" w:eastAsia="Arial" w:hAnsi="Arial"/>
                <w:sz w:val="12"/>
                <w:szCs w:val="12"/>
                <w:color w:val="auto"/>
              </w:rPr>
              <w:t>L+500</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4,075,442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4,050,930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4,058,871</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Morphe, LLC</w:t>
            </w:r>
          </w:p>
        </w:tc>
        <w:tc>
          <w:tcPr>
            <w:tcW w:w="1040" w:type="dxa"/>
            <w:vAlign w:val="bottom"/>
          </w:tcPr>
          <w:p>
            <w:pPr>
              <w:ind w:left="360"/>
              <w:spacing w:after="0"/>
              <w:rPr>
                <w:sz w:val="20"/>
                <w:szCs w:val="20"/>
                <w:color w:val="auto"/>
              </w:rPr>
            </w:pPr>
            <w:r>
              <w:rPr>
                <w:rFonts w:ascii="Arial" w:cs="Arial" w:eastAsia="Arial" w:hAnsi="Arial"/>
                <w:sz w:val="12"/>
                <w:szCs w:val="12"/>
                <w:color w:val="auto"/>
              </w:rPr>
              <w:t>02/10/2023</w:t>
            </w:r>
          </w:p>
        </w:tc>
        <w:tc>
          <w:tcPr>
            <w:tcW w:w="2760" w:type="dxa"/>
            <w:vAlign w:val="bottom"/>
            <w:gridSpan w:val="2"/>
          </w:tcPr>
          <w:p>
            <w:pPr>
              <w:spacing w:after="0"/>
              <w:rPr>
                <w:sz w:val="20"/>
                <w:szCs w:val="20"/>
                <w:color w:val="auto"/>
              </w:rPr>
            </w:pPr>
            <w:r>
              <w:rPr>
                <w:rFonts w:ascii="Arial" w:cs="Arial" w:eastAsia="Arial" w:hAnsi="Arial"/>
                <w:sz w:val="12"/>
                <w:szCs w:val="12"/>
                <w:color w:val="auto"/>
              </w:rPr>
              <w:t>Consumer Goods: Non-Durable</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7.33%</w:t>
            </w:r>
          </w:p>
        </w:tc>
        <w:tc>
          <w:tcPr>
            <w:tcW w:w="1000" w:type="dxa"/>
            <w:vAlign w:val="bottom"/>
            <w:gridSpan w:val="2"/>
          </w:tcPr>
          <w:p>
            <w:pPr>
              <w:ind w:left="460"/>
              <w:spacing w:after="0"/>
              <w:rPr>
                <w:sz w:val="20"/>
                <w:szCs w:val="20"/>
                <w:color w:val="auto"/>
              </w:rPr>
            </w:pPr>
            <w:r>
              <w:rPr>
                <w:rFonts w:ascii="Arial" w:cs="Arial" w:eastAsia="Arial" w:hAnsi="Arial"/>
                <w:sz w:val="12"/>
                <w:szCs w:val="12"/>
                <w:color w:val="auto"/>
              </w:rPr>
              <w:t>L+600</w:t>
            </w: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w w:val="97"/>
              </w:rPr>
              <w:t>4,875,000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4,810,511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4,801,875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One Sixty Over Ninety, LLC</w:t>
            </w:r>
          </w:p>
        </w:tc>
        <w:tc>
          <w:tcPr>
            <w:tcW w:w="1040" w:type="dxa"/>
            <w:vAlign w:val="bottom"/>
            <w:shd w:val="clear" w:color="auto" w:fill="CCECFF"/>
          </w:tcPr>
          <w:p>
            <w:pPr>
              <w:ind w:left="360"/>
              <w:spacing w:after="0"/>
              <w:rPr>
                <w:sz w:val="20"/>
                <w:szCs w:val="20"/>
                <w:color w:val="auto"/>
              </w:rPr>
            </w:pPr>
            <w:r>
              <w:rPr>
                <w:rFonts w:ascii="Arial" w:cs="Arial" w:eastAsia="Arial" w:hAnsi="Arial"/>
                <w:sz w:val="12"/>
                <w:szCs w:val="12"/>
                <w:color w:val="auto"/>
              </w:rPr>
              <w:t>03/03/2022</w:t>
            </w:r>
          </w:p>
        </w:tc>
        <w:tc>
          <w:tcPr>
            <w:tcW w:w="276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Media: Advertising, Printing and Publishing</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10.52%</w:t>
            </w:r>
          </w:p>
        </w:tc>
        <w:tc>
          <w:tcPr>
            <w:tcW w:w="1000" w:type="dxa"/>
            <w:vAlign w:val="bottom"/>
            <w:gridSpan w:val="2"/>
            <w:shd w:val="clear" w:color="auto" w:fill="CCECFF"/>
          </w:tcPr>
          <w:p>
            <w:pPr>
              <w:ind w:left="460"/>
              <w:spacing w:after="0"/>
              <w:rPr>
                <w:sz w:val="20"/>
                <w:szCs w:val="20"/>
                <w:color w:val="auto"/>
              </w:rPr>
            </w:pPr>
            <w:r>
              <w:rPr>
                <w:rFonts w:ascii="Arial" w:cs="Arial" w:eastAsia="Arial" w:hAnsi="Arial"/>
                <w:sz w:val="12"/>
                <w:szCs w:val="12"/>
                <w:color w:val="auto"/>
              </w:rPr>
              <w:t>L+918</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6,000,000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5,885,356</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6,000,000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Snak Club, LLC</w:t>
            </w:r>
          </w:p>
        </w:tc>
        <w:tc>
          <w:tcPr>
            <w:tcW w:w="1040" w:type="dxa"/>
            <w:vAlign w:val="bottom"/>
          </w:tcPr>
          <w:p>
            <w:pPr>
              <w:ind w:left="360"/>
              <w:spacing w:after="0"/>
              <w:rPr>
                <w:sz w:val="20"/>
                <w:szCs w:val="20"/>
                <w:color w:val="auto"/>
              </w:rPr>
            </w:pPr>
            <w:r>
              <w:rPr>
                <w:rFonts w:ascii="Arial" w:cs="Arial" w:eastAsia="Arial" w:hAnsi="Arial"/>
                <w:sz w:val="12"/>
                <w:szCs w:val="12"/>
                <w:color w:val="auto"/>
              </w:rPr>
              <w:t>07/19/2021</w:t>
            </w:r>
          </w:p>
        </w:tc>
        <w:tc>
          <w:tcPr>
            <w:tcW w:w="2760" w:type="dxa"/>
            <w:vAlign w:val="bottom"/>
            <w:gridSpan w:val="2"/>
          </w:tcPr>
          <w:p>
            <w:pPr>
              <w:spacing w:after="0"/>
              <w:rPr>
                <w:sz w:val="20"/>
                <w:szCs w:val="20"/>
                <w:color w:val="auto"/>
              </w:rPr>
            </w:pPr>
            <w:r>
              <w:rPr>
                <w:rFonts w:ascii="Arial" w:cs="Arial" w:eastAsia="Arial" w:hAnsi="Arial"/>
                <w:sz w:val="12"/>
                <w:szCs w:val="12"/>
                <w:color w:val="auto"/>
              </w:rPr>
              <w:t>Beverage, Food and Tobacco</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6.24%</w:t>
            </w:r>
          </w:p>
        </w:tc>
        <w:tc>
          <w:tcPr>
            <w:tcW w:w="1000" w:type="dxa"/>
            <w:vAlign w:val="bottom"/>
            <w:gridSpan w:val="2"/>
          </w:tcPr>
          <w:p>
            <w:pPr>
              <w:ind w:left="460"/>
              <w:spacing w:after="0"/>
              <w:rPr>
                <w:sz w:val="20"/>
                <w:szCs w:val="20"/>
                <w:color w:val="auto"/>
              </w:rPr>
            </w:pPr>
            <w:r>
              <w:rPr>
                <w:rFonts w:ascii="Arial" w:cs="Arial" w:eastAsia="Arial" w:hAnsi="Arial"/>
                <w:sz w:val="12"/>
                <w:szCs w:val="12"/>
                <w:color w:val="auto"/>
              </w:rPr>
              <w:t>L+500</w:t>
            </w: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w w:val="97"/>
              </w:rPr>
              <w:t>4,843,745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4,843,745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4,843,745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The Infosoft Group, LLC</w:t>
            </w:r>
          </w:p>
        </w:tc>
        <w:tc>
          <w:tcPr>
            <w:tcW w:w="1040" w:type="dxa"/>
            <w:vAlign w:val="bottom"/>
            <w:shd w:val="clear" w:color="auto" w:fill="CCECFF"/>
          </w:tcPr>
          <w:p>
            <w:pPr>
              <w:ind w:left="360"/>
              <w:spacing w:after="0"/>
              <w:rPr>
                <w:sz w:val="20"/>
                <w:szCs w:val="20"/>
                <w:color w:val="auto"/>
              </w:rPr>
            </w:pPr>
            <w:r>
              <w:rPr>
                <w:rFonts w:ascii="Arial" w:cs="Arial" w:eastAsia="Arial" w:hAnsi="Arial"/>
                <w:sz w:val="12"/>
                <w:szCs w:val="12"/>
                <w:color w:val="auto"/>
              </w:rPr>
              <w:t>12/02/2021</w:t>
            </w:r>
          </w:p>
        </w:tc>
        <w:tc>
          <w:tcPr>
            <w:tcW w:w="276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Media: Broadcasting and Subscription</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6.58%</w:t>
            </w:r>
          </w:p>
        </w:tc>
        <w:tc>
          <w:tcPr>
            <w:tcW w:w="1000" w:type="dxa"/>
            <w:vAlign w:val="bottom"/>
            <w:gridSpan w:val="2"/>
            <w:shd w:val="clear" w:color="auto" w:fill="CCECFF"/>
          </w:tcPr>
          <w:p>
            <w:pPr>
              <w:ind w:left="460"/>
              <w:spacing w:after="0"/>
              <w:rPr>
                <w:sz w:val="20"/>
                <w:szCs w:val="20"/>
                <w:color w:val="auto"/>
              </w:rPr>
            </w:pPr>
            <w:r>
              <w:rPr>
                <w:rFonts w:ascii="Arial" w:cs="Arial" w:eastAsia="Arial" w:hAnsi="Arial"/>
                <w:sz w:val="12"/>
                <w:szCs w:val="12"/>
                <w:color w:val="auto"/>
              </w:rPr>
              <w:t>L+525</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5,530,997</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5,530,997</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5,530,997</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Borders>
              <w:bottom w:val="single" w:sz="8" w:color="CCECFF"/>
            </w:tcBorders>
          </w:tcPr>
          <w:p>
            <w:pPr>
              <w:spacing w:after="0"/>
              <w:rPr>
                <w:sz w:val="20"/>
                <w:szCs w:val="20"/>
                <w:color w:val="auto"/>
              </w:rPr>
            </w:pPr>
            <w:r>
              <w:rPr>
                <w:rFonts w:ascii="Arial" w:cs="Arial" w:eastAsia="Arial" w:hAnsi="Arial"/>
                <w:sz w:val="12"/>
                <w:szCs w:val="12"/>
                <w:color w:val="auto"/>
              </w:rPr>
              <w:t>VIP Cinema Holdings, Inc.</w:t>
            </w:r>
          </w:p>
        </w:tc>
        <w:tc>
          <w:tcPr>
            <w:tcW w:w="1040" w:type="dxa"/>
            <w:vAlign w:val="bottom"/>
            <w:tcBorders>
              <w:bottom w:val="single" w:sz="8" w:color="CCECFF"/>
            </w:tcBorders>
          </w:tcPr>
          <w:p>
            <w:pPr>
              <w:ind w:left="360"/>
              <w:spacing w:after="0"/>
              <w:rPr>
                <w:sz w:val="20"/>
                <w:szCs w:val="20"/>
                <w:color w:val="auto"/>
              </w:rPr>
            </w:pPr>
            <w:r>
              <w:rPr>
                <w:rFonts w:ascii="Arial" w:cs="Arial" w:eastAsia="Arial" w:hAnsi="Arial"/>
                <w:sz w:val="12"/>
                <w:szCs w:val="12"/>
                <w:color w:val="auto"/>
              </w:rPr>
              <w:t>03/01/2023</w:t>
            </w:r>
          </w:p>
        </w:tc>
        <w:tc>
          <w:tcPr>
            <w:tcW w:w="2760" w:type="dxa"/>
            <w:vAlign w:val="bottom"/>
            <w:tcBorders>
              <w:bottom w:val="single" w:sz="8" w:color="CCECFF"/>
            </w:tcBorders>
            <w:gridSpan w:val="2"/>
          </w:tcPr>
          <w:p>
            <w:pPr>
              <w:spacing w:after="0"/>
              <w:rPr>
                <w:sz w:val="20"/>
                <w:szCs w:val="20"/>
                <w:color w:val="auto"/>
              </w:rPr>
            </w:pPr>
            <w:r>
              <w:rPr>
                <w:rFonts w:ascii="Arial" w:cs="Arial" w:eastAsia="Arial" w:hAnsi="Arial"/>
                <w:sz w:val="12"/>
                <w:szCs w:val="12"/>
                <w:color w:val="auto"/>
              </w:rPr>
              <w:t>Consumer Goods: Durable</w:t>
            </w:r>
          </w:p>
        </w:tc>
        <w:tc>
          <w:tcPr>
            <w:tcW w:w="900" w:type="dxa"/>
            <w:vAlign w:val="bottom"/>
            <w:tcBorders>
              <w:bottom w:val="single" w:sz="8" w:color="CCECFF"/>
            </w:tcBorders>
            <w:gridSpan w:val="2"/>
          </w:tcPr>
          <w:p>
            <w:pPr>
              <w:jc w:val="right"/>
              <w:ind w:right="140"/>
              <w:spacing w:after="0"/>
              <w:rPr>
                <w:sz w:val="20"/>
                <w:szCs w:val="20"/>
                <w:color w:val="auto"/>
              </w:rPr>
            </w:pPr>
            <w:r>
              <w:rPr>
                <w:rFonts w:ascii="Arial" w:cs="Arial" w:eastAsia="Arial" w:hAnsi="Arial"/>
                <w:sz w:val="12"/>
                <w:szCs w:val="12"/>
                <w:color w:val="auto"/>
              </w:rPr>
              <w:t>7.34%</w:t>
            </w:r>
          </w:p>
        </w:tc>
        <w:tc>
          <w:tcPr>
            <w:tcW w:w="1000" w:type="dxa"/>
            <w:vAlign w:val="bottom"/>
            <w:tcBorders>
              <w:bottom w:val="single" w:sz="8" w:color="CCECFF"/>
            </w:tcBorders>
            <w:gridSpan w:val="2"/>
          </w:tcPr>
          <w:p>
            <w:pPr>
              <w:ind w:left="460"/>
              <w:spacing w:after="0"/>
              <w:rPr>
                <w:sz w:val="20"/>
                <w:szCs w:val="20"/>
                <w:color w:val="auto"/>
              </w:rPr>
            </w:pPr>
            <w:r>
              <w:rPr>
                <w:rFonts w:ascii="Arial" w:cs="Arial" w:eastAsia="Arial" w:hAnsi="Arial"/>
                <w:sz w:val="12"/>
                <w:szCs w:val="12"/>
                <w:color w:val="auto"/>
              </w:rPr>
              <w:t>L+600</w:t>
            </w:r>
          </w:p>
        </w:tc>
        <w:tc>
          <w:tcPr>
            <w:tcW w:w="120" w:type="dxa"/>
            <w:vAlign w:val="bottom"/>
            <w:tcBorders>
              <w:bottom w:val="single" w:sz="8" w:color="CCECFF"/>
            </w:tcBorders>
          </w:tcPr>
          <w:p>
            <w:pPr>
              <w:spacing w:after="0"/>
              <w:rPr>
                <w:sz w:val="12"/>
                <w:szCs w:val="12"/>
                <w:color w:val="auto"/>
              </w:rPr>
            </w:pPr>
          </w:p>
        </w:tc>
        <w:tc>
          <w:tcPr>
            <w:tcW w:w="54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w w:val="97"/>
              </w:rPr>
              <w:t>4,875,000</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4,942,263</w:t>
            </w: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4,905,469</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6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First Lien Secured Debt</w:t>
            </w:r>
          </w:p>
        </w:tc>
        <w:tc>
          <w:tcPr>
            <w:tcW w:w="1040" w:type="dxa"/>
            <w:vAlign w:val="bottom"/>
            <w:shd w:val="clear" w:color="auto" w:fill="CCECFF"/>
          </w:tcPr>
          <w:p>
            <w:pPr>
              <w:spacing w:after="0"/>
              <w:rPr>
                <w:sz w:val="12"/>
                <w:szCs w:val="12"/>
                <w:color w:val="auto"/>
              </w:rPr>
            </w:pPr>
          </w:p>
        </w:tc>
        <w:tc>
          <w:tcPr>
            <w:tcW w:w="2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99,544,903</w:t>
            </w: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99,994,314</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00" w:type="dxa"/>
            <w:vAlign w:val="bottom"/>
            <w:tcBorders>
              <w:bottom w:val="single" w:sz="8" w:color="CCECFF"/>
            </w:tcBorders>
            <w:gridSpan w:val="2"/>
          </w:tcPr>
          <w:p>
            <w:pPr>
              <w:spacing w:after="0"/>
              <w:rPr>
                <w:sz w:val="20"/>
                <w:szCs w:val="20"/>
                <w:color w:val="auto"/>
              </w:rPr>
            </w:pPr>
            <w:r>
              <w:rPr>
                <w:rFonts w:ascii="Arial" w:cs="Arial" w:eastAsia="Arial" w:hAnsi="Arial"/>
                <w:sz w:val="12"/>
                <w:szCs w:val="12"/>
                <w:b w:val="1"/>
                <w:bCs w:val="1"/>
                <w:color w:val="auto"/>
                <w:w w:val="94"/>
              </w:rPr>
              <w:t>Total Investments in Non-Controlled, Non-Affiliated Portfolio Companies</w:t>
            </w:r>
          </w:p>
        </w:tc>
        <w:tc>
          <w:tcPr>
            <w:tcW w:w="264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0" w:type="dxa"/>
            <w:vAlign w:val="bottom"/>
            <w:tcBorders>
              <w:bottom w:val="single" w:sz="8" w:color="CCECFF"/>
            </w:tcBorders>
          </w:tcPr>
          <w:p>
            <w:pPr>
              <w:spacing w:after="0"/>
              <w:rPr>
                <w:sz w:val="12"/>
                <w:szCs w:val="12"/>
                <w:color w:val="auto"/>
              </w:rPr>
            </w:pPr>
          </w:p>
        </w:tc>
        <w:tc>
          <w:tcPr>
            <w:tcW w:w="20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54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99,544,903</w:t>
            </w: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99,994,314</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6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Cash and Cash Equivalents—15.5%</w:t>
            </w:r>
          </w:p>
        </w:tc>
        <w:tc>
          <w:tcPr>
            <w:tcW w:w="1040" w:type="dxa"/>
            <w:vAlign w:val="bottom"/>
            <w:shd w:val="clear" w:color="auto" w:fill="CCECFF"/>
          </w:tcPr>
          <w:p>
            <w:pPr>
              <w:spacing w:after="0"/>
              <w:rPr>
                <w:sz w:val="12"/>
                <w:szCs w:val="12"/>
                <w:color w:val="auto"/>
              </w:rPr>
            </w:pPr>
          </w:p>
        </w:tc>
        <w:tc>
          <w:tcPr>
            <w:tcW w:w="2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BlackRock Federal FD Institutional 30</w:t>
            </w:r>
          </w:p>
        </w:tc>
        <w:tc>
          <w:tcPr>
            <w:tcW w:w="10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2,226,430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2,226,430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US Bank Cash</w:t>
            </w:r>
          </w:p>
        </w:tc>
        <w:tc>
          <w:tcPr>
            <w:tcW w:w="1040" w:type="dxa"/>
            <w:vAlign w:val="bottom"/>
            <w:shd w:val="clear" w:color="auto" w:fill="CCECFF"/>
          </w:tcPr>
          <w:p>
            <w:pPr>
              <w:spacing w:after="0"/>
              <w:rPr>
                <w:sz w:val="12"/>
                <w:szCs w:val="12"/>
                <w:color w:val="auto"/>
              </w:rPr>
            </w:pPr>
          </w:p>
        </w:tc>
        <w:tc>
          <w:tcPr>
            <w:tcW w:w="2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144,739</w:t>
            </w: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144,833</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6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Cash and Cash Equivalents</w:t>
            </w:r>
          </w:p>
        </w:tc>
        <w:tc>
          <w:tcPr>
            <w:tcW w:w="1040" w:type="dxa"/>
            <w:vAlign w:val="bottom"/>
            <w:tcBorders>
              <w:bottom w:val="single" w:sz="8" w:color="CCECFF"/>
            </w:tcBorders>
          </w:tcPr>
          <w:p>
            <w:pPr>
              <w:spacing w:after="0"/>
              <w:rPr>
                <w:sz w:val="12"/>
                <w:szCs w:val="12"/>
                <w:color w:val="auto"/>
              </w:rPr>
            </w:pPr>
          </w:p>
        </w:tc>
        <w:tc>
          <w:tcPr>
            <w:tcW w:w="264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0" w:type="dxa"/>
            <w:vAlign w:val="bottom"/>
            <w:tcBorders>
              <w:bottom w:val="single" w:sz="8" w:color="CCECFF"/>
            </w:tcBorders>
          </w:tcPr>
          <w:p>
            <w:pPr>
              <w:spacing w:after="0"/>
              <w:rPr>
                <w:sz w:val="12"/>
                <w:szCs w:val="12"/>
                <w:color w:val="auto"/>
              </w:rPr>
            </w:pPr>
          </w:p>
        </w:tc>
        <w:tc>
          <w:tcPr>
            <w:tcW w:w="20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54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2,371,169</w:t>
            </w: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2,371,263</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60" w:type="dxa"/>
            <w:vAlign w:val="bottom"/>
            <w:tcBorders>
              <w:bottom w:val="single" w:sz="8" w:color="CCECFF"/>
            </w:tcBorders>
            <w:shd w:val="clear" w:color="auto" w:fill="CCECFF"/>
          </w:tcPr>
          <w:p>
            <w:pPr>
              <w:spacing w:after="0"/>
              <w:rPr>
                <w:sz w:val="20"/>
                <w:szCs w:val="20"/>
                <w:color w:val="auto"/>
              </w:rPr>
            </w:pPr>
            <w:r>
              <w:rPr>
                <w:rFonts w:ascii="Arial" w:cs="Arial" w:eastAsia="Arial" w:hAnsi="Arial"/>
                <w:sz w:val="12"/>
                <w:szCs w:val="12"/>
                <w:b w:val="1"/>
                <w:bCs w:val="1"/>
                <w:color w:val="auto"/>
              </w:rPr>
              <w:t>Total Investments and Cash Equivalents—667.2%</w:t>
            </w:r>
          </w:p>
        </w:tc>
        <w:tc>
          <w:tcPr>
            <w:tcW w:w="1040" w:type="dxa"/>
            <w:vAlign w:val="bottom"/>
            <w:tcBorders>
              <w:bottom w:val="single" w:sz="8" w:color="CCECFF"/>
            </w:tcBorders>
            <w:shd w:val="clear" w:color="auto" w:fill="CCECFF"/>
          </w:tcPr>
          <w:p>
            <w:pPr>
              <w:spacing w:after="0"/>
              <w:rPr>
                <w:sz w:val="12"/>
                <w:szCs w:val="12"/>
                <w:color w:val="auto"/>
              </w:rPr>
            </w:pPr>
          </w:p>
        </w:tc>
        <w:tc>
          <w:tcPr>
            <w:tcW w:w="264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66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CCECFF"/>
            </w:tcBorders>
            <w:shd w:val="clear" w:color="auto" w:fill="CCECFF"/>
          </w:tcPr>
          <w:p>
            <w:pPr>
              <w:spacing w:after="0"/>
              <w:rPr>
                <w:sz w:val="12"/>
                <w:szCs w:val="12"/>
                <w:color w:val="auto"/>
              </w:rPr>
            </w:pPr>
          </w:p>
        </w:tc>
        <w:tc>
          <w:tcPr>
            <w:tcW w:w="800" w:type="dxa"/>
            <w:vAlign w:val="bottom"/>
            <w:tcBorders>
              <w:bottom w:val="single" w:sz="8" w:color="CCECFF"/>
            </w:tcBorders>
            <w:shd w:val="clear" w:color="auto" w:fill="CCECFF"/>
          </w:tcPr>
          <w:p>
            <w:pPr>
              <w:spacing w:after="0"/>
              <w:rPr>
                <w:sz w:val="12"/>
                <w:szCs w:val="12"/>
                <w:color w:val="auto"/>
              </w:rPr>
            </w:pPr>
          </w:p>
        </w:tc>
        <w:tc>
          <w:tcPr>
            <w:tcW w:w="20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54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CCECFF"/>
            </w:tcBorders>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89"/>
              </w:rPr>
              <w:t>101,916,072</w:t>
            </w:r>
          </w:p>
        </w:tc>
        <w:tc>
          <w:tcPr>
            <w:tcW w:w="220" w:type="dxa"/>
            <w:vAlign w:val="bottom"/>
            <w:tcBorders>
              <w:bottom w:val="single" w:sz="8" w:color="CCECFF"/>
            </w:tcBorders>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89"/>
              </w:rPr>
              <w:t>102,365,577</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860" w:type="dxa"/>
            <w:vAlign w:val="bottom"/>
            <w:vMerge w:val="restart"/>
          </w:tcPr>
          <w:p>
            <w:pPr>
              <w:spacing w:after="0"/>
              <w:rPr>
                <w:sz w:val="20"/>
                <w:szCs w:val="20"/>
                <w:color w:val="auto"/>
              </w:rPr>
            </w:pPr>
            <w:r>
              <w:rPr>
                <w:rFonts w:ascii="Arial" w:cs="Arial" w:eastAsia="Arial" w:hAnsi="Arial"/>
                <w:sz w:val="12"/>
                <w:szCs w:val="12"/>
                <w:b w:val="1"/>
                <w:bCs w:val="1"/>
                <w:color w:val="auto"/>
              </w:rPr>
              <w:t>Liabilities in Excess of Other Assets—(567.2)%</w:t>
            </w:r>
          </w:p>
        </w:tc>
        <w:tc>
          <w:tcPr>
            <w:tcW w:w="10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860" w:type="dxa"/>
            <w:vAlign w:val="bottom"/>
            <w:vMerge w:val="continue"/>
          </w:tcPr>
          <w:p>
            <w:pPr>
              <w:spacing w:after="0"/>
              <w:rPr>
                <w:sz w:val="11"/>
                <w:szCs w:val="11"/>
                <w:color w:val="auto"/>
              </w:rPr>
            </w:pPr>
          </w:p>
        </w:tc>
        <w:tc>
          <w:tcPr>
            <w:tcW w:w="104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60"/>
              <w:spacing w:after="0" w:line="129" w:lineRule="exact"/>
              <w:rPr>
                <w:sz w:val="20"/>
                <w:szCs w:val="20"/>
                <w:color w:val="auto"/>
              </w:rPr>
            </w:pPr>
            <w:r>
              <w:rPr>
                <w:rFonts w:ascii="Arial" w:cs="Arial" w:eastAsia="Arial" w:hAnsi="Arial"/>
                <w:sz w:val="12"/>
                <w:szCs w:val="12"/>
                <w:color w:val="auto"/>
                <w:w w:val="96"/>
              </w:rPr>
              <w:t>(87,022,556)</w:t>
            </w:r>
          </w:p>
        </w:tc>
        <w:tc>
          <w:tcPr>
            <w:tcW w:w="0" w:type="dxa"/>
            <w:vAlign w:val="bottom"/>
          </w:tcPr>
          <w:p>
            <w:pPr>
              <w:spacing w:after="0"/>
              <w:rPr>
                <w:sz w:val="1"/>
                <w:szCs w:val="1"/>
                <w:color w:val="auto"/>
              </w:rPr>
            </w:pPr>
          </w:p>
        </w:tc>
      </w:tr>
      <w:tr>
        <w:trPr>
          <w:trHeight w:val="149"/>
        </w:trPr>
        <w:tc>
          <w:tcPr>
            <w:tcW w:w="2860" w:type="dxa"/>
            <w:vAlign w:val="bottom"/>
            <w:tcBorders>
              <w:bottom w:val="single" w:sz="8" w:color="CCECFF"/>
            </w:tcBorders>
            <w:shd w:val="clear" w:color="auto" w:fill="CCECFF"/>
          </w:tcPr>
          <w:p>
            <w:pPr>
              <w:spacing w:after="0"/>
              <w:rPr>
                <w:sz w:val="20"/>
                <w:szCs w:val="20"/>
                <w:color w:val="auto"/>
              </w:rPr>
            </w:pPr>
            <w:r>
              <w:rPr>
                <w:rFonts w:ascii="Arial" w:cs="Arial" w:eastAsia="Arial" w:hAnsi="Arial"/>
                <w:sz w:val="12"/>
                <w:szCs w:val="12"/>
                <w:b w:val="1"/>
                <w:bCs w:val="1"/>
                <w:color w:val="auto"/>
              </w:rPr>
              <w:t>Members' Equity—100.0%</w:t>
            </w:r>
          </w:p>
        </w:tc>
        <w:tc>
          <w:tcPr>
            <w:tcW w:w="1040" w:type="dxa"/>
            <w:vAlign w:val="bottom"/>
            <w:tcBorders>
              <w:bottom w:val="single" w:sz="8" w:color="CCECFF"/>
            </w:tcBorders>
            <w:shd w:val="clear" w:color="auto" w:fill="CCECFF"/>
          </w:tcPr>
          <w:p>
            <w:pPr>
              <w:spacing w:after="0"/>
              <w:rPr>
                <w:sz w:val="12"/>
                <w:szCs w:val="12"/>
                <w:color w:val="auto"/>
              </w:rPr>
            </w:pPr>
          </w:p>
        </w:tc>
        <w:tc>
          <w:tcPr>
            <w:tcW w:w="264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66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CCECFF"/>
            </w:tcBorders>
            <w:shd w:val="clear" w:color="auto" w:fill="CCECFF"/>
          </w:tcPr>
          <w:p>
            <w:pPr>
              <w:spacing w:after="0"/>
              <w:rPr>
                <w:sz w:val="12"/>
                <w:szCs w:val="12"/>
                <w:color w:val="auto"/>
              </w:rPr>
            </w:pPr>
          </w:p>
        </w:tc>
        <w:tc>
          <w:tcPr>
            <w:tcW w:w="800" w:type="dxa"/>
            <w:vAlign w:val="bottom"/>
            <w:tcBorders>
              <w:bottom w:val="single" w:sz="8" w:color="CCECFF"/>
            </w:tcBorders>
            <w:shd w:val="clear" w:color="auto" w:fill="CCECFF"/>
          </w:tcPr>
          <w:p>
            <w:pPr>
              <w:spacing w:after="0"/>
              <w:rPr>
                <w:sz w:val="12"/>
                <w:szCs w:val="12"/>
                <w:color w:val="auto"/>
              </w:rPr>
            </w:pPr>
          </w:p>
        </w:tc>
        <w:tc>
          <w:tcPr>
            <w:tcW w:w="20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54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CCECFF"/>
            </w:tcBorders>
            <w:shd w:val="clear" w:color="auto" w:fill="CCECFF"/>
          </w:tcPr>
          <w:p>
            <w:pPr>
              <w:spacing w:after="0"/>
              <w:rPr>
                <w:sz w:val="12"/>
                <w:szCs w:val="12"/>
                <w:color w:val="auto"/>
              </w:rPr>
            </w:pPr>
          </w:p>
        </w:tc>
        <w:tc>
          <w:tcPr>
            <w:tcW w:w="80" w:type="dxa"/>
            <w:vAlign w:val="bottom"/>
            <w:tcBorders>
              <w:bottom w:val="single" w:sz="8" w:color="CCECFF"/>
            </w:tcBorders>
            <w:shd w:val="clear" w:color="auto" w:fill="CCECFF"/>
          </w:tcPr>
          <w:p>
            <w:pPr>
              <w:spacing w:after="0"/>
              <w:rPr>
                <w:sz w:val="12"/>
                <w:szCs w:val="12"/>
                <w:color w:val="auto"/>
              </w:rPr>
            </w:pPr>
          </w:p>
        </w:tc>
        <w:tc>
          <w:tcPr>
            <w:tcW w:w="640" w:type="dxa"/>
            <w:vAlign w:val="bottom"/>
            <w:tcBorders>
              <w:bottom w:val="single" w:sz="8" w:color="CCECFF"/>
            </w:tcBorders>
            <w:shd w:val="clear" w:color="auto" w:fill="CCECFF"/>
          </w:tcPr>
          <w:p>
            <w:pPr>
              <w:spacing w:after="0"/>
              <w:rPr>
                <w:sz w:val="12"/>
                <w:szCs w:val="12"/>
                <w:color w:val="auto"/>
              </w:rPr>
            </w:pPr>
          </w:p>
        </w:tc>
        <w:tc>
          <w:tcPr>
            <w:tcW w:w="220" w:type="dxa"/>
            <w:vAlign w:val="bottom"/>
            <w:tcBorders>
              <w:bottom w:val="single" w:sz="8" w:color="CCECFF"/>
            </w:tcBorders>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15,343,021</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86880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68805" cy="8890"/>
                    </a:xfrm>
                    <a:prstGeom prst="rect">
                      <a:avLst/>
                    </a:prstGeom>
                    <a:noFill/>
                  </pic:spPr>
                </pic:pic>
              </a:graphicData>
            </a:graphic>
          </wp:anchor>
        </w:drawing>
      </w:r>
    </w:p>
    <w:p>
      <w:pPr>
        <w:spacing w:after="0" w:line="176" w:lineRule="exact"/>
        <w:rPr>
          <w:sz w:val="20"/>
          <w:szCs w:val="20"/>
          <w:color w:val="auto"/>
        </w:rPr>
      </w:pPr>
    </w:p>
    <w:p>
      <w:pPr>
        <w:ind w:left="380" w:right="280" w:hanging="372"/>
        <w:spacing w:after="0" w:line="252" w:lineRule="auto"/>
        <w:tabs>
          <w:tab w:leader="none" w:pos="380" w:val="left"/>
        </w:tabs>
        <w:numPr>
          <w:ilvl w:val="0"/>
          <w:numId w:val="10"/>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LIBOR, EURIBOR or Prime rate. All securities are subject to a LIBOR or Prime rate floor where a spread is provided, unless noted. The spread provided includes PIK interest and other fee rates, if any.</w:t>
      </w:r>
    </w:p>
    <w:p>
      <w:pPr>
        <w:spacing w:after="0" w:line="20" w:lineRule="exact"/>
        <w:rPr>
          <w:rFonts w:ascii="Arial" w:cs="Arial" w:eastAsia="Arial" w:hAnsi="Arial"/>
          <w:sz w:val="12"/>
          <w:szCs w:val="12"/>
          <w:color w:val="auto"/>
        </w:rPr>
      </w:pPr>
    </w:p>
    <w:p>
      <w:pPr>
        <w:ind w:left="380" w:hanging="372"/>
        <w:spacing w:after="0"/>
        <w:tabs>
          <w:tab w:leader="none" w:pos="380" w:val="left"/>
        </w:tabs>
        <w:numPr>
          <w:ilvl w:val="0"/>
          <w:numId w:val="10"/>
        </w:numPr>
        <w:rPr>
          <w:rFonts w:ascii="Arial" w:cs="Arial" w:eastAsia="Arial" w:hAnsi="Arial"/>
          <w:sz w:val="12"/>
          <w:szCs w:val="12"/>
          <w:color w:val="auto"/>
        </w:rPr>
      </w:pPr>
      <w:r>
        <w:rPr>
          <w:rFonts w:ascii="Arial" w:cs="Arial" w:eastAsia="Arial" w:hAnsi="Arial"/>
          <w:sz w:val="12"/>
          <w:szCs w:val="12"/>
          <w:color w:val="auto"/>
        </w:rPr>
        <w:t>Valued based on PSSL’s accounting policy.</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10"/>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10"/>
        </w:numPr>
        <w:rPr>
          <w:rFonts w:ascii="Arial" w:cs="Arial" w:eastAsia="Arial" w:hAnsi="Arial"/>
          <w:sz w:val="12"/>
          <w:szCs w:val="12"/>
          <w:color w:val="auto"/>
        </w:rPr>
      </w:pPr>
      <w:r>
        <w:rPr>
          <w:rFonts w:ascii="Arial" w:cs="Arial" w:eastAsia="Arial" w:hAnsi="Arial"/>
          <w:sz w:val="12"/>
          <w:szCs w:val="12"/>
          <w:color w:val="auto"/>
        </w:rPr>
        <w:t>Par amount is denominated in Euros (€) as denoted.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line="221" w:lineRule="auto"/>
        <w:rPr>
          <w:sz w:val="20"/>
          <w:szCs w:val="20"/>
          <w:color w:val="auto"/>
        </w:rPr>
      </w:pPr>
      <w:r>
        <w:rPr>
          <w:rFonts w:ascii="Arial" w:cs="Arial" w:eastAsia="Arial" w:hAnsi="Arial"/>
          <w:sz w:val="14"/>
          <w:szCs w:val="14"/>
          <w:b w:val="1"/>
          <w:bCs w:val="1"/>
          <w:color w:val="auto"/>
        </w:rPr>
        <w:t>JUNE 30, 2018</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4"/>
          <w:szCs w:val="14"/>
          <w:color w:val="auto"/>
        </w:rPr>
        <w:t>Below is the financial information for PSSL:</w:t>
      </w:r>
    </w:p>
    <w:p>
      <w:pPr>
        <w:spacing w:after="0" w:line="146"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PennantPark Senior Secured Loan Fund I LLC</w:t>
      </w:r>
    </w:p>
    <w:p>
      <w:pPr>
        <w:spacing w:after="0" w:line="17"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Statements of Assets and Liabilities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6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June 30, 2018</w:t>
            </w:r>
          </w:p>
        </w:tc>
        <w:tc>
          <w:tcPr>
            <w:tcW w:w="120" w:type="dxa"/>
            <w:vAlign w:val="bottom"/>
          </w:tcPr>
          <w:p>
            <w:pPr>
              <w:spacing w:after="0"/>
              <w:rPr>
                <w:sz w:val="14"/>
                <w:szCs w:val="14"/>
                <w:color w:val="auto"/>
              </w:rPr>
            </w:pPr>
          </w:p>
        </w:tc>
        <w:tc>
          <w:tcPr>
            <w:tcW w:w="156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2017</w:t>
            </w:r>
          </w:p>
        </w:tc>
      </w:tr>
      <w:tr>
        <w:trPr>
          <w:trHeight w:val="171"/>
        </w:trPr>
        <w:tc>
          <w:tcPr>
            <w:tcW w:w="296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7"/>
              </w:rPr>
              <w:t>(Unaudited)</w:t>
            </w: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7720" w:type="dxa"/>
            <w:vAlign w:val="bottom"/>
            <w:tcBorders>
              <w:top w:val="single" w:sz="8" w:color="CCECFF"/>
            </w:tcBorders>
            <w:gridSpan w:val="2"/>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Assets</w:t>
            </w:r>
          </w:p>
        </w:tc>
        <w:tc>
          <w:tcPr>
            <w:tcW w:w="220" w:type="dxa"/>
            <w:vAlign w:val="bottom"/>
            <w:tcBorders>
              <w:top w:val="single" w:sz="8" w:color="auto"/>
            </w:tcBorders>
            <w:shd w:val="clear" w:color="auto" w:fill="CCECFF"/>
          </w:tcPr>
          <w:p>
            <w:pPr>
              <w:spacing w:after="0"/>
              <w:rPr>
                <w:sz w:val="13"/>
                <w:szCs w:val="13"/>
                <w:color w:val="auto"/>
              </w:rPr>
            </w:pPr>
          </w:p>
        </w:tc>
        <w:tc>
          <w:tcPr>
            <w:tcW w:w="1340" w:type="dxa"/>
            <w:vAlign w:val="bottom"/>
            <w:tcBorders>
              <w:top w:val="single" w:sz="8" w:color="auto"/>
            </w:tcBorders>
            <w:shd w:val="clear" w:color="auto" w:fill="CCECFF"/>
          </w:tcPr>
          <w:p>
            <w:pPr>
              <w:spacing w:after="0"/>
              <w:rPr>
                <w:sz w:val="13"/>
                <w:szCs w:val="13"/>
                <w:color w:val="auto"/>
              </w:rPr>
            </w:pPr>
          </w:p>
        </w:tc>
        <w:tc>
          <w:tcPr>
            <w:tcW w:w="28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auto"/>
            </w:tcBorders>
            <w:shd w:val="clear" w:color="auto" w:fill="CCECFF"/>
          </w:tcPr>
          <w:p>
            <w:pPr>
              <w:spacing w:after="0"/>
              <w:rPr>
                <w:sz w:val="13"/>
                <w:szCs w:val="13"/>
                <w:color w:val="auto"/>
              </w:rPr>
            </w:pPr>
          </w:p>
        </w:tc>
        <w:tc>
          <w:tcPr>
            <w:tcW w:w="1440" w:type="dxa"/>
            <w:vAlign w:val="bottom"/>
            <w:tcBorders>
              <w:top w:val="single" w:sz="8" w:color="auto"/>
            </w:tcBorders>
            <w:shd w:val="clear" w:color="auto" w:fill="CCECFF"/>
          </w:tcPr>
          <w:p>
            <w:pPr>
              <w:spacing w:after="0"/>
              <w:rPr>
                <w:sz w:val="13"/>
                <w:szCs w:val="13"/>
                <w:color w:val="auto"/>
              </w:rPr>
            </w:pPr>
          </w:p>
        </w:tc>
        <w:tc>
          <w:tcPr>
            <w:tcW w:w="120" w:type="dxa"/>
            <w:vAlign w:val="bottom"/>
            <w:tcBorders>
              <w:top w:val="single" w:sz="8" w:color="CCECFF"/>
            </w:tcBorders>
            <w:shd w:val="clear" w:color="auto" w:fill="CCECFF"/>
          </w:tcPr>
          <w:p>
            <w:pPr>
              <w:spacing w:after="0"/>
              <w:rPr>
                <w:sz w:val="13"/>
                <w:szCs w:val="13"/>
                <w:color w:val="auto"/>
              </w:rPr>
            </w:pPr>
          </w:p>
        </w:tc>
      </w:tr>
      <w:tr>
        <w:trPr>
          <w:trHeight w:val="162"/>
        </w:trPr>
        <w:tc>
          <w:tcPr>
            <w:tcW w:w="7720" w:type="dxa"/>
            <w:vAlign w:val="bottom"/>
            <w:gridSpan w:val="2"/>
          </w:tcPr>
          <w:p>
            <w:pPr>
              <w:spacing w:after="0"/>
              <w:rPr>
                <w:sz w:val="20"/>
                <w:szCs w:val="20"/>
                <w:color w:val="auto"/>
              </w:rPr>
            </w:pPr>
            <w:r>
              <w:rPr>
                <w:rFonts w:ascii="Arial" w:cs="Arial" w:eastAsia="Arial" w:hAnsi="Arial"/>
                <w:sz w:val="14"/>
                <w:szCs w:val="14"/>
                <w:color w:val="auto"/>
              </w:rPr>
              <w:t>Investments at fair value</w:t>
            </w: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7720" w:type="dxa"/>
            <w:vAlign w:val="bottom"/>
            <w:gridSpan w:val="2"/>
            <w:shd w:val="clear" w:color="auto" w:fill="CCECFF"/>
          </w:tcPr>
          <w:p>
            <w:pPr>
              <w:ind w:left="260"/>
              <w:spacing w:after="0"/>
              <w:rPr>
                <w:sz w:val="20"/>
                <w:szCs w:val="20"/>
                <w:color w:val="auto"/>
              </w:rPr>
            </w:pPr>
            <w:r>
              <w:rPr>
                <w:rFonts w:ascii="Arial" w:cs="Arial" w:eastAsia="Arial" w:hAnsi="Arial"/>
                <w:sz w:val="14"/>
                <w:szCs w:val="14"/>
                <w:color w:val="auto"/>
              </w:rPr>
              <w:t>Non-controlled, non-affiliated investments (cost—$346,547,032 and $99,544,903, respectively)</w:t>
            </w:r>
          </w:p>
        </w:tc>
        <w:tc>
          <w:tcPr>
            <w:tcW w:w="220" w:type="dxa"/>
            <w:vAlign w:val="bottom"/>
            <w:shd w:val="clear" w:color="auto" w:fill="CCECFF"/>
          </w:tcPr>
          <w:p>
            <w:pPr>
              <w:jc w:val="right"/>
              <w:ind w:right="68"/>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346,936,205</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99,994,314</w:t>
            </w:r>
          </w:p>
        </w:tc>
        <w:tc>
          <w:tcPr>
            <w:tcW w:w="120" w:type="dxa"/>
            <w:vAlign w:val="bottom"/>
            <w:shd w:val="clear" w:color="auto" w:fill="CCECFF"/>
          </w:tcPr>
          <w:p>
            <w:pPr>
              <w:spacing w:after="0"/>
              <w:rPr>
                <w:sz w:val="14"/>
                <w:szCs w:val="14"/>
                <w:color w:val="auto"/>
              </w:rPr>
            </w:pPr>
          </w:p>
        </w:tc>
      </w:tr>
      <w:tr>
        <w:trPr>
          <w:trHeight w:val="162"/>
        </w:trPr>
        <w:tc>
          <w:tcPr>
            <w:tcW w:w="7720" w:type="dxa"/>
            <w:vAlign w:val="bottom"/>
            <w:gridSpan w:val="2"/>
          </w:tcPr>
          <w:p>
            <w:pPr>
              <w:spacing w:after="0"/>
              <w:rPr>
                <w:sz w:val="20"/>
                <w:szCs w:val="20"/>
                <w:color w:val="auto"/>
              </w:rPr>
            </w:pPr>
            <w:r>
              <w:rPr>
                <w:rFonts w:ascii="Arial" w:cs="Arial" w:eastAsia="Arial" w:hAnsi="Arial"/>
                <w:sz w:val="14"/>
                <w:szCs w:val="14"/>
                <w:color w:val="auto"/>
              </w:rPr>
              <w:t>Cash and cash equivalents (cost—$4,165,816 and $2,371,169, respectively)</w:t>
            </w:r>
          </w:p>
        </w:tc>
        <w:tc>
          <w:tcPr>
            <w:tcW w:w="2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4,153,493</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2,371,263</w:t>
            </w:r>
          </w:p>
        </w:tc>
        <w:tc>
          <w:tcPr>
            <w:tcW w:w="120" w:type="dxa"/>
            <w:vAlign w:val="bottom"/>
          </w:tcPr>
          <w:p>
            <w:pPr>
              <w:spacing w:after="0"/>
              <w:rPr>
                <w:sz w:val="14"/>
                <w:szCs w:val="14"/>
                <w:color w:val="auto"/>
              </w:rPr>
            </w:pPr>
          </w:p>
        </w:tc>
      </w:tr>
      <w:tr>
        <w:trPr>
          <w:trHeight w:val="162"/>
        </w:trPr>
        <w:tc>
          <w:tcPr>
            <w:tcW w:w="77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Interest receivable</w:t>
            </w:r>
          </w:p>
        </w:tc>
        <w:tc>
          <w:tcPr>
            <w:tcW w:w="220" w:type="dxa"/>
            <w:vAlign w:val="bottom"/>
            <w:shd w:val="clear" w:color="auto" w:fill="CCECFF"/>
          </w:tcPr>
          <w:p>
            <w:pPr>
              <w:spacing w:after="0"/>
              <w:rPr>
                <w:sz w:val="14"/>
                <w:szCs w:val="14"/>
                <w:color w:val="auto"/>
              </w:rPr>
            </w:pPr>
          </w:p>
        </w:tc>
        <w:tc>
          <w:tcPr>
            <w:tcW w:w="13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1,355,176</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332,980</w:t>
            </w:r>
          </w:p>
        </w:tc>
        <w:tc>
          <w:tcPr>
            <w:tcW w:w="120" w:type="dxa"/>
            <w:vAlign w:val="bottom"/>
            <w:shd w:val="clear" w:color="auto" w:fill="CCECFF"/>
          </w:tcPr>
          <w:p>
            <w:pPr>
              <w:spacing w:after="0"/>
              <w:rPr>
                <w:sz w:val="14"/>
                <w:szCs w:val="14"/>
                <w:color w:val="auto"/>
              </w:rPr>
            </w:pPr>
          </w:p>
        </w:tc>
      </w:tr>
      <w:tr>
        <w:trPr>
          <w:trHeight w:val="162"/>
        </w:trPr>
        <w:tc>
          <w:tcPr>
            <w:tcW w:w="7720" w:type="dxa"/>
            <w:vAlign w:val="bottom"/>
            <w:tcBorders>
              <w:bottom w:val="single" w:sz="8" w:color="CCECFF"/>
            </w:tcBorders>
            <w:gridSpan w:val="2"/>
          </w:tcPr>
          <w:p>
            <w:pPr>
              <w:spacing w:after="0"/>
              <w:rPr>
                <w:sz w:val="20"/>
                <w:szCs w:val="20"/>
                <w:color w:val="auto"/>
              </w:rPr>
            </w:pPr>
            <w:r>
              <w:rPr>
                <w:rFonts w:ascii="Arial" w:cs="Arial" w:eastAsia="Arial" w:hAnsi="Arial"/>
                <w:sz w:val="14"/>
                <w:szCs w:val="14"/>
                <w:color w:val="auto"/>
              </w:rPr>
              <w:t>Prepaid expenses and other assets</w:t>
            </w: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3,216,872</w:t>
            </w:r>
          </w:p>
        </w:tc>
        <w:tc>
          <w:tcPr>
            <w:tcW w:w="280" w:type="dxa"/>
            <w:vAlign w:val="bottom"/>
            <w:tcBorders>
              <w:bottom w:val="single" w:sz="8" w:color="CCEC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1,131,029</w:t>
            </w:r>
          </w:p>
        </w:tc>
        <w:tc>
          <w:tcPr>
            <w:tcW w:w="120" w:type="dxa"/>
            <w:vAlign w:val="bottom"/>
            <w:tcBorders>
              <w:bottom w:val="single" w:sz="8" w:color="CCECFF"/>
            </w:tcBorders>
          </w:tcPr>
          <w:p>
            <w:pPr>
              <w:spacing w:after="0"/>
              <w:rPr>
                <w:sz w:val="14"/>
                <w:szCs w:val="14"/>
                <w:color w:val="auto"/>
              </w:rPr>
            </w:pPr>
          </w:p>
        </w:tc>
      </w:tr>
      <w:tr>
        <w:trPr>
          <w:trHeight w:val="155"/>
        </w:trPr>
        <w:tc>
          <w:tcPr>
            <w:tcW w:w="7720" w:type="dxa"/>
            <w:vAlign w:val="bottom"/>
            <w:gridSpan w:val="2"/>
            <w:shd w:val="clear" w:color="auto" w:fill="CCECFF"/>
          </w:tcPr>
          <w:p>
            <w:pPr>
              <w:ind w:left="740"/>
              <w:spacing w:after="0" w:line="155" w:lineRule="exact"/>
              <w:rPr>
                <w:sz w:val="20"/>
                <w:szCs w:val="20"/>
                <w:color w:val="auto"/>
              </w:rPr>
            </w:pPr>
            <w:r>
              <w:rPr>
                <w:rFonts w:ascii="Arial" w:cs="Arial" w:eastAsia="Arial" w:hAnsi="Arial"/>
                <w:sz w:val="14"/>
                <w:szCs w:val="14"/>
                <w:b w:val="1"/>
                <w:bCs w:val="1"/>
                <w:color w:val="auto"/>
              </w:rPr>
              <w:t>Total assets</w:t>
            </w:r>
          </w:p>
        </w:tc>
        <w:tc>
          <w:tcPr>
            <w:tcW w:w="220" w:type="dxa"/>
            <w:vAlign w:val="bottom"/>
            <w:tcBorders>
              <w:bottom w:val="single" w:sz="8" w:color="auto"/>
            </w:tcBorders>
            <w:shd w:val="clear" w:color="auto" w:fill="CCECFF"/>
          </w:tcPr>
          <w:p>
            <w:pPr>
              <w:spacing w:after="0"/>
              <w:rPr>
                <w:sz w:val="13"/>
                <w:szCs w:val="13"/>
                <w:color w:val="auto"/>
              </w:rPr>
            </w:pPr>
          </w:p>
        </w:tc>
        <w:tc>
          <w:tcPr>
            <w:tcW w:w="13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355,661,746</w:t>
            </w:r>
          </w:p>
        </w:tc>
        <w:tc>
          <w:tcPr>
            <w:tcW w:w="280" w:type="dxa"/>
            <w:vAlign w:val="bottom"/>
            <w:shd w:val="clear" w:color="auto" w:fill="CCECFF"/>
          </w:tcPr>
          <w:p>
            <w:pPr>
              <w:spacing w:after="0"/>
              <w:rPr>
                <w:sz w:val="13"/>
                <w:szCs w:val="13"/>
                <w:color w:val="auto"/>
              </w:rPr>
            </w:pPr>
          </w:p>
        </w:tc>
        <w:tc>
          <w:tcPr>
            <w:tcW w:w="120" w:type="dxa"/>
            <w:vAlign w:val="bottom"/>
            <w:tcBorders>
              <w:bottom w:val="single" w:sz="8" w:color="auto"/>
            </w:tcBorders>
            <w:shd w:val="clear" w:color="auto" w:fill="CCECFF"/>
          </w:tcPr>
          <w:p>
            <w:pPr>
              <w:spacing w:after="0"/>
              <w:rPr>
                <w:sz w:val="13"/>
                <w:szCs w:val="13"/>
                <w:color w:val="auto"/>
              </w:rPr>
            </w:pPr>
          </w:p>
        </w:tc>
        <w:tc>
          <w:tcPr>
            <w:tcW w:w="14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103,829,586</w:t>
            </w:r>
          </w:p>
        </w:tc>
        <w:tc>
          <w:tcPr>
            <w:tcW w:w="120" w:type="dxa"/>
            <w:vAlign w:val="bottom"/>
            <w:shd w:val="clear" w:color="auto" w:fill="CCECFF"/>
          </w:tcPr>
          <w:p>
            <w:pPr>
              <w:spacing w:after="0"/>
              <w:rPr>
                <w:sz w:val="13"/>
                <w:szCs w:val="13"/>
                <w:color w:val="auto"/>
              </w:rPr>
            </w:pPr>
          </w:p>
        </w:tc>
      </w:tr>
      <w:tr>
        <w:trPr>
          <w:trHeight w:val="156"/>
        </w:trPr>
        <w:tc>
          <w:tcPr>
            <w:tcW w:w="77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Liabilities</w:t>
            </w:r>
          </w:p>
        </w:tc>
        <w:tc>
          <w:tcPr>
            <w:tcW w:w="2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62"/>
        </w:trPr>
        <w:tc>
          <w:tcPr>
            <w:tcW w:w="77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Payable for investments purchased</w:t>
            </w:r>
          </w:p>
        </w:tc>
        <w:tc>
          <w:tcPr>
            <w:tcW w:w="220" w:type="dxa"/>
            <w:vAlign w:val="bottom"/>
            <w:shd w:val="clear" w:color="auto" w:fill="CCECFF"/>
          </w:tcPr>
          <w:p>
            <w:pPr>
              <w:spacing w:after="0"/>
              <w:rPr>
                <w:sz w:val="14"/>
                <w:szCs w:val="14"/>
                <w:color w:val="auto"/>
              </w:rPr>
            </w:pPr>
          </w:p>
        </w:tc>
        <w:tc>
          <w:tcPr>
            <w:tcW w:w="13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5,362,500</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27,095,850</w:t>
            </w:r>
          </w:p>
        </w:tc>
        <w:tc>
          <w:tcPr>
            <w:tcW w:w="120" w:type="dxa"/>
            <w:vAlign w:val="bottom"/>
            <w:shd w:val="clear" w:color="auto" w:fill="CCECFF"/>
          </w:tcPr>
          <w:p>
            <w:pPr>
              <w:spacing w:after="0"/>
              <w:rPr>
                <w:sz w:val="14"/>
                <w:szCs w:val="14"/>
                <w:color w:val="auto"/>
              </w:rPr>
            </w:pPr>
          </w:p>
        </w:tc>
      </w:tr>
      <w:tr>
        <w:trPr>
          <w:trHeight w:val="162"/>
        </w:trPr>
        <w:tc>
          <w:tcPr>
            <w:tcW w:w="7720" w:type="dxa"/>
            <w:vAlign w:val="bottom"/>
            <w:gridSpan w:val="2"/>
          </w:tcPr>
          <w:p>
            <w:pPr>
              <w:spacing w:after="0"/>
              <w:rPr>
                <w:sz w:val="20"/>
                <w:szCs w:val="20"/>
                <w:color w:val="auto"/>
              </w:rPr>
            </w:pPr>
            <w:r>
              <w:rPr>
                <w:rFonts w:ascii="Arial" w:cs="Arial" w:eastAsia="Arial" w:hAnsi="Arial"/>
                <w:sz w:val="14"/>
                <w:szCs w:val="14"/>
                <w:color w:val="auto"/>
              </w:rPr>
              <w:t>PSSL Credit Facility payable</w:t>
            </w:r>
          </w:p>
        </w:tc>
        <w:tc>
          <w:tcPr>
            <w:tcW w:w="2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212,606,933</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26,783,885</w:t>
            </w:r>
          </w:p>
        </w:tc>
        <w:tc>
          <w:tcPr>
            <w:tcW w:w="120" w:type="dxa"/>
            <w:vAlign w:val="bottom"/>
          </w:tcPr>
          <w:p>
            <w:pPr>
              <w:spacing w:after="0"/>
              <w:rPr>
                <w:sz w:val="14"/>
                <w:szCs w:val="14"/>
                <w:color w:val="auto"/>
              </w:rPr>
            </w:pPr>
          </w:p>
        </w:tc>
      </w:tr>
      <w:tr>
        <w:trPr>
          <w:trHeight w:val="162"/>
        </w:trPr>
        <w:tc>
          <w:tcPr>
            <w:tcW w:w="77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Notes payable to members</w:t>
            </w:r>
          </w:p>
        </w:tc>
        <w:tc>
          <w:tcPr>
            <w:tcW w:w="220" w:type="dxa"/>
            <w:vAlign w:val="bottom"/>
            <w:shd w:val="clear" w:color="auto" w:fill="CCECFF"/>
          </w:tcPr>
          <w:p>
            <w:pPr>
              <w:spacing w:after="0"/>
              <w:rPr>
                <w:sz w:val="14"/>
                <w:szCs w:val="14"/>
                <w:color w:val="auto"/>
              </w:rPr>
            </w:pPr>
          </w:p>
        </w:tc>
        <w:tc>
          <w:tcPr>
            <w:tcW w:w="13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94,500,000</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34,400,000</w:t>
            </w:r>
          </w:p>
        </w:tc>
        <w:tc>
          <w:tcPr>
            <w:tcW w:w="120" w:type="dxa"/>
            <w:vAlign w:val="bottom"/>
            <w:shd w:val="clear" w:color="auto" w:fill="CCECFF"/>
          </w:tcPr>
          <w:p>
            <w:pPr>
              <w:spacing w:after="0"/>
              <w:rPr>
                <w:sz w:val="14"/>
                <w:szCs w:val="14"/>
                <w:color w:val="auto"/>
              </w:rPr>
            </w:pPr>
          </w:p>
        </w:tc>
      </w:tr>
      <w:tr>
        <w:trPr>
          <w:trHeight w:val="162"/>
        </w:trPr>
        <w:tc>
          <w:tcPr>
            <w:tcW w:w="7720" w:type="dxa"/>
            <w:vAlign w:val="bottom"/>
            <w:gridSpan w:val="2"/>
          </w:tcPr>
          <w:p>
            <w:pPr>
              <w:spacing w:after="0"/>
              <w:rPr>
                <w:sz w:val="20"/>
                <w:szCs w:val="20"/>
                <w:color w:val="auto"/>
              </w:rPr>
            </w:pPr>
            <w:r>
              <w:rPr>
                <w:rFonts w:ascii="Arial" w:cs="Arial" w:eastAsia="Arial" w:hAnsi="Arial"/>
                <w:sz w:val="14"/>
                <w:szCs w:val="14"/>
                <w:color w:val="auto"/>
              </w:rPr>
              <w:t>Interest payable on PSSL Credit Facility</w:t>
            </w:r>
          </w:p>
        </w:tc>
        <w:tc>
          <w:tcPr>
            <w:tcW w:w="2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815,491</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97,531</w:t>
            </w:r>
          </w:p>
        </w:tc>
        <w:tc>
          <w:tcPr>
            <w:tcW w:w="120" w:type="dxa"/>
            <w:vAlign w:val="bottom"/>
          </w:tcPr>
          <w:p>
            <w:pPr>
              <w:spacing w:after="0"/>
              <w:rPr>
                <w:sz w:val="14"/>
                <w:szCs w:val="14"/>
                <w:color w:val="auto"/>
              </w:rPr>
            </w:pPr>
          </w:p>
        </w:tc>
      </w:tr>
      <w:tr>
        <w:trPr>
          <w:trHeight w:val="162"/>
        </w:trPr>
        <w:tc>
          <w:tcPr>
            <w:tcW w:w="77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Interest payable on notes to members</w:t>
            </w:r>
          </w:p>
        </w:tc>
        <w:tc>
          <w:tcPr>
            <w:tcW w:w="220" w:type="dxa"/>
            <w:vAlign w:val="bottom"/>
            <w:shd w:val="clear" w:color="auto" w:fill="CCECFF"/>
          </w:tcPr>
          <w:p>
            <w:pPr>
              <w:spacing w:after="0"/>
              <w:rPr>
                <w:sz w:val="14"/>
                <w:szCs w:val="14"/>
                <w:color w:val="auto"/>
              </w:rPr>
            </w:pPr>
          </w:p>
        </w:tc>
        <w:tc>
          <w:tcPr>
            <w:tcW w:w="13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46,381</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12,107</w:t>
            </w:r>
          </w:p>
        </w:tc>
        <w:tc>
          <w:tcPr>
            <w:tcW w:w="120" w:type="dxa"/>
            <w:vAlign w:val="bottom"/>
            <w:shd w:val="clear" w:color="auto" w:fill="CCECFF"/>
          </w:tcPr>
          <w:p>
            <w:pPr>
              <w:spacing w:after="0"/>
              <w:rPr>
                <w:sz w:val="14"/>
                <w:szCs w:val="14"/>
                <w:color w:val="auto"/>
              </w:rPr>
            </w:pPr>
          </w:p>
        </w:tc>
      </w:tr>
      <w:tr>
        <w:trPr>
          <w:trHeight w:val="162"/>
        </w:trPr>
        <w:tc>
          <w:tcPr>
            <w:tcW w:w="7720" w:type="dxa"/>
            <w:vAlign w:val="bottom"/>
            <w:tcBorders>
              <w:bottom w:val="single" w:sz="8" w:color="CCECFF"/>
            </w:tcBorders>
            <w:gridSpan w:val="2"/>
          </w:tcPr>
          <w:p>
            <w:pPr>
              <w:spacing w:after="0"/>
              <w:rPr>
                <w:sz w:val="20"/>
                <w:szCs w:val="20"/>
                <w:color w:val="auto"/>
              </w:rPr>
            </w:pPr>
            <w:r>
              <w:rPr>
                <w:rFonts w:ascii="Arial" w:cs="Arial" w:eastAsia="Arial" w:hAnsi="Arial"/>
                <w:sz w:val="14"/>
                <w:szCs w:val="14"/>
                <w:color w:val="auto"/>
              </w:rPr>
              <w:t>Accrued other expenses</w:t>
            </w: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160,188</w:t>
            </w:r>
          </w:p>
        </w:tc>
        <w:tc>
          <w:tcPr>
            <w:tcW w:w="280" w:type="dxa"/>
            <w:vAlign w:val="bottom"/>
            <w:tcBorders>
              <w:bottom w:val="single" w:sz="8" w:color="CCEC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97,192</w:t>
            </w:r>
          </w:p>
        </w:tc>
        <w:tc>
          <w:tcPr>
            <w:tcW w:w="120" w:type="dxa"/>
            <w:vAlign w:val="bottom"/>
            <w:tcBorders>
              <w:bottom w:val="single" w:sz="8" w:color="CCECFF"/>
            </w:tcBorders>
          </w:tcPr>
          <w:p>
            <w:pPr>
              <w:spacing w:after="0"/>
              <w:rPr>
                <w:sz w:val="14"/>
                <w:szCs w:val="14"/>
                <w:color w:val="auto"/>
              </w:rPr>
            </w:pPr>
          </w:p>
        </w:tc>
      </w:tr>
      <w:tr>
        <w:trPr>
          <w:trHeight w:val="156"/>
        </w:trPr>
        <w:tc>
          <w:tcPr>
            <w:tcW w:w="7720" w:type="dxa"/>
            <w:vAlign w:val="bottom"/>
            <w:gridSpan w:val="2"/>
            <w:shd w:val="clear" w:color="auto" w:fill="CCECFF"/>
          </w:tcPr>
          <w:p>
            <w:pPr>
              <w:ind w:left="740"/>
              <w:spacing w:after="0" w:line="155" w:lineRule="exact"/>
              <w:rPr>
                <w:sz w:val="20"/>
                <w:szCs w:val="20"/>
                <w:color w:val="auto"/>
              </w:rPr>
            </w:pPr>
            <w:r>
              <w:rPr>
                <w:rFonts w:ascii="Arial" w:cs="Arial" w:eastAsia="Arial" w:hAnsi="Arial"/>
                <w:sz w:val="14"/>
                <w:szCs w:val="14"/>
                <w:b w:val="1"/>
                <w:bCs w:val="1"/>
                <w:color w:val="auto"/>
              </w:rPr>
              <w:t>Total liabilities</w:t>
            </w:r>
          </w:p>
        </w:tc>
        <w:tc>
          <w:tcPr>
            <w:tcW w:w="220" w:type="dxa"/>
            <w:vAlign w:val="bottom"/>
            <w:tcBorders>
              <w:bottom w:val="single" w:sz="8" w:color="auto"/>
            </w:tcBorders>
            <w:shd w:val="clear" w:color="auto" w:fill="CCECFF"/>
          </w:tcPr>
          <w:p>
            <w:pPr>
              <w:spacing w:after="0"/>
              <w:rPr>
                <w:sz w:val="13"/>
                <w:szCs w:val="13"/>
                <w:color w:val="auto"/>
              </w:rPr>
            </w:pPr>
          </w:p>
        </w:tc>
        <w:tc>
          <w:tcPr>
            <w:tcW w:w="13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313,491,493</w:t>
            </w:r>
          </w:p>
        </w:tc>
        <w:tc>
          <w:tcPr>
            <w:tcW w:w="280" w:type="dxa"/>
            <w:vAlign w:val="bottom"/>
            <w:shd w:val="clear" w:color="auto" w:fill="CCECFF"/>
          </w:tcPr>
          <w:p>
            <w:pPr>
              <w:spacing w:after="0"/>
              <w:rPr>
                <w:sz w:val="13"/>
                <w:szCs w:val="13"/>
                <w:color w:val="auto"/>
              </w:rPr>
            </w:pPr>
          </w:p>
        </w:tc>
        <w:tc>
          <w:tcPr>
            <w:tcW w:w="120" w:type="dxa"/>
            <w:vAlign w:val="bottom"/>
            <w:tcBorders>
              <w:bottom w:val="single" w:sz="8" w:color="auto"/>
            </w:tcBorders>
            <w:shd w:val="clear" w:color="auto" w:fill="CCECFF"/>
          </w:tcPr>
          <w:p>
            <w:pPr>
              <w:spacing w:after="0"/>
              <w:rPr>
                <w:sz w:val="13"/>
                <w:szCs w:val="13"/>
                <w:color w:val="auto"/>
              </w:rPr>
            </w:pPr>
          </w:p>
        </w:tc>
        <w:tc>
          <w:tcPr>
            <w:tcW w:w="14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88,486,565</w:t>
            </w:r>
          </w:p>
        </w:tc>
        <w:tc>
          <w:tcPr>
            <w:tcW w:w="120" w:type="dxa"/>
            <w:vAlign w:val="bottom"/>
            <w:shd w:val="clear" w:color="auto" w:fill="CCECFF"/>
          </w:tcPr>
          <w:p>
            <w:pPr>
              <w:spacing w:after="0"/>
              <w:rPr>
                <w:sz w:val="13"/>
                <w:szCs w:val="13"/>
                <w:color w:val="auto"/>
              </w:rPr>
            </w:pPr>
          </w:p>
        </w:tc>
      </w:tr>
      <w:tr>
        <w:trPr>
          <w:trHeight w:val="155"/>
        </w:trPr>
        <w:tc>
          <w:tcPr>
            <w:tcW w:w="7720" w:type="dxa"/>
            <w:vAlign w:val="bottom"/>
            <w:tcBorders>
              <w:bottom w:val="single" w:sz="8" w:color="CCECFF"/>
            </w:tcBorders>
            <w:gridSpan w:val="2"/>
          </w:tcPr>
          <w:p>
            <w:pPr>
              <w:spacing w:after="0" w:line="155" w:lineRule="exact"/>
              <w:rPr>
                <w:sz w:val="20"/>
                <w:szCs w:val="20"/>
                <w:color w:val="auto"/>
              </w:rPr>
            </w:pPr>
            <w:r>
              <w:rPr>
                <w:rFonts w:ascii="Arial" w:cs="Arial" w:eastAsia="Arial" w:hAnsi="Arial"/>
                <w:sz w:val="14"/>
                <w:szCs w:val="14"/>
                <w:color w:val="auto"/>
              </w:rPr>
              <w:t xml:space="preserve">Commitments and contingencies </w:t>
            </w:r>
            <w:r>
              <w:rPr>
                <w:rFonts w:ascii="Arial" w:cs="Arial" w:eastAsia="Arial" w:hAnsi="Arial"/>
                <w:sz w:val="12"/>
                <w:szCs w:val="12"/>
                <w:color w:val="auto"/>
              </w:rPr>
              <w:t>(1)</w:t>
            </w:r>
          </w:p>
        </w:tc>
        <w:tc>
          <w:tcPr>
            <w:tcW w:w="2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CCEC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CECFF"/>
            </w:tcBorders>
          </w:tcPr>
          <w:p>
            <w:pPr>
              <w:spacing w:after="0"/>
              <w:rPr>
                <w:sz w:val="13"/>
                <w:szCs w:val="13"/>
                <w:color w:val="auto"/>
              </w:rPr>
            </w:pPr>
          </w:p>
        </w:tc>
      </w:tr>
      <w:tr>
        <w:trPr>
          <w:trHeight w:val="156"/>
        </w:trPr>
        <w:tc>
          <w:tcPr>
            <w:tcW w:w="7720" w:type="dxa"/>
            <w:vAlign w:val="bottom"/>
            <w:gridSpan w:val="2"/>
            <w:shd w:val="clear" w:color="auto" w:fill="CCECFF"/>
          </w:tcPr>
          <w:p>
            <w:pPr>
              <w:ind w:left="740"/>
              <w:spacing w:after="0" w:line="155" w:lineRule="exact"/>
              <w:rPr>
                <w:sz w:val="20"/>
                <w:szCs w:val="20"/>
                <w:color w:val="auto"/>
              </w:rPr>
            </w:pPr>
            <w:r>
              <w:rPr>
                <w:rFonts w:ascii="Arial" w:cs="Arial" w:eastAsia="Arial" w:hAnsi="Arial"/>
                <w:sz w:val="14"/>
                <w:szCs w:val="14"/>
                <w:b w:val="1"/>
                <w:bCs w:val="1"/>
                <w:color w:val="auto"/>
              </w:rPr>
              <w:t>Members' equity</w:t>
            </w:r>
          </w:p>
        </w:tc>
        <w:tc>
          <w:tcPr>
            <w:tcW w:w="220" w:type="dxa"/>
            <w:vAlign w:val="bottom"/>
            <w:tcBorders>
              <w:bottom w:val="single" w:sz="8" w:color="auto"/>
            </w:tcBorders>
            <w:shd w:val="clear" w:color="auto" w:fill="CCECFF"/>
          </w:tcPr>
          <w:p>
            <w:pPr>
              <w:spacing w:after="0"/>
              <w:rPr>
                <w:sz w:val="13"/>
                <w:szCs w:val="13"/>
                <w:color w:val="auto"/>
              </w:rPr>
            </w:pPr>
          </w:p>
        </w:tc>
        <w:tc>
          <w:tcPr>
            <w:tcW w:w="13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42,170,253</w:t>
            </w:r>
          </w:p>
        </w:tc>
        <w:tc>
          <w:tcPr>
            <w:tcW w:w="280" w:type="dxa"/>
            <w:vAlign w:val="bottom"/>
            <w:shd w:val="clear" w:color="auto" w:fill="CCECFF"/>
          </w:tcPr>
          <w:p>
            <w:pPr>
              <w:spacing w:after="0"/>
              <w:rPr>
                <w:sz w:val="13"/>
                <w:szCs w:val="13"/>
                <w:color w:val="auto"/>
              </w:rPr>
            </w:pPr>
          </w:p>
        </w:tc>
        <w:tc>
          <w:tcPr>
            <w:tcW w:w="120" w:type="dxa"/>
            <w:vAlign w:val="bottom"/>
            <w:tcBorders>
              <w:bottom w:val="single" w:sz="8" w:color="auto"/>
            </w:tcBorders>
            <w:shd w:val="clear" w:color="auto" w:fill="CCECFF"/>
          </w:tcPr>
          <w:p>
            <w:pPr>
              <w:spacing w:after="0"/>
              <w:rPr>
                <w:sz w:val="13"/>
                <w:szCs w:val="13"/>
                <w:color w:val="auto"/>
              </w:rPr>
            </w:pPr>
          </w:p>
        </w:tc>
        <w:tc>
          <w:tcPr>
            <w:tcW w:w="14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15,343,021</w:t>
            </w:r>
          </w:p>
        </w:tc>
        <w:tc>
          <w:tcPr>
            <w:tcW w:w="120" w:type="dxa"/>
            <w:vAlign w:val="bottom"/>
            <w:shd w:val="clear" w:color="auto" w:fill="CCECFF"/>
          </w:tcPr>
          <w:p>
            <w:pPr>
              <w:spacing w:after="0"/>
              <w:rPr>
                <w:sz w:val="13"/>
                <w:szCs w:val="13"/>
                <w:color w:val="auto"/>
              </w:rPr>
            </w:pPr>
          </w:p>
        </w:tc>
      </w:tr>
      <w:tr>
        <w:trPr>
          <w:trHeight w:val="155"/>
        </w:trPr>
        <w:tc>
          <w:tcPr>
            <w:tcW w:w="7720" w:type="dxa"/>
            <w:vAlign w:val="bottom"/>
            <w:gridSpan w:val="2"/>
          </w:tcPr>
          <w:p>
            <w:pPr>
              <w:ind w:left="740"/>
              <w:spacing w:after="0" w:line="155" w:lineRule="exact"/>
              <w:rPr>
                <w:sz w:val="20"/>
                <w:szCs w:val="20"/>
                <w:color w:val="auto"/>
              </w:rPr>
            </w:pPr>
            <w:r>
              <w:rPr>
                <w:rFonts w:ascii="Arial" w:cs="Arial" w:eastAsia="Arial" w:hAnsi="Arial"/>
                <w:sz w:val="14"/>
                <w:szCs w:val="14"/>
                <w:b w:val="1"/>
                <w:bCs w:val="1"/>
                <w:color w:val="auto"/>
              </w:rPr>
              <w:t>Total liabilities and members' equity</w:t>
            </w:r>
          </w:p>
        </w:tc>
        <w:tc>
          <w:tcPr>
            <w:tcW w:w="2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355,661,746</w:t>
            </w:r>
          </w:p>
        </w:tc>
        <w:tc>
          <w:tcPr>
            <w:tcW w:w="280" w:type="dxa"/>
            <w:vAlign w:val="bottom"/>
          </w:tcPr>
          <w:p>
            <w:pPr>
              <w:spacing w:after="0"/>
              <w:rPr>
                <w:sz w:val="13"/>
                <w:szCs w:val="13"/>
                <w:color w:val="auto"/>
              </w:rPr>
            </w:pPr>
          </w:p>
        </w:tc>
        <w:tc>
          <w:tcPr>
            <w:tcW w:w="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103,829,586</w:t>
            </w:r>
          </w:p>
        </w:tc>
        <w:tc>
          <w:tcPr>
            <w:tcW w:w="120" w:type="dxa"/>
            <w:vAlign w:val="bottom"/>
          </w:tcPr>
          <w:p>
            <w:pPr>
              <w:spacing w:after="0"/>
              <w:rPr>
                <w:sz w:val="13"/>
                <w:szCs w:val="13"/>
                <w:color w:val="auto"/>
              </w:rPr>
            </w:pPr>
          </w:p>
        </w:tc>
      </w:tr>
      <w:tr>
        <w:trPr>
          <w:trHeight w:val="20"/>
        </w:trPr>
        <w:tc>
          <w:tcPr>
            <w:tcW w:w="29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9"/>
        </w:trPr>
        <w:tc>
          <w:tcPr>
            <w:tcW w:w="2960" w:type="dxa"/>
            <w:vAlign w:val="bottom"/>
            <w:tcBorders>
              <w:bottom w:val="single" w:sz="8" w:color="auto"/>
            </w:tcBorders>
          </w:tcPr>
          <w:p>
            <w:pPr>
              <w:spacing w:after="0"/>
              <w:rPr>
                <w:sz w:val="11"/>
                <w:szCs w:val="11"/>
                <w:color w:val="auto"/>
              </w:rPr>
            </w:pPr>
          </w:p>
        </w:tc>
        <w:tc>
          <w:tcPr>
            <w:tcW w:w="4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20" w:type="dxa"/>
            <w:vAlign w:val="bottom"/>
          </w:tcPr>
          <w:p>
            <w:pPr>
              <w:spacing w:after="0"/>
              <w:rPr>
                <w:sz w:val="11"/>
                <w:szCs w:val="11"/>
                <w:color w:val="auto"/>
              </w:rPr>
            </w:pPr>
          </w:p>
        </w:tc>
      </w:tr>
    </w:tbl>
    <w:p>
      <w:pPr>
        <w:spacing w:after="0" w:line="62" w:lineRule="exact"/>
        <w:rPr>
          <w:sz w:val="20"/>
          <w:szCs w:val="20"/>
          <w:color w:val="auto"/>
        </w:rPr>
      </w:pPr>
    </w:p>
    <w:p>
      <w:pPr>
        <w:ind w:left="380" w:hanging="372"/>
        <w:spacing w:after="0"/>
        <w:tabs>
          <w:tab w:leader="none" w:pos="380" w:val="left"/>
        </w:tabs>
        <w:numPr>
          <w:ilvl w:val="0"/>
          <w:numId w:val="11"/>
        </w:numPr>
        <w:rPr>
          <w:rFonts w:ascii="Arial" w:cs="Arial" w:eastAsia="Arial" w:hAnsi="Arial"/>
          <w:sz w:val="12"/>
          <w:szCs w:val="12"/>
          <w:color w:val="auto"/>
        </w:rPr>
      </w:pPr>
      <w:r>
        <w:rPr>
          <w:rFonts w:ascii="Arial" w:cs="Arial" w:eastAsia="Arial" w:hAnsi="Arial"/>
          <w:sz w:val="14"/>
          <w:szCs w:val="14"/>
          <w:color w:val="auto"/>
        </w:rPr>
        <w:t>PSSL had unfunded commitments of $1.4 million and zero as of June 30, 2018 and September 30, 2017, respectively.</w:t>
      </w:r>
    </w:p>
    <w:p>
      <w:pPr>
        <w:spacing w:after="0" w:line="375"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PennantPark Senior Secured Loan Fund I LLC</w:t>
      </w:r>
    </w:p>
    <w:p>
      <w:pPr>
        <w:spacing w:after="0" w:line="17"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Statements of Operations</w:t>
      </w:r>
    </w:p>
    <w:p>
      <w:pPr>
        <w:spacing w:after="0" w:line="1"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(Unaudited)</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6"/>
              </w:rPr>
              <w:t>Three Months Ended</w:t>
            </w:r>
          </w:p>
        </w:tc>
        <w:tc>
          <w:tcPr>
            <w:tcW w:w="1720" w:type="dxa"/>
            <w:vAlign w:val="bottom"/>
            <w:gridSpan w:val="3"/>
          </w:tcPr>
          <w:p>
            <w:pPr>
              <w:ind w:left="20"/>
              <w:spacing w:after="0"/>
              <w:rPr>
                <w:sz w:val="20"/>
                <w:szCs w:val="20"/>
                <w:color w:val="auto"/>
              </w:rPr>
            </w:pPr>
            <w:r>
              <w:rPr>
                <w:rFonts w:ascii="Arial" w:cs="Arial" w:eastAsia="Arial" w:hAnsi="Arial"/>
                <w:sz w:val="14"/>
                <w:szCs w:val="14"/>
                <w:b w:val="1"/>
                <w:bCs w:val="1"/>
                <w:color w:val="auto"/>
              </w:rPr>
              <w:t>Nine Months Ended June</w:t>
            </w:r>
          </w:p>
        </w:tc>
      </w:tr>
      <w:tr>
        <w:trPr>
          <w:trHeight w:val="171"/>
        </w:trPr>
        <w:tc>
          <w:tcPr>
            <w:tcW w:w="7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June 30, 2018</w:t>
            </w:r>
          </w:p>
        </w:tc>
        <w:tc>
          <w:tcPr>
            <w:tcW w:w="300" w:type="dxa"/>
            <w:vAlign w:val="bottom"/>
          </w:tcPr>
          <w:p>
            <w:pPr>
              <w:spacing w:after="0"/>
              <w:rPr>
                <w:sz w:val="14"/>
                <w:szCs w:val="14"/>
                <w:color w:val="auto"/>
              </w:rPr>
            </w:pPr>
          </w:p>
        </w:tc>
        <w:tc>
          <w:tcPr>
            <w:tcW w:w="1320" w:type="dxa"/>
            <w:vAlign w:val="bottom"/>
          </w:tcPr>
          <w:p>
            <w:pPr>
              <w:jc w:val="right"/>
              <w:ind w:right="508"/>
              <w:spacing w:after="0"/>
              <w:rPr>
                <w:sz w:val="20"/>
                <w:szCs w:val="20"/>
                <w:color w:val="auto"/>
              </w:rPr>
            </w:pPr>
            <w:r>
              <w:rPr>
                <w:rFonts w:ascii="Arial" w:cs="Arial" w:eastAsia="Arial" w:hAnsi="Arial"/>
                <w:sz w:val="14"/>
                <w:szCs w:val="14"/>
                <w:b w:val="1"/>
                <w:bCs w:val="1"/>
                <w:color w:val="auto"/>
              </w:rPr>
              <w:t>30, 2018</w:t>
            </w:r>
          </w:p>
        </w:tc>
        <w:tc>
          <w:tcPr>
            <w:tcW w:w="100" w:type="dxa"/>
            <w:vAlign w:val="bottom"/>
          </w:tcPr>
          <w:p>
            <w:pPr>
              <w:spacing w:after="0"/>
              <w:rPr>
                <w:sz w:val="14"/>
                <w:szCs w:val="14"/>
                <w:color w:val="auto"/>
              </w:rPr>
            </w:pPr>
          </w:p>
        </w:tc>
      </w:tr>
      <w:tr>
        <w:trPr>
          <w:trHeight w:val="155"/>
        </w:trPr>
        <w:tc>
          <w:tcPr>
            <w:tcW w:w="762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Investment income:</w:t>
            </w:r>
          </w:p>
        </w:tc>
        <w:tc>
          <w:tcPr>
            <w:tcW w:w="100" w:type="dxa"/>
            <w:vAlign w:val="bottom"/>
            <w:tcBorders>
              <w:top w:val="single" w:sz="8" w:color="auto"/>
            </w:tcBorders>
            <w:shd w:val="clear" w:color="auto" w:fill="CCECFF"/>
          </w:tcPr>
          <w:p>
            <w:pPr>
              <w:spacing w:after="0"/>
              <w:rPr>
                <w:sz w:val="13"/>
                <w:szCs w:val="13"/>
                <w:color w:val="auto"/>
              </w:rPr>
            </w:pPr>
          </w:p>
        </w:tc>
        <w:tc>
          <w:tcPr>
            <w:tcW w:w="1500" w:type="dxa"/>
            <w:vAlign w:val="bottom"/>
            <w:tcBorders>
              <w:top w:val="single" w:sz="8" w:color="auto"/>
            </w:tcBorders>
            <w:shd w:val="clear" w:color="auto" w:fill="CCECFF"/>
          </w:tcPr>
          <w:p>
            <w:pPr>
              <w:spacing w:after="0"/>
              <w:rPr>
                <w:sz w:val="13"/>
                <w:szCs w:val="13"/>
                <w:color w:val="auto"/>
              </w:rPr>
            </w:pPr>
          </w:p>
        </w:tc>
        <w:tc>
          <w:tcPr>
            <w:tcW w:w="30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spacing w:after="0"/>
              <w:rPr>
                <w:sz w:val="13"/>
                <w:szCs w:val="13"/>
                <w:color w:val="auto"/>
              </w:rPr>
            </w:pPr>
          </w:p>
        </w:tc>
        <w:tc>
          <w:tcPr>
            <w:tcW w:w="1320" w:type="dxa"/>
            <w:vAlign w:val="bottom"/>
            <w:tcBorders>
              <w:top w:val="single" w:sz="8" w:color="auto"/>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r>
      <w:tr>
        <w:trPr>
          <w:trHeight w:val="162"/>
        </w:trPr>
        <w:tc>
          <w:tcPr>
            <w:tcW w:w="7620" w:type="dxa"/>
            <w:vAlign w:val="bottom"/>
          </w:tcPr>
          <w:p>
            <w:pPr>
              <w:spacing w:after="0"/>
              <w:rPr>
                <w:sz w:val="20"/>
                <w:szCs w:val="20"/>
                <w:color w:val="auto"/>
              </w:rPr>
            </w:pPr>
            <w:r>
              <w:rPr>
                <w:rFonts w:ascii="Arial" w:cs="Arial" w:eastAsia="Arial" w:hAnsi="Arial"/>
                <w:sz w:val="14"/>
                <w:szCs w:val="14"/>
                <w:color w:val="auto"/>
              </w:rPr>
              <w:t>From non-controlled, non-affiliated investments:</w:t>
            </w:r>
          </w:p>
        </w:tc>
        <w:tc>
          <w:tcPr>
            <w:tcW w:w="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76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Interest</w:t>
            </w:r>
          </w:p>
        </w:tc>
        <w:tc>
          <w:tcPr>
            <w:tcW w:w="100" w:type="dxa"/>
            <w:vAlign w:val="bottom"/>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15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5,281,955</w:t>
            </w:r>
          </w:p>
        </w:tc>
        <w:tc>
          <w:tcPr>
            <w:tcW w:w="30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10,379,097</w:t>
            </w:r>
          </w:p>
        </w:tc>
        <w:tc>
          <w:tcPr>
            <w:tcW w:w="100" w:type="dxa"/>
            <w:vAlign w:val="bottom"/>
            <w:shd w:val="clear" w:color="auto" w:fill="CCECFF"/>
          </w:tcPr>
          <w:p>
            <w:pPr>
              <w:spacing w:after="0"/>
              <w:rPr>
                <w:sz w:val="14"/>
                <w:szCs w:val="14"/>
                <w:color w:val="auto"/>
              </w:rPr>
            </w:pPr>
          </w:p>
        </w:tc>
      </w:tr>
      <w:tr>
        <w:trPr>
          <w:trHeight w:val="162"/>
        </w:trPr>
        <w:tc>
          <w:tcPr>
            <w:tcW w:w="7620" w:type="dxa"/>
            <w:vAlign w:val="bottom"/>
            <w:tcBorders>
              <w:bottom w:val="single" w:sz="8" w:color="CCECFF"/>
            </w:tcBorders>
          </w:tcPr>
          <w:p>
            <w:pPr>
              <w:ind w:left="260"/>
              <w:spacing w:after="0"/>
              <w:rPr>
                <w:sz w:val="20"/>
                <w:szCs w:val="20"/>
                <w:color w:val="auto"/>
              </w:rPr>
            </w:pPr>
            <w:r>
              <w:rPr>
                <w:rFonts w:ascii="Arial" w:cs="Arial" w:eastAsia="Arial" w:hAnsi="Arial"/>
                <w:sz w:val="14"/>
                <w:szCs w:val="14"/>
                <w:color w:val="auto"/>
              </w:rPr>
              <w:t>Other income</w:t>
            </w:r>
          </w:p>
        </w:tc>
        <w:tc>
          <w:tcPr>
            <w:tcW w:w="1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6,219</w:t>
            </w:r>
          </w:p>
        </w:tc>
        <w:tc>
          <w:tcPr>
            <w:tcW w:w="300" w:type="dxa"/>
            <w:vAlign w:val="bottom"/>
            <w:tcBorders>
              <w:bottom w:val="single" w:sz="8" w:color="CCEC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18,438</w:t>
            </w:r>
          </w:p>
        </w:tc>
        <w:tc>
          <w:tcPr>
            <w:tcW w:w="100" w:type="dxa"/>
            <w:vAlign w:val="bottom"/>
            <w:tcBorders>
              <w:bottom w:val="single" w:sz="8" w:color="CCECFF"/>
            </w:tcBorders>
          </w:tcPr>
          <w:p>
            <w:pPr>
              <w:spacing w:after="0"/>
              <w:rPr>
                <w:sz w:val="14"/>
                <w:szCs w:val="14"/>
                <w:color w:val="auto"/>
              </w:rPr>
            </w:pPr>
          </w:p>
        </w:tc>
      </w:tr>
      <w:tr>
        <w:trPr>
          <w:trHeight w:val="156"/>
        </w:trPr>
        <w:tc>
          <w:tcPr>
            <w:tcW w:w="7620" w:type="dxa"/>
            <w:vAlign w:val="bottom"/>
            <w:shd w:val="clear" w:color="auto" w:fill="CCECFF"/>
          </w:tcPr>
          <w:p>
            <w:pPr>
              <w:ind w:left="260"/>
              <w:spacing w:after="0" w:line="155" w:lineRule="exact"/>
              <w:rPr>
                <w:sz w:val="20"/>
                <w:szCs w:val="20"/>
                <w:color w:val="auto"/>
              </w:rPr>
            </w:pPr>
            <w:r>
              <w:rPr>
                <w:rFonts w:ascii="Arial" w:cs="Arial" w:eastAsia="Arial" w:hAnsi="Arial"/>
                <w:sz w:val="14"/>
                <w:szCs w:val="14"/>
                <w:b w:val="1"/>
                <w:bCs w:val="1"/>
                <w:color w:val="auto"/>
              </w:rPr>
              <w:t>Total investment income</w:t>
            </w:r>
          </w:p>
        </w:tc>
        <w:tc>
          <w:tcPr>
            <w:tcW w:w="100" w:type="dxa"/>
            <w:vAlign w:val="bottom"/>
            <w:tcBorders>
              <w:bottom w:val="single" w:sz="8" w:color="auto"/>
            </w:tcBorders>
            <w:shd w:val="clear" w:color="auto" w:fill="CCECFF"/>
          </w:tcPr>
          <w:p>
            <w:pPr>
              <w:spacing w:after="0"/>
              <w:rPr>
                <w:sz w:val="13"/>
                <w:szCs w:val="13"/>
                <w:color w:val="auto"/>
              </w:rPr>
            </w:pPr>
          </w:p>
        </w:tc>
        <w:tc>
          <w:tcPr>
            <w:tcW w:w="15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5,288,174</w:t>
            </w:r>
          </w:p>
        </w:tc>
        <w:tc>
          <w:tcPr>
            <w:tcW w:w="300" w:type="dxa"/>
            <w:vAlign w:val="bottom"/>
            <w:shd w:val="clear" w:color="auto" w:fill="CCECFF"/>
          </w:tcPr>
          <w:p>
            <w:pPr>
              <w:spacing w:after="0"/>
              <w:rPr>
                <w:sz w:val="13"/>
                <w:szCs w:val="13"/>
                <w:color w:val="auto"/>
              </w:rPr>
            </w:pPr>
          </w:p>
        </w:tc>
        <w:tc>
          <w:tcPr>
            <w:tcW w:w="300" w:type="dxa"/>
            <w:vAlign w:val="bottom"/>
            <w:tcBorders>
              <w:bottom w:val="single" w:sz="8" w:color="auto"/>
            </w:tcBorders>
            <w:shd w:val="clear" w:color="auto" w:fill="CCECFF"/>
          </w:tcPr>
          <w:p>
            <w:pPr>
              <w:spacing w:after="0"/>
              <w:rPr>
                <w:sz w:val="13"/>
                <w:szCs w:val="13"/>
                <w:color w:val="auto"/>
              </w:rPr>
            </w:pPr>
          </w:p>
        </w:tc>
        <w:tc>
          <w:tcPr>
            <w:tcW w:w="13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10,397,535</w:t>
            </w:r>
          </w:p>
        </w:tc>
        <w:tc>
          <w:tcPr>
            <w:tcW w:w="100" w:type="dxa"/>
            <w:vAlign w:val="bottom"/>
            <w:shd w:val="clear" w:color="auto" w:fill="CCECFF"/>
          </w:tcPr>
          <w:p>
            <w:pPr>
              <w:spacing w:after="0"/>
              <w:rPr>
                <w:sz w:val="13"/>
                <w:szCs w:val="13"/>
                <w:color w:val="auto"/>
              </w:rPr>
            </w:pPr>
          </w:p>
        </w:tc>
      </w:tr>
      <w:tr>
        <w:trPr>
          <w:trHeight w:val="155"/>
        </w:trPr>
        <w:tc>
          <w:tcPr>
            <w:tcW w:w="7620" w:type="dxa"/>
            <w:vAlign w:val="bottom"/>
          </w:tcPr>
          <w:p>
            <w:pPr>
              <w:spacing w:after="0" w:line="155" w:lineRule="exact"/>
              <w:rPr>
                <w:sz w:val="20"/>
                <w:szCs w:val="20"/>
                <w:color w:val="auto"/>
              </w:rPr>
            </w:pPr>
            <w:r>
              <w:rPr>
                <w:rFonts w:ascii="Arial" w:cs="Arial" w:eastAsia="Arial" w:hAnsi="Arial"/>
                <w:sz w:val="14"/>
                <w:szCs w:val="14"/>
                <w:b w:val="1"/>
                <w:bCs w:val="1"/>
                <w:color w:val="auto"/>
              </w:rPr>
              <w:t>Expenses:</w:t>
            </w:r>
          </w:p>
        </w:tc>
        <w:tc>
          <w:tcPr>
            <w:tcW w:w="1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76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Interest and expenses on PSSL Credit Facility</w:t>
            </w:r>
          </w:p>
        </w:tc>
        <w:tc>
          <w:tcPr>
            <w:tcW w:w="100" w:type="dxa"/>
            <w:vAlign w:val="bottom"/>
            <w:shd w:val="clear" w:color="auto" w:fill="CCECFF"/>
          </w:tcPr>
          <w:p>
            <w:pPr>
              <w:spacing w:after="0"/>
              <w:rPr>
                <w:sz w:val="14"/>
                <w:szCs w:val="14"/>
                <w:color w:val="auto"/>
              </w:rPr>
            </w:pPr>
          </w:p>
        </w:tc>
        <w:tc>
          <w:tcPr>
            <w:tcW w:w="15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2,321,809</w:t>
            </w:r>
          </w:p>
        </w:tc>
        <w:tc>
          <w:tcPr>
            <w:tcW w:w="30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3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4,279,645</w:t>
            </w:r>
          </w:p>
        </w:tc>
        <w:tc>
          <w:tcPr>
            <w:tcW w:w="100" w:type="dxa"/>
            <w:vAlign w:val="bottom"/>
            <w:shd w:val="clear" w:color="auto" w:fill="CCECFF"/>
          </w:tcPr>
          <w:p>
            <w:pPr>
              <w:spacing w:after="0"/>
              <w:rPr>
                <w:sz w:val="14"/>
                <w:szCs w:val="14"/>
                <w:color w:val="auto"/>
              </w:rPr>
            </w:pPr>
          </w:p>
        </w:tc>
      </w:tr>
      <w:tr>
        <w:trPr>
          <w:trHeight w:val="162"/>
        </w:trPr>
        <w:tc>
          <w:tcPr>
            <w:tcW w:w="7620" w:type="dxa"/>
            <w:vAlign w:val="bottom"/>
          </w:tcPr>
          <w:p>
            <w:pPr>
              <w:ind w:left="260"/>
              <w:spacing w:after="0"/>
              <w:rPr>
                <w:sz w:val="20"/>
                <w:szCs w:val="20"/>
                <w:color w:val="auto"/>
              </w:rPr>
            </w:pPr>
            <w:r>
              <w:rPr>
                <w:rFonts w:ascii="Arial" w:cs="Arial" w:eastAsia="Arial" w:hAnsi="Arial"/>
                <w:sz w:val="14"/>
                <w:szCs w:val="14"/>
                <w:color w:val="auto"/>
              </w:rPr>
              <w:t>Interest expense on notes to members</w:t>
            </w:r>
          </w:p>
        </w:tc>
        <w:tc>
          <w:tcPr>
            <w:tcW w:w="10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1,772,798</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3,411,498</w:t>
            </w:r>
          </w:p>
        </w:tc>
        <w:tc>
          <w:tcPr>
            <w:tcW w:w="100" w:type="dxa"/>
            <w:vAlign w:val="bottom"/>
          </w:tcPr>
          <w:p>
            <w:pPr>
              <w:spacing w:after="0"/>
              <w:rPr>
                <w:sz w:val="14"/>
                <w:szCs w:val="14"/>
                <w:color w:val="auto"/>
              </w:rPr>
            </w:pPr>
          </w:p>
        </w:tc>
      </w:tr>
      <w:tr>
        <w:trPr>
          <w:trHeight w:val="162"/>
        </w:trPr>
        <w:tc>
          <w:tcPr>
            <w:tcW w:w="76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Administrative services expenses</w:t>
            </w:r>
          </w:p>
        </w:tc>
        <w:tc>
          <w:tcPr>
            <w:tcW w:w="100" w:type="dxa"/>
            <w:vAlign w:val="bottom"/>
            <w:shd w:val="clear" w:color="auto" w:fill="CCECFF"/>
          </w:tcPr>
          <w:p>
            <w:pPr>
              <w:spacing w:after="0"/>
              <w:rPr>
                <w:sz w:val="14"/>
                <w:szCs w:val="14"/>
                <w:color w:val="auto"/>
              </w:rPr>
            </w:pPr>
          </w:p>
        </w:tc>
        <w:tc>
          <w:tcPr>
            <w:tcW w:w="15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250,000</w:t>
            </w:r>
          </w:p>
        </w:tc>
        <w:tc>
          <w:tcPr>
            <w:tcW w:w="30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3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400,000</w:t>
            </w:r>
          </w:p>
        </w:tc>
        <w:tc>
          <w:tcPr>
            <w:tcW w:w="100" w:type="dxa"/>
            <w:vAlign w:val="bottom"/>
            <w:shd w:val="clear" w:color="auto" w:fill="CCECFF"/>
          </w:tcPr>
          <w:p>
            <w:pPr>
              <w:spacing w:after="0"/>
              <w:rPr>
                <w:sz w:val="14"/>
                <w:szCs w:val="14"/>
                <w:color w:val="auto"/>
              </w:rPr>
            </w:pPr>
          </w:p>
        </w:tc>
      </w:tr>
      <w:tr>
        <w:trPr>
          <w:trHeight w:val="162"/>
        </w:trPr>
        <w:tc>
          <w:tcPr>
            <w:tcW w:w="7620" w:type="dxa"/>
            <w:vAlign w:val="bottom"/>
            <w:tcBorders>
              <w:bottom w:val="single" w:sz="8" w:color="CCECFF"/>
            </w:tcBorders>
          </w:tcPr>
          <w:p>
            <w:pPr>
              <w:ind w:left="260"/>
              <w:spacing w:after="0"/>
              <w:rPr>
                <w:sz w:val="20"/>
                <w:szCs w:val="20"/>
                <w:color w:val="auto"/>
              </w:rPr>
            </w:pPr>
            <w:r>
              <w:rPr>
                <w:rFonts w:ascii="Arial" w:cs="Arial" w:eastAsia="Arial" w:hAnsi="Arial"/>
                <w:sz w:val="14"/>
                <w:szCs w:val="14"/>
                <w:color w:val="auto"/>
              </w:rPr>
              <w:t xml:space="preserve">Other general and administrative expenses </w:t>
            </w:r>
            <w:r>
              <w:rPr>
                <w:rFonts w:ascii="Arial" w:cs="Arial" w:eastAsia="Arial" w:hAnsi="Arial"/>
                <w:sz w:val="12"/>
                <w:szCs w:val="12"/>
                <w:color w:val="auto"/>
              </w:rPr>
              <w:t>(1)</w:t>
            </w:r>
          </w:p>
        </w:tc>
        <w:tc>
          <w:tcPr>
            <w:tcW w:w="1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113,650</w:t>
            </w:r>
          </w:p>
        </w:tc>
        <w:tc>
          <w:tcPr>
            <w:tcW w:w="300" w:type="dxa"/>
            <w:vAlign w:val="bottom"/>
            <w:tcBorders>
              <w:bottom w:val="single" w:sz="8" w:color="CCEC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579,086</w:t>
            </w:r>
          </w:p>
        </w:tc>
        <w:tc>
          <w:tcPr>
            <w:tcW w:w="100" w:type="dxa"/>
            <w:vAlign w:val="bottom"/>
            <w:tcBorders>
              <w:bottom w:val="single" w:sz="8" w:color="CCECFF"/>
            </w:tcBorders>
          </w:tcPr>
          <w:p>
            <w:pPr>
              <w:spacing w:after="0"/>
              <w:rPr>
                <w:sz w:val="14"/>
                <w:szCs w:val="14"/>
                <w:color w:val="auto"/>
              </w:rPr>
            </w:pPr>
          </w:p>
        </w:tc>
      </w:tr>
      <w:tr>
        <w:trPr>
          <w:trHeight w:val="155"/>
        </w:trPr>
        <w:tc>
          <w:tcPr>
            <w:tcW w:w="7620" w:type="dxa"/>
            <w:vAlign w:val="bottom"/>
            <w:shd w:val="clear" w:color="auto" w:fill="CCECFF"/>
          </w:tcPr>
          <w:p>
            <w:pPr>
              <w:ind w:left="260"/>
              <w:spacing w:after="0" w:line="155" w:lineRule="exact"/>
              <w:rPr>
                <w:sz w:val="20"/>
                <w:szCs w:val="20"/>
                <w:color w:val="auto"/>
              </w:rPr>
            </w:pPr>
            <w:r>
              <w:rPr>
                <w:rFonts w:ascii="Arial" w:cs="Arial" w:eastAsia="Arial" w:hAnsi="Arial"/>
                <w:sz w:val="14"/>
                <w:szCs w:val="14"/>
                <w:b w:val="1"/>
                <w:bCs w:val="1"/>
                <w:color w:val="auto"/>
              </w:rPr>
              <w:t>Total expenses</w:t>
            </w:r>
          </w:p>
        </w:tc>
        <w:tc>
          <w:tcPr>
            <w:tcW w:w="100" w:type="dxa"/>
            <w:vAlign w:val="bottom"/>
            <w:tcBorders>
              <w:bottom w:val="single" w:sz="8" w:color="auto"/>
            </w:tcBorders>
            <w:shd w:val="clear" w:color="auto" w:fill="CCECFF"/>
          </w:tcPr>
          <w:p>
            <w:pPr>
              <w:spacing w:after="0"/>
              <w:rPr>
                <w:sz w:val="13"/>
                <w:szCs w:val="13"/>
                <w:color w:val="auto"/>
              </w:rPr>
            </w:pPr>
          </w:p>
        </w:tc>
        <w:tc>
          <w:tcPr>
            <w:tcW w:w="15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4,458,257</w:t>
            </w:r>
          </w:p>
        </w:tc>
        <w:tc>
          <w:tcPr>
            <w:tcW w:w="300" w:type="dxa"/>
            <w:vAlign w:val="bottom"/>
            <w:shd w:val="clear" w:color="auto" w:fill="CCECFF"/>
          </w:tcPr>
          <w:p>
            <w:pPr>
              <w:spacing w:after="0"/>
              <w:rPr>
                <w:sz w:val="13"/>
                <w:szCs w:val="13"/>
                <w:color w:val="auto"/>
              </w:rPr>
            </w:pPr>
          </w:p>
        </w:tc>
        <w:tc>
          <w:tcPr>
            <w:tcW w:w="300" w:type="dxa"/>
            <w:vAlign w:val="bottom"/>
            <w:tcBorders>
              <w:bottom w:val="single" w:sz="8" w:color="auto"/>
            </w:tcBorders>
            <w:shd w:val="clear" w:color="auto" w:fill="CCECFF"/>
          </w:tcPr>
          <w:p>
            <w:pPr>
              <w:spacing w:after="0"/>
              <w:rPr>
                <w:sz w:val="13"/>
                <w:szCs w:val="13"/>
                <w:color w:val="auto"/>
              </w:rPr>
            </w:pPr>
          </w:p>
        </w:tc>
        <w:tc>
          <w:tcPr>
            <w:tcW w:w="13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8,670,229</w:t>
            </w:r>
          </w:p>
        </w:tc>
        <w:tc>
          <w:tcPr>
            <w:tcW w:w="100" w:type="dxa"/>
            <w:vAlign w:val="bottom"/>
            <w:shd w:val="clear" w:color="auto" w:fill="CCECFF"/>
          </w:tcPr>
          <w:p>
            <w:pPr>
              <w:spacing w:after="0"/>
              <w:rPr>
                <w:sz w:val="13"/>
                <w:szCs w:val="13"/>
                <w:color w:val="auto"/>
              </w:rPr>
            </w:pPr>
          </w:p>
        </w:tc>
      </w:tr>
      <w:tr>
        <w:trPr>
          <w:trHeight w:val="155"/>
        </w:trPr>
        <w:tc>
          <w:tcPr>
            <w:tcW w:w="762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Net investment income</w:t>
            </w:r>
          </w:p>
        </w:tc>
        <w:tc>
          <w:tcPr>
            <w:tcW w:w="10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829,917</w:t>
            </w:r>
          </w:p>
        </w:tc>
        <w:tc>
          <w:tcPr>
            <w:tcW w:w="300" w:type="dxa"/>
            <w:vAlign w:val="bottom"/>
            <w:tcBorders>
              <w:bottom w:val="single" w:sz="8" w:color="CCEC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1,727,306</w:t>
            </w:r>
          </w:p>
        </w:tc>
        <w:tc>
          <w:tcPr>
            <w:tcW w:w="100" w:type="dxa"/>
            <w:vAlign w:val="bottom"/>
            <w:tcBorders>
              <w:bottom w:val="single" w:sz="8" w:color="CCECFF"/>
            </w:tcBorders>
          </w:tcPr>
          <w:p>
            <w:pPr>
              <w:spacing w:after="0"/>
              <w:rPr>
                <w:sz w:val="13"/>
                <w:szCs w:val="13"/>
                <w:color w:val="auto"/>
              </w:rPr>
            </w:pPr>
          </w:p>
        </w:tc>
      </w:tr>
      <w:tr>
        <w:trPr>
          <w:trHeight w:val="155"/>
        </w:trPr>
        <w:tc>
          <w:tcPr>
            <w:tcW w:w="762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Realized and unrealized gain on investments and credit facility foreign currency translations</w:t>
            </w:r>
          </w:p>
        </w:tc>
        <w:tc>
          <w:tcPr>
            <w:tcW w:w="100" w:type="dxa"/>
            <w:vAlign w:val="bottom"/>
            <w:shd w:val="clear" w:color="auto" w:fill="CCECFF"/>
          </w:tcPr>
          <w:p>
            <w:pPr>
              <w:spacing w:after="0"/>
              <w:rPr>
                <w:sz w:val="13"/>
                <w:szCs w:val="13"/>
                <w:color w:val="auto"/>
              </w:rPr>
            </w:pPr>
          </w:p>
        </w:tc>
        <w:tc>
          <w:tcPr>
            <w:tcW w:w="150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13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r>
      <w:tr>
        <w:trPr>
          <w:trHeight w:val="162"/>
        </w:trPr>
        <w:tc>
          <w:tcPr>
            <w:tcW w:w="7620" w:type="dxa"/>
            <w:vAlign w:val="bottom"/>
          </w:tcPr>
          <w:p>
            <w:pPr>
              <w:spacing w:after="0"/>
              <w:rPr>
                <w:sz w:val="20"/>
                <w:szCs w:val="20"/>
                <w:color w:val="auto"/>
              </w:rPr>
            </w:pPr>
            <w:r>
              <w:rPr>
                <w:rFonts w:ascii="Arial" w:cs="Arial" w:eastAsia="Arial" w:hAnsi="Arial"/>
                <w:sz w:val="14"/>
                <w:szCs w:val="14"/>
                <w:color w:val="auto"/>
              </w:rPr>
              <w:t>Net realized gain on investments</w:t>
            </w:r>
          </w:p>
        </w:tc>
        <w:tc>
          <w:tcPr>
            <w:tcW w:w="10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63,395</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79,341</w:t>
            </w:r>
          </w:p>
        </w:tc>
        <w:tc>
          <w:tcPr>
            <w:tcW w:w="100" w:type="dxa"/>
            <w:vAlign w:val="bottom"/>
          </w:tcPr>
          <w:p>
            <w:pPr>
              <w:spacing w:after="0"/>
              <w:rPr>
                <w:sz w:val="14"/>
                <w:szCs w:val="14"/>
                <w:color w:val="auto"/>
              </w:rPr>
            </w:pPr>
          </w:p>
        </w:tc>
      </w:tr>
      <w:tr>
        <w:trPr>
          <w:trHeight w:val="162"/>
        </w:trPr>
        <w:tc>
          <w:tcPr>
            <w:tcW w:w="7620" w:type="dxa"/>
            <w:vAlign w:val="bottom"/>
            <w:shd w:val="clear" w:color="auto" w:fill="CCECFF"/>
          </w:tcPr>
          <w:p>
            <w:pPr>
              <w:spacing w:after="0"/>
              <w:rPr>
                <w:sz w:val="20"/>
                <w:szCs w:val="20"/>
                <w:color w:val="auto"/>
              </w:rPr>
            </w:pPr>
            <w:r>
              <w:rPr>
                <w:rFonts w:ascii="Arial" w:cs="Arial" w:eastAsia="Arial" w:hAnsi="Arial"/>
                <w:sz w:val="14"/>
                <w:szCs w:val="14"/>
                <w:color w:val="auto"/>
              </w:rPr>
              <w:t>Net change in unrealized (depreciation) appreciation on:</w:t>
            </w:r>
          </w:p>
        </w:tc>
        <w:tc>
          <w:tcPr>
            <w:tcW w:w="100" w:type="dxa"/>
            <w:vAlign w:val="bottom"/>
            <w:shd w:val="clear" w:color="auto" w:fill="CCECFF"/>
          </w:tcPr>
          <w:p>
            <w:pPr>
              <w:spacing w:after="0"/>
              <w:rPr>
                <w:sz w:val="14"/>
                <w:szCs w:val="14"/>
                <w:color w:val="auto"/>
              </w:rPr>
            </w:pPr>
          </w:p>
        </w:tc>
        <w:tc>
          <w:tcPr>
            <w:tcW w:w="150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3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r>
      <w:tr>
        <w:trPr>
          <w:trHeight w:val="162"/>
        </w:trPr>
        <w:tc>
          <w:tcPr>
            <w:tcW w:w="7620" w:type="dxa"/>
            <w:vAlign w:val="bottom"/>
          </w:tcPr>
          <w:p>
            <w:pPr>
              <w:ind w:left="260"/>
              <w:spacing w:after="0"/>
              <w:rPr>
                <w:sz w:val="20"/>
                <w:szCs w:val="20"/>
                <w:color w:val="auto"/>
              </w:rPr>
            </w:pPr>
            <w:r>
              <w:rPr>
                <w:rFonts w:ascii="Arial" w:cs="Arial" w:eastAsia="Arial" w:hAnsi="Arial"/>
                <w:sz w:val="14"/>
                <w:szCs w:val="14"/>
                <w:color w:val="auto"/>
              </w:rPr>
              <w:t>Non-controlled, non-affiliated investments</w:t>
            </w:r>
          </w:p>
        </w:tc>
        <w:tc>
          <w:tcPr>
            <w:tcW w:w="100" w:type="dxa"/>
            <w:vAlign w:val="bottom"/>
          </w:tcPr>
          <w:p>
            <w:pPr>
              <w:spacing w:after="0"/>
              <w:rPr>
                <w:sz w:val="14"/>
                <w:szCs w:val="14"/>
                <w:color w:val="auto"/>
              </w:rPr>
            </w:pPr>
          </w:p>
        </w:tc>
        <w:tc>
          <w:tcPr>
            <w:tcW w:w="1800" w:type="dxa"/>
            <w:vAlign w:val="bottom"/>
            <w:gridSpan w:val="2"/>
          </w:tcPr>
          <w:p>
            <w:pPr>
              <w:jc w:val="right"/>
              <w:ind w:right="240"/>
              <w:spacing w:after="0"/>
              <w:rPr>
                <w:sz w:val="20"/>
                <w:szCs w:val="20"/>
                <w:color w:val="auto"/>
              </w:rPr>
            </w:pPr>
            <w:r>
              <w:rPr>
                <w:rFonts w:ascii="Arial" w:cs="Arial" w:eastAsia="Arial" w:hAnsi="Arial"/>
                <w:sz w:val="14"/>
                <w:szCs w:val="14"/>
                <w:color w:val="auto"/>
              </w:rPr>
              <w:t>(1,072,357)</w:t>
            </w:r>
          </w:p>
        </w:tc>
        <w:tc>
          <w:tcPr>
            <w:tcW w:w="300" w:type="dxa"/>
            <w:vAlign w:val="bottom"/>
          </w:tcPr>
          <w:p>
            <w:pPr>
              <w:spacing w:after="0"/>
              <w:rPr>
                <w:sz w:val="14"/>
                <w:szCs w:val="14"/>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4"/>
                <w:szCs w:val="14"/>
                <w:color w:val="auto"/>
              </w:rPr>
              <w:t>(72,655)</w:t>
            </w:r>
          </w:p>
        </w:tc>
      </w:tr>
      <w:tr>
        <w:trPr>
          <w:trHeight w:val="162"/>
        </w:trPr>
        <w:tc>
          <w:tcPr>
            <w:tcW w:w="76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Credit facility foreign currency translations</w:t>
            </w:r>
          </w:p>
        </w:tc>
        <w:tc>
          <w:tcPr>
            <w:tcW w:w="100" w:type="dxa"/>
            <w:vAlign w:val="bottom"/>
            <w:tcBorders>
              <w:bottom w:val="single" w:sz="8" w:color="auto"/>
            </w:tcBorders>
            <w:shd w:val="clear" w:color="auto" w:fill="CCECFF"/>
          </w:tcPr>
          <w:p>
            <w:pPr>
              <w:spacing w:after="0"/>
              <w:rPr>
                <w:sz w:val="14"/>
                <w:szCs w:val="14"/>
                <w:color w:val="auto"/>
              </w:rPr>
            </w:pPr>
          </w:p>
        </w:tc>
        <w:tc>
          <w:tcPr>
            <w:tcW w:w="15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1,187,765</w:t>
            </w:r>
          </w:p>
        </w:tc>
        <w:tc>
          <w:tcPr>
            <w:tcW w:w="300" w:type="dxa"/>
            <w:vAlign w:val="bottom"/>
            <w:shd w:val="clear" w:color="auto" w:fill="CCECFF"/>
          </w:tcPr>
          <w:p>
            <w:pPr>
              <w:spacing w:after="0"/>
              <w:rPr>
                <w:sz w:val="14"/>
                <w:szCs w:val="14"/>
                <w:color w:val="auto"/>
              </w:rPr>
            </w:pPr>
          </w:p>
        </w:tc>
        <w:tc>
          <w:tcPr>
            <w:tcW w:w="300" w:type="dxa"/>
            <w:vAlign w:val="bottom"/>
            <w:tcBorders>
              <w:bottom w:val="single" w:sz="8" w:color="auto"/>
            </w:tcBorders>
            <w:shd w:val="clear" w:color="auto" w:fill="CCECFF"/>
          </w:tcPr>
          <w:p>
            <w:pPr>
              <w:spacing w:after="0"/>
              <w:rPr>
                <w:sz w:val="14"/>
                <w:szCs w:val="14"/>
                <w:color w:val="auto"/>
              </w:rPr>
            </w:pPr>
          </w:p>
        </w:tc>
        <w:tc>
          <w:tcPr>
            <w:tcW w:w="13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936,097</w:t>
            </w:r>
          </w:p>
        </w:tc>
        <w:tc>
          <w:tcPr>
            <w:tcW w:w="100" w:type="dxa"/>
            <w:vAlign w:val="bottom"/>
            <w:shd w:val="clear" w:color="auto" w:fill="CCECFF"/>
          </w:tcPr>
          <w:p>
            <w:pPr>
              <w:spacing w:after="0"/>
              <w:rPr>
                <w:sz w:val="14"/>
                <w:szCs w:val="14"/>
                <w:color w:val="auto"/>
              </w:rPr>
            </w:pPr>
          </w:p>
        </w:tc>
      </w:tr>
      <w:tr>
        <w:trPr>
          <w:trHeight w:val="156"/>
        </w:trPr>
        <w:tc>
          <w:tcPr>
            <w:tcW w:w="762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w w:val="95"/>
              </w:rPr>
              <w:t>Net change in unrealized (depreciation) appreciation on investments and credit facility foreign currency translations</w:t>
            </w:r>
          </w:p>
        </w:tc>
        <w:tc>
          <w:tcPr>
            <w:tcW w:w="10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115,408</w:t>
            </w:r>
          </w:p>
        </w:tc>
        <w:tc>
          <w:tcPr>
            <w:tcW w:w="300" w:type="dxa"/>
            <w:vAlign w:val="bottom"/>
            <w:tcBorders>
              <w:bottom w:val="single" w:sz="8" w:color="CCEC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863,442</w:t>
            </w:r>
          </w:p>
        </w:tc>
        <w:tc>
          <w:tcPr>
            <w:tcW w:w="100" w:type="dxa"/>
            <w:vAlign w:val="bottom"/>
            <w:tcBorders>
              <w:bottom w:val="single" w:sz="8" w:color="CCECFF"/>
            </w:tcBorders>
          </w:tcPr>
          <w:p>
            <w:pPr>
              <w:spacing w:after="0"/>
              <w:rPr>
                <w:sz w:val="13"/>
                <w:szCs w:val="13"/>
                <w:color w:val="auto"/>
              </w:rPr>
            </w:pPr>
          </w:p>
        </w:tc>
      </w:tr>
      <w:tr>
        <w:trPr>
          <w:trHeight w:val="155"/>
        </w:trPr>
        <w:tc>
          <w:tcPr>
            <w:tcW w:w="762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Net realized and unrealized gain from investments and credit facility foreign currency translations</w:t>
            </w:r>
          </w:p>
        </w:tc>
        <w:tc>
          <w:tcPr>
            <w:tcW w:w="100" w:type="dxa"/>
            <w:vAlign w:val="bottom"/>
            <w:tcBorders>
              <w:bottom w:val="single" w:sz="8" w:color="auto"/>
            </w:tcBorders>
            <w:shd w:val="clear" w:color="auto" w:fill="CCECFF"/>
          </w:tcPr>
          <w:p>
            <w:pPr>
              <w:spacing w:after="0"/>
              <w:rPr>
                <w:sz w:val="13"/>
                <w:szCs w:val="13"/>
                <w:color w:val="auto"/>
              </w:rPr>
            </w:pPr>
          </w:p>
        </w:tc>
        <w:tc>
          <w:tcPr>
            <w:tcW w:w="15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178,803</w:t>
            </w:r>
          </w:p>
        </w:tc>
        <w:tc>
          <w:tcPr>
            <w:tcW w:w="300" w:type="dxa"/>
            <w:vAlign w:val="bottom"/>
            <w:shd w:val="clear" w:color="auto" w:fill="CCECFF"/>
          </w:tcPr>
          <w:p>
            <w:pPr>
              <w:spacing w:after="0"/>
              <w:rPr>
                <w:sz w:val="13"/>
                <w:szCs w:val="13"/>
                <w:color w:val="auto"/>
              </w:rPr>
            </w:pPr>
          </w:p>
        </w:tc>
        <w:tc>
          <w:tcPr>
            <w:tcW w:w="300" w:type="dxa"/>
            <w:vAlign w:val="bottom"/>
            <w:tcBorders>
              <w:bottom w:val="single" w:sz="8" w:color="auto"/>
            </w:tcBorders>
            <w:shd w:val="clear" w:color="auto" w:fill="CCECFF"/>
          </w:tcPr>
          <w:p>
            <w:pPr>
              <w:spacing w:after="0"/>
              <w:rPr>
                <w:sz w:val="13"/>
                <w:szCs w:val="13"/>
                <w:color w:val="auto"/>
              </w:rPr>
            </w:pPr>
          </w:p>
        </w:tc>
        <w:tc>
          <w:tcPr>
            <w:tcW w:w="13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942,783</w:t>
            </w:r>
          </w:p>
        </w:tc>
        <w:tc>
          <w:tcPr>
            <w:tcW w:w="100" w:type="dxa"/>
            <w:vAlign w:val="bottom"/>
            <w:shd w:val="clear" w:color="auto" w:fill="CCECFF"/>
          </w:tcPr>
          <w:p>
            <w:pPr>
              <w:spacing w:after="0"/>
              <w:rPr>
                <w:sz w:val="13"/>
                <w:szCs w:val="13"/>
                <w:color w:val="auto"/>
              </w:rPr>
            </w:pPr>
          </w:p>
        </w:tc>
      </w:tr>
      <w:tr>
        <w:trPr>
          <w:trHeight w:val="155"/>
        </w:trPr>
        <w:tc>
          <w:tcPr>
            <w:tcW w:w="7620" w:type="dxa"/>
            <w:vAlign w:val="bottom"/>
          </w:tcPr>
          <w:p>
            <w:pPr>
              <w:spacing w:after="0" w:line="155" w:lineRule="exact"/>
              <w:rPr>
                <w:sz w:val="20"/>
                <w:szCs w:val="20"/>
                <w:color w:val="auto"/>
              </w:rPr>
            </w:pPr>
            <w:r>
              <w:rPr>
                <w:rFonts w:ascii="Arial" w:cs="Arial" w:eastAsia="Arial" w:hAnsi="Arial"/>
                <w:sz w:val="14"/>
                <w:szCs w:val="14"/>
                <w:b w:val="1"/>
                <w:bCs w:val="1"/>
                <w:color w:val="auto"/>
              </w:rPr>
              <w:t>Net increase in members' equity resulting from operations</w:t>
            </w:r>
          </w:p>
        </w:tc>
        <w:tc>
          <w:tcPr>
            <w:tcW w:w="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1,008,720</w:t>
            </w:r>
          </w:p>
        </w:tc>
        <w:tc>
          <w:tcPr>
            <w:tcW w:w="300" w:type="dxa"/>
            <w:vAlign w:val="bottom"/>
          </w:tcPr>
          <w:p>
            <w:pPr>
              <w:spacing w:after="0"/>
              <w:rPr>
                <w:sz w:val="13"/>
                <w:szCs w:val="13"/>
                <w:color w:val="auto"/>
              </w:rPr>
            </w:pPr>
          </w:p>
        </w:tc>
        <w:tc>
          <w:tcPr>
            <w:tcW w:w="3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2,670,089</w:t>
            </w:r>
          </w:p>
        </w:tc>
        <w:tc>
          <w:tcPr>
            <w:tcW w:w="100" w:type="dxa"/>
            <w:vAlign w:val="bottom"/>
          </w:tcPr>
          <w:p>
            <w:pPr>
              <w:spacing w:after="0"/>
              <w:rPr>
                <w:sz w:val="13"/>
                <w:szCs w:val="13"/>
                <w:color w:val="auto"/>
              </w:rPr>
            </w:pPr>
          </w:p>
        </w:tc>
      </w:tr>
      <w:tr>
        <w:trPr>
          <w:trHeight w:val="20"/>
        </w:trPr>
        <w:tc>
          <w:tcPr>
            <w:tcW w:w="7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3" w:lineRule="exact"/>
        <w:rPr>
          <w:sz w:val="20"/>
          <w:szCs w:val="20"/>
          <w:color w:val="auto"/>
        </w:rPr>
      </w:pPr>
    </w:p>
    <w:p>
      <w:pPr>
        <w:ind w:left="380" w:hanging="372"/>
        <w:spacing w:after="0"/>
        <w:tabs>
          <w:tab w:leader="none" w:pos="380" w:val="left"/>
        </w:tabs>
        <w:numPr>
          <w:ilvl w:val="0"/>
          <w:numId w:val="12"/>
        </w:numPr>
        <w:rPr>
          <w:rFonts w:ascii="Arial" w:cs="Arial" w:eastAsia="Arial" w:hAnsi="Arial"/>
          <w:sz w:val="12"/>
          <w:szCs w:val="12"/>
          <w:color w:val="auto"/>
        </w:rPr>
      </w:pPr>
      <w:r>
        <w:rPr>
          <w:rFonts w:ascii="Arial" w:cs="Arial" w:eastAsia="Arial" w:hAnsi="Arial"/>
          <w:sz w:val="14"/>
          <w:szCs w:val="14"/>
          <w:color w:val="auto"/>
        </w:rPr>
        <w:t>Currently, no management or incentive fees are payable by PSSL. If any fees were to be charged, they would be separately disclosed in the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186880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868805" cy="8890"/>
                    </a:xfrm>
                    <a:prstGeom prst="rect">
                      <a:avLst/>
                    </a:prstGeom>
                    <a:noFill/>
                  </pic:spPr>
                </pic:pic>
              </a:graphicData>
            </a:graphic>
          </wp:anchor>
        </w:drawing>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 FAIR VALUE OF FINANCIAL INSTRUMENTS</w:t>
      </w:r>
    </w:p>
    <w:p>
      <w:pPr>
        <w:spacing w:after="0" w:line="140" w:lineRule="exact"/>
        <w:rPr>
          <w:sz w:val="20"/>
          <w:szCs w:val="20"/>
          <w:color w:val="auto"/>
        </w:rPr>
      </w:pPr>
    </w:p>
    <w:p>
      <w:pPr>
        <w:ind w:right="60" w:firstLine="438"/>
        <w:spacing w:after="0" w:line="238" w:lineRule="auto"/>
        <w:rPr>
          <w:sz w:val="20"/>
          <w:szCs w:val="20"/>
          <w:color w:val="auto"/>
        </w:rPr>
      </w:pPr>
      <w:r>
        <w:rPr>
          <w:rFonts w:ascii="Arial" w:cs="Arial" w:eastAsia="Arial" w:hAnsi="Arial"/>
          <w:sz w:val="14"/>
          <w:szCs w:val="14"/>
          <w:color w:val="auto"/>
        </w:rPr>
        <w:t>Fair value, as defined under ASC Topic 820, Fair Value Measurement, or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ind w:right="-19"/>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19"/>
        <w:spacing w:after="0" w:line="221" w:lineRule="auto"/>
        <w:rPr>
          <w:sz w:val="20"/>
          <w:szCs w:val="20"/>
          <w:color w:val="auto"/>
        </w:rPr>
      </w:pPr>
      <w:r>
        <w:rPr>
          <w:rFonts w:ascii="Arial" w:cs="Arial" w:eastAsia="Arial" w:hAnsi="Arial"/>
          <w:sz w:val="14"/>
          <w:szCs w:val="14"/>
          <w:b w:val="1"/>
          <w:bCs w:val="1"/>
          <w:color w:val="auto"/>
        </w:rPr>
        <w:t>JUNE 30, 2018</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right="80"/>
        <w:spacing w:after="0" w:line="238" w:lineRule="auto"/>
        <w:rPr>
          <w:sz w:val="20"/>
          <w:szCs w:val="20"/>
          <w:color w:val="auto"/>
        </w:rPr>
      </w:pPr>
      <w:r>
        <w:rPr>
          <w:rFonts w:ascii="Arial" w:cs="Arial" w:eastAsia="Arial" w:hAnsi="Arial"/>
          <w:sz w:val="14"/>
          <w:szCs w:val="14"/>
          <w:color w:val="auto"/>
        </w:rPr>
        <w:t>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136" w:lineRule="exact"/>
        <w:rPr>
          <w:sz w:val="20"/>
          <w:szCs w:val="20"/>
          <w:color w:val="auto"/>
        </w:rPr>
      </w:pPr>
    </w:p>
    <w:p>
      <w:pPr>
        <w:ind w:left="640"/>
        <w:spacing w:after="0"/>
        <w:tabs>
          <w:tab w:leader="none" w:pos="144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136" w:lineRule="exact"/>
        <w:rPr>
          <w:sz w:val="20"/>
          <w:szCs w:val="20"/>
          <w:color w:val="auto"/>
        </w:rPr>
      </w:pPr>
    </w:p>
    <w:p>
      <w:pPr>
        <w:ind w:left="1460" w:right="200" w:hanging="809"/>
        <w:spacing w:after="0" w:line="290" w:lineRule="auto"/>
        <w:tabs>
          <w:tab w:leader="none" w:pos="1440" w:val="left"/>
        </w:tabs>
        <w:rPr>
          <w:sz w:val="20"/>
          <w:szCs w:val="20"/>
          <w:color w:val="auto"/>
        </w:rPr>
      </w:pPr>
      <w:r>
        <w:rPr>
          <w:rFonts w:ascii="Arial" w:cs="Arial" w:eastAsia="Arial" w:hAnsi="Arial"/>
          <w:sz w:val="14"/>
          <w:szCs w:val="14"/>
          <w:color w:val="auto"/>
        </w:rPr>
        <w:t>Level 2:</w:t>
      </w:r>
      <w:r>
        <w:rPr>
          <w:sz w:val="20"/>
          <w:szCs w:val="20"/>
          <w:color w:val="auto"/>
        </w:rPr>
        <w:tab/>
      </w:r>
      <w:r>
        <w:rPr>
          <w:rFonts w:ascii="Arial" w:cs="Arial" w:eastAsia="Arial" w:hAnsi="Arial"/>
          <w:sz w:val="13"/>
          <w:szCs w:val="13"/>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84" w:lineRule="exact"/>
        <w:rPr>
          <w:sz w:val="20"/>
          <w:szCs w:val="20"/>
          <w:color w:val="auto"/>
        </w:rPr>
      </w:pPr>
    </w:p>
    <w:p>
      <w:pPr>
        <w:ind w:left="640"/>
        <w:spacing w:after="0"/>
        <w:tabs>
          <w:tab w:leader="none" w:pos="1440" w:val="left"/>
        </w:tabs>
        <w:rPr>
          <w:sz w:val="20"/>
          <w:szCs w:val="20"/>
          <w:color w:val="auto"/>
        </w:rPr>
      </w:pPr>
      <w:r>
        <w:rPr>
          <w:rFonts w:ascii="Arial" w:cs="Arial" w:eastAsia="Arial" w:hAnsi="Arial"/>
          <w:sz w:val="14"/>
          <w:szCs w:val="14"/>
          <w:color w:val="auto"/>
        </w:rPr>
        <w:t>Level 3:</w:t>
      </w:r>
      <w:r>
        <w:rPr>
          <w:sz w:val="20"/>
          <w:szCs w:val="20"/>
          <w:color w:val="auto"/>
        </w:rPr>
        <w:tab/>
      </w:r>
      <w:r>
        <w:rPr>
          <w:rFonts w:ascii="Arial" w:cs="Arial" w:eastAsia="Arial" w:hAnsi="Arial"/>
          <w:sz w:val="12"/>
          <w:szCs w:val="12"/>
          <w:color w:val="auto"/>
        </w:rPr>
        <w:t>Inputs that are unobservable for an asset or liability because they are based on our own assumptions about how market participants would price the asset or liability.</w:t>
      </w:r>
    </w:p>
    <w:p>
      <w:pPr>
        <w:spacing w:after="0" w:line="136" w:lineRule="exact"/>
        <w:rPr>
          <w:sz w:val="20"/>
          <w:szCs w:val="20"/>
          <w:color w:val="auto"/>
        </w:rPr>
      </w:pPr>
    </w:p>
    <w:p>
      <w:pPr>
        <w:ind w:right="260" w:firstLine="434"/>
        <w:spacing w:after="0" w:line="238" w:lineRule="auto"/>
        <w:rPr>
          <w:sz w:val="20"/>
          <w:szCs w:val="20"/>
          <w:color w:val="auto"/>
        </w:rPr>
      </w:pPr>
      <w:r>
        <w:rPr>
          <w:rFonts w:ascii="Arial" w:cs="Arial" w:eastAsia="Arial" w:hAnsi="Arial"/>
          <w:sz w:val="14"/>
          <w:szCs w:val="14"/>
          <w:color w:val="auto"/>
        </w:rPr>
        <w:t>A financial instrument’s categorization within the valuation hierarchy is based upon the lowest level of input that is significant to the fair value measurement. Generally, most of our investments and our Credit Facility are classified as Level 3. Our 2023 Notes are classified as Level 1.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15" w:lineRule="exact"/>
        <w:rPr>
          <w:sz w:val="20"/>
          <w:szCs w:val="20"/>
          <w:color w:val="auto"/>
        </w:rPr>
      </w:pPr>
    </w:p>
    <w:p>
      <w:pPr>
        <w:ind w:firstLine="438"/>
        <w:spacing w:after="0" w:line="231" w:lineRule="auto"/>
        <w:rPr>
          <w:sz w:val="20"/>
          <w:szCs w:val="20"/>
          <w:color w:val="auto"/>
        </w:rPr>
      </w:pPr>
      <w:r>
        <w:rPr>
          <w:rFonts w:ascii="Arial" w:cs="Arial" w:eastAsia="Arial" w:hAnsi="Arial"/>
          <w:sz w:val="14"/>
          <w:szCs w:val="14"/>
          <w:color w:val="auto"/>
        </w:rPr>
        <w:t>The inputs into the determination of fair value may require significant management judgment or estimation. Even if observable market data is available, such information may be the result of consensus pricing information, disorderly transactions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were available. Corroborating evidence that would result in classifying these non-binding broker/dealer bids as a Level 2 asset includes observable orderly market-based transactions for the same or similar assets or other relevant observable market-based inputs that may be used in pricing an asset.</w:t>
      </w:r>
    </w:p>
    <w:p>
      <w:pPr>
        <w:spacing w:after="0" w:line="116" w:lineRule="exact"/>
        <w:rPr>
          <w:sz w:val="20"/>
          <w:szCs w:val="20"/>
          <w:color w:val="auto"/>
        </w:rPr>
      </w:pPr>
    </w:p>
    <w:p>
      <w:pPr>
        <w:jc w:val="both"/>
        <w:ind w:right="60" w:firstLine="438"/>
        <w:spacing w:after="0" w:line="231" w:lineRule="auto"/>
        <w:rPr>
          <w:sz w:val="20"/>
          <w:szCs w:val="20"/>
          <w:color w:val="auto"/>
        </w:rPr>
      </w:pPr>
      <w:r>
        <w:rPr>
          <w:rFonts w:ascii="Arial" w:cs="Arial" w:eastAsia="Arial" w:hAnsi="Arial"/>
          <w:sz w:val="14"/>
          <w:szCs w:val="14"/>
          <w:color w:val="auto"/>
        </w:rPr>
        <w:t>Our investments are generally structured as Floating Rate Loans, mainly first lien secured debt, but also may include second lien secured debt, subordinated debt and equity 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valued using unobservable inputs are included in Level 3 of the fair value hierarchy.</w:t>
      </w:r>
    </w:p>
    <w:p>
      <w:pPr>
        <w:spacing w:after="0" w:line="116" w:lineRule="exact"/>
        <w:rPr>
          <w:sz w:val="20"/>
          <w:szCs w:val="20"/>
          <w:color w:val="auto"/>
        </w:rPr>
      </w:pPr>
    </w:p>
    <w:p>
      <w:pPr>
        <w:ind w:right="340" w:firstLine="425"/>
        <w:spacing w:after="0" w:line="238" w:lineRule="auto"/>
        <w:rPr>
          <w:sz w:val="20"/>
          <w:szCs w:val="20"/>
          <w:color w:val="auto"/>
        </w:rPr>
      </w:pPr>
      <w:r>
        <w:rPr>
          <w:rFonts w:ascii="Arial" w:cs="Arial" w:eastAsia="Arial" w:hAnsi="Arial"/>
          <w:sz w:val="14"/>
          <w:szCs w:val="14"/>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 During both the nine months ended June 30, 2018 and 2017, our ability to observe valuation inputs resulted in no reclassifications.</w:t>
      </w:r>
    </w:p>
    <w:p>
      <w:pPr>
        <w:spacing w:after="0" w:line="115" w:lineRule="exact"/>
        <w:rPr>
          <w:sz w:val="20"/>
          <w:szCs w:val="20"/>
          <w:color w:val="auto"/>
        </w:rPr>
      </w:pPr>
    </w:p>
    <w:p>
      <w:pPr>
        <w:ind w:right="160" w:firstLine="438"/>
        <w:spacing w:after="0" w:line="238" w:lineRule="auto"/>
        <w:rPr>
          <w:sz w:val="20"/>
          <w:szCs w:val="20"/>
          <w:color w:val="auto"/>
        </w:rPr>
      </w:pPr>
      <w:r>
        <w:rPr>
          <w:rFonts w:ascii="Arial" w:cs="Arial" w:eastAsia="Arial" w:hAnsi="Arial"/>
          <w:sz w:val="14"/>
          <w:szCs w:val="14"/>
          <w:color w:val="auto"/>
        </w:rPr>
        <w:t>In addition to using the above inputs in cash equivalents, investments, the 2023 Notes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115" w:lineRule="exact"/>
        <w:rPr>
          <w:sz w:val="20"/>
          <w:szCs w:val="20"/>
          <w:color w:val="auto"/>
        </w:rPr>
      </w:pPr>
    </w:p>
    <w:p>
      <w:pPr>
        <w:ind w:right="140" w:firstLine="438"/>
        <w:spacing w:after="0" w:line="248" w:lineRule="auto"/>
        <w:rPr>
          <w:sz w:val="20"/>
          <w:szCs w:val="20"/>
          <w:color w:val="auto"/>
        </w:rPr>
      </w:pPr>
      <w:r>
        <w:rPr>
          <w:rFonts w:ascii="Arial" w:cs="Arial" w:eastAsia="Arial" w:hAnsi="Arial"/>
          <w:sz w:val="13"/>
          <w:szCs w:val="13"/>
          <w:color w:val="auto"/>
        </w:rPr>
        <w:t>As outlined in the table below, some of our Level 3 investments using a market approach valuation technique are valued using the average of the bids from brokers or dealers. The bids include a disclaimer, may not have corroborating evidence, may be the result of a disorderly transaction and may be the result of consensus pricing.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We have adopted FASB Accounting Standards Update 2015-07, Fair Value Measurement (Topic 820): Disclosures for Investments in Certain Entities that Calculate Net Asset Value per Share (or Its Equivalent), which removes the requirement to categorize within the fair value hierarchy all investments for which fair value is measured using the net asset value per share practical expedient.</w:t>
      </w:r>
    </w:p>
    <w:p>
      <w:pPr>
        <w:spacing w:after="0" w:line="113" w:lineRule="exact"/>
        <w:rPr>
          <w:sz w:val="20"/>
          <w:szCs w:val="20"/>
          <w:color w:val="auto"/>
        </w:rPr>
      </w:pPr>
    </w:p>
    <w:p>
      <w:pPr>
        <w:ind w:right="20" w:firstLine="438"/>
        <w:spacing w:after="0" w:line="244" w:lineRule="auto"/>
        <w:rPr>
          <w:sz w:val="20"/>
          <w:szCs w:val="20"/>
          <w:color w:val="auto"/>
        </w:rPr>
      </w:pPr>
      <w:r>
        <w:rPr>
          <w:rFonts w:ascii="Arial" w:cs="Arial" w:eastAsia="Arial" w:hAnsi="Arial"/>
          <w:sz w:val="13"/>
          <w:szCs w:val="13"/>
          <w:color w:val="auto"/>
        </w:rPr>
        <w:t>The remainder of our investment portfolio and our long-term Credit Facility are valued using a market comparable or an enterprise market value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excluding transaction costs, is used to corroborate the valuation. When using earnings multiples to value a portfolio company, the multiple used requires the use of judgment and estimates in determining how a market participant would price such an asset. These non-public investments using unobservable inputs are included in Level 3 of the fair value hierarchy.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 Generally, an increase in a market yield will result in a decrease in the valuation of a debt investment, while a decrease in a market yield will have the opposite effect. Generally, an increase in an EBITDA multiple will result in an increase in the valuation of an investment, while a decrease in an EBITDA multiple will have the opposite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line="221" w:lineRule="auto"/>
        <w:rPr>
          <w:sz w:val="20"/>
          <w:szCs w:val="20"/>
          <w:color w:val="auto"/>
        </w:rPr>
      </w:pPr>
      <w:r>
        <w:rPr>
          <w:rFonts w:ascii="Arial" w:cs="Arial" w:eastAsia="Arial" w:hAnsi="Arial"/>
          <w:sz w:val="14"/>
          <w:szCs w:val="14"/>
          <w:b w:val="1"/>
          <w:bCs w:val="1"/>
          <w:color w:val="auto"/>
        </w:rPr>
        <w:t>JUNE 30, 2018</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480" w:type="dxa"/>
            <w:vAlign w:val="bottom"/>
            <w:gridSpan w:val="8"/>
          </w:tcPr>
          <w:p>
            <w:pPr>
              <w:ind w:left="440"/>
              <w:spacing w:after="0"/>
              <w:rPr>
                <w:sz w:val="20"/>
                <w:szCs w:val="20"/>
                <w:color w:val="auto"/>
              </w:rPr>
            </w:pPr>
            <w:r>
              <w:rPr>
                <w:rFonts w:ascii="Arial" w:cs="Arial" w:eastAsia="Arial" w:hAnsi="Arial"/>
                <w:sz w:val="14"/>
                <w:szCs w:val="14"/>
                <w:color w:val="auto"/>
                <w:w w:val="95"/>
              </w:rPr>
              <w:t>Our Level 3 valuation techniques, unobservable inputs and ranges were categorized as follows for ASC 820 purposes:</w:t>
            </w:r>
          </w:p>
        </w:tc>
        <w:tc>
          <w:tcPr>
            <w:tcW w:w="1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3"/>
        </w:trPr>
        <w:tc>
          <w:tcPr>
            <w:tcW w:w="3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40" w:type="dxa"/>
            <w:vAlign w:val="bottom"/>
          </w:tcPr>
          <w:p>
            <w:pPr>
              <w:jc w:val="right"/>
              <w:ind w:right="368"/>
              <w:spacing w:after="0"/>
              <w:rPr>
                <w:sz w:val="20"/>
                <w:szCs w:val="20"/>
                <w:color w:val="auto"/>
              </w:rPr>
            </w:pPr>
            <w:r>
              <w:rPr>
                <w:rFonts w:ascii="Arial" w:cs="Arial" w:eastAsia="Arial" w:hAnsi="Arial"/>
                <w:sz w:val="14"/>
                <w:szCs w:val="14"/>
                <w:b w:val="1"/>
                <w:bCs w:val="1"/>
                <w:color w:val="auto"/>
              </w:rPr>
              <w:t>Fair Value at</w:t>
            </w:r>
          </w:p>
        </w:tc>
        <w:tc>
          <w:tcPr>
            <w:tcW w:w="260" w:type="dxa"/>
            <w:vAlign w:val="bottom"/>
          </w:tcPr>
          <w:p>
            <w:pPr>
              <w:spacing w:after="0"/>
              <w:rPr>
                <w:sz w:val="23"/>
                <w:szCs w:val="23"/>
                <w:color w:val="auto"/>
              </w:rPr>
            </w:pPr>
          </w:p>
        </w:tc>
        <w:tc>
          <w:tcPr>
            <w:tcW w:w="19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3"/>
              </w:rPr>
              <w:t>Valuation Technique</w:t>
            </w:r>
          </w:p>
        </w:tc>
        <w:tc>
          <w:tcPr>
            <w:tcW w:w="19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Unobservable Input</w:t>
            </w:r>
          </w:p>
        </w:tc>
        <w:tc>
          <w:tcPr>
            <w:tcW w:w="1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Range of Input</w:t>
            </w:r>
          </w:p>
        </w:tc>
        <w:tc>
          <w:tcPr>
            <w:tcW w:w="0" w:type="dxa"/>
            <w:vAlign w:val="bottom"/>
          </w:tcPr>
          <w:p>
            <w:pPr>
              <w:spacing w:after="0"/>
              <w:rPr>
                <w:sz w:val="1"/>
                <w:szCs w:val="1"/>
                <w:color w:val="auto"/>
              </w:rPr>
            </w:pPr>
          </w:p>
        </w:tc>
      </w:tr>
      <w:tr>
        <w:trPr>
          <w:trHeight w:val="171"/>
        </w:trPr>
        <w:tc>
          <w:tcPr>
            <w:tcW w:w="35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right"/>
              <w:ind w:right="348"/>
              <w:spacing w:after="0"/>
              <w:rPr>
                <w:sz w:val="20"/>
                <w:szCs w:val="20"/>
                <w:color w:val="auto"/>
              </w:rPr>
            </w:pPr>
            <w:r>
              <w:rPr>
                <w:rFonts w:ascii="Arial" w:cs="Arial" w:eastAsia="Arial" w:hAnsi="Arial"/>
                <w:sz w:val="14"/>
                <w:szCs w:val="14"/>
                <w:b w:val="1"/>
                <w:bCs w:val="1"/>
                <w:color w:val="auto"/>
              </w:rPr>
              <w:t>June 30, 2018</w:t>
            </w:r>
          </w:p>
        </w:tc>
        <w:tc>
          <w:tcPr>
            <w:tcW w:w="260" w:type="dxa"/>
            <w:vAlign w:val="bottom"/>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1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55"/>
        </w:trPr>
        <w:tc>
          <w:tcPr>
            <w:tcW w:w="342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First lien</w:t>
            </w:r>
          </w:p>
        </w:tc>
        <w:tc>
          <w:tcPr>
            <w:tcW w:w="160" w:type="dxa"/>
            <w:vAlign w:val="bottom"/>
            <w:tcBorders>
              <w:top w:val="single" w:sz="8" w:color="CCECFF"/>
            </w:tcBorders>
            <w:shd w:val="clear" w:color="auto" w:fill="CCECFF"/>
          </w:tcPr>
          <w:p>
            <w:pPr>
              <w:spacing w:after="0"/>
              <w:rPr>
                <w:sz w:val="13"/>
                <w:szCs w:val="13"/>
                <w:color w:val="auto"/>
              </w:rPr>
            </w:pPr>
          </w:p>
        </w:tc>
        <w:tc>
          <w:tcPr>
            <w:tcW w:w="2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jc w:val="right"/>
              <w:ind w:right="109"/>
              <w:spacing w:after="0"/>
              <w:rPr>
                <w:sz w:val="20"/>
                <w:szCs w:val="20"/>
                <w:color w:val="auto"/>
              </w:rPr>
            </w:pPr>
            <w:r>
              <w:rPr>
                <w:rFonts w:ascii="Arial" w:cs="Arial" w:eastAsia="Arial" w:hAnsi="Arial"/>
                <w:sz w:val="10"/>
                <w:szCs w:val="10"/>
                <w:color w:val="auto"/>
                <w:w w:val="71"/>
              </w:rPr>
              <w:t>$</w:t>
            </w:r>
          </w:p>
        </w:tc>
        <w:tc>
          <w:tcPr>
            <w:tcW w:w="14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304,522,524</w:t>
            </w:r>
          </w:p>
        </w:tc>
        <w:tc>
          <w:tcPr>
            <w:tcW w:w="260" w:type="dxa"/>
            <w:vAlign w:val="bottom"/>
            <w:tcBorders>
              <w:top w:val="single" w:sz="8" w:color="CCECFF"/>
            </w:tcBorders>
            <w:shd w:val="clear" w:color="auto" w:fill="CCECFF"/>
          </w:tcPr>
          <w:p>
            <w:pPr>
              <w:spacing w:after="0"/>
              <w:rPr>
                <w:sz w:val="13"/>
                <w:szCs w:val="13"/>
                <w:color w:val="auto"/>
              </w:rPr>
            </w:pPr>
          </w:p>
        </w:tc>
        <w:tc>
          <w:tcPr>
            <w:tcW w:w="18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4"/>
              </w:rPr>
              <w:t>Market Comparable</w:t>
            </w:r>
          </w:p>
        </w:tc>
        <w:tc>
          <w:tcPr>
            <w:tcW w:w="160" w:type="dxa"/>
            <w:vAlign w:val="bottom"/>
            <w:tcBorders>
              <w:top w:val="single" w:sz="8" w:color="CCECFF"/>
            </w:tcBorders>
            <w:shd w:val="clear" w:color="auto" w:fill="CCECFF"/>
          </w:tcPr>
          <w:p>
            <w:pPr>
              <w:spacing w:after="0"/>
              <w:rPr>
                <w:sz w:val="13"/>
                <w:szCs w:val="13"/>
                <w:color w:val="auto"/>
              </w:rPr>
            </w:pPr>
          </w:p>
        </w:tc>
        <w:tc>
          <w:tcPr>
            <w:tcW w:w="18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4"/>
              </w:rPr>
              <w:t>Broker/Dealer bids or quotes</w:t>
            </w:r>
          </w:p>
        </w:tc>
        <w:tc>
          <w:tcPr>
            <w:tcW w:w="160" w:type="dxa"/>
            <w:vAlign w:val="bottom"/>
            <w:tcBorders>
              <w:top w:val="single" w:sz="8" w:color="CCECFF"/>
            </w:tcBorders>
            <w:shd w:val="clear" w:color="auto" w:fill="CCECFF"/>
          </w:tcPr>
          <w:p>
            <w:pPr>
              <w:spacing w:after="0"/>
              <w:rPr>
                <w:sz w:val="13"/>
                <w:szCs w:val="13"/>
                <w:color w:val="auto"/>
              </w:rPr>
            </w:pPr>
          </w:p>
        </w:tc>
        <w:tc>
          <w:tcPr>
            <w:tcW w:w="580" w:type="dxa"/>
            <w:vAlign w:val="bottom"/>
            <w:tcBorders>
              <w:top w:val="single" w:sz="8" w:color="auto"/>
            </w:tcBorders>
            <w:shd w:val="clear" w:color="auto" w:fill="CCECFF"/>
          </w:tcPr>
          <w:p>
            <w:pPr>
              <w:spacing w:after="0"/>
              <w:rPr>
                <w:sz w:val="13"/>
                <w:szCs w:val="13"/>
                <w:color w:val="auto"/>
              </w:rPr>
            </w:pPr>
          </w:p>
        </w:tc>
        <w:tc>
          <w:tcPr>
            <w:tcW w:w="1220" w:type="dxa"/>
            <w:vAlign w:val="bottom"/>
            <w:tcBorders>
              <w:top w:val="single" w:sz="8" w:color="auto"/>
            </w:tcBorders>
            <w:shd w:val="clear" w:color="auto" w:fill="CCECFF"/>
          </w:tcPr>
          <w:p>
            <w:pPr>
              <w:jc w:val="center"/>
              <w:ind w:right="508"/>
              <w:spacing w:after="0" w:line="155"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62"/>
        </w:trPr>
        <w:tc>
          <w:tcPr>
            <w:tcW w:w="3580" w:type="dxa"/>
            <w:vAlign w:val="bottom"/>
            <w:gridSpan w:val="2"/>
          </w:tcPr>
          <w:p>
            <w:pPr>
              <w:spacing w:after="0"/>
              <w:rPr>
                <w:sz w:val="20"/>
                <w:szCs w:val="20"/>
                <w:color w:val="auto"/>
              </w:rPr>
            </w:pPr>
            <w:r>
              <w:rPr>
                <w:rFonts w:ascii="Arial" w:cs="Arial" w:eastAsia="Arial" w:hAnsi="Arial"/>
                <w:sz w:val="14"/>
                <w:szCs w:val="14"/>
                <w:color w:val="auto"/>
              </w:rPr>
              <w:t>Second lien</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2,535,000</w:t>
            </w:r>
          </w:p>
        </w:tc>
        <w:tc>
          <w:tcPr>
            <w:tcW w:w="260" w:type="dxa"/>
            <w:vAlign w:val="bottom"/>
          </w:tcPr>
          <w:p>
            <w:pPr>
              <w:spacing w:after="0"/>
              <w:rPr>
                <w:sz w:val="14"/>
                <w:szCs w:val="14"/>
                <w:color w:val="auto"/>
              </w:rPr>
            </w:pPr>
          </w:p>
        </w:tc>
        <w:tc>
          <w:tcPr>
            <w:tcW w:w="196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196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Broker/Dealer bids or quotes</w:t>
            </w:r>
          </w:p>
        </w:tc>
        <w:tc>
          <w:tcPr>
            <w:tcW w:w="580" w:type="dxa"/>
            <w:vAlign w:val="bottom"/>
          </w:tcPr>
          <w:p>
            <w:pPr>
              <w:spacing w:after="0"/>
              <w:rPr>
                <w:sz w:val="14"/>
                <w:szCs w:val="14"/>
                <w:color w:val="auto"/>
              </w:rPr>
            </w:pPr>
          </w:p>
        </w:tc>
        <w:tc>
          <w:tcPr>
            <w:tcW w:w="1220" w:type="dxa"/>
            <w:vAlign w:val="bottom"/>
          </w:tcPr>
          <w:p>
            <w:pPr>
              <w:jc w:val="center"/>
              <w:ind w:right="508"/>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62"/>
        </w:trPr>
        <w:tc>
          <w:tcPr>
            <w:tcW w:w="35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First lien</w:t>
            </w:r>
          </w:p>
        </w:tc>
        <w:tc>
          <w:tcPr>
            <w:tcW w:w="2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515,415,980</w:t>
            </w:r>
          </w:p>
        </w:tc>
        <w:tc>
          <w:tcPr>
            <w:tcW w:w="260" w:type="dxa"/>
            <w:vAlign w:val="bottom"/>
            <w:shd w:val="clear" w:color="auto" w:fill="CCECFF"/>
          </w:tcPr>
          <w:p>
            <w:pPr>
              <w:spacing w:after="0"/>
              <w:rPr>
                <w:sz w:val="14"/>
                <w:szCs w:val="14"/>
                <w:color w:val="auto"/>
              </w:rPr>
            </w:pPr>
          </w:p>
        </w:tc>
        <w:tc>
          <w:tcPr>
            <w:tcW w:w="196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196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5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6.5%</w:t>
            </w:r>
          </w:p>
        </w:tc>
        <w:tc>
          <w:tcPr>
            <w:tcW w:w="1220" w:type="dxa"/>
            <w:vAlign w:val="bottom"/>
            <w:shd w:val="clear" w:color="auto" w:fill="CCECFF"/>
          </w:tcPr>
          <w:p>
            <w:pPr>
              <w:ind w:left="20"/>
              <w:spacing w:after="0"/>
              <w:rPr>
                <w:sz w:val="20"/>
                <w:szCs w:val="20"/>
                <w:color w:val="auto"/>
              </w:rPr>
            </w:pPr>
            <w:r>
              <w:rPr>
                <w:rFonts w:ascii="Arial" w:cs="Arial" w:eastAsia="Arial" w:hAnsi="Arial"/>
                <w:sz w:val="14"/>
                <w:szCs w:val="14"/>
                <w:color w:val="auto"/>
              </w:rPr>
              <w:t>– 16.9% (9.7%)</w:t>
            </w:r>
          </w:p>
        </w:tc>
        <w:tc>
          <w:tcPr>
            <w:tcW w:w="0" w:type="dxa"/>
            <w:vAlign w:val="bottom"/>
          </w:tcPr>
          <w:p>
            <w:pPr>
              <w:spacing w:after="0"/>
              <w:rPr>
                <w:sz w:val="1"/>
                <w:szCs w:val="1"/>
                <w:color w:val="auto"/>
              </w:rPr>
            </w:pPr>
          </w:p>
        </w:tc>
      </w:tr>
      <w:tr>
        <w:trPr>
          <w:trHeight w:val="162"/>
        </w:trPr>
        <w:tc>
          <w:tcPr>
            <w:tcW w:w="3580" w:type="dxa"/>
            <w:vAlign w:val="bottom"/>
            <w:gridSpan w:val="2"/>
          </w:tcPr>
          <w:p>
            <w:pPr>
              <w:spacing w:after="0"/>
              <w:rPr>
                <w:sz w:val="20"/>
                <w:szCs w:val="20"/>
                <w:color w:val="auto"/>
              </w:rPr>
            </w:pPr>
            <w:r>
              <w:rPr>
                <w:rFonts w:ascii="Arial" w:cs="Arial" w:eastAsia="Arial" w:hAnsi="Arial"/>
                <w:sz w:val="14"/>
                <w:szCs w:val="14"/>
                <w:color w:val="auto"/>
              </w:rPr>
              <w:t>Second lien</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32,686,588</w:t>
            </w:r>
          </w:p>
        </w:tc>
        <w:tc>
          <w:tcPr>
            <w:tcW w:w="260" w:type="dxa"/>
            <w:vAlign w:val="bottom"/>
          </w:tcPr>
          <w:p>
            <w:pPr>
              <w:spacing w:after="0"/>
              <w:rPr>
                <w:sz w:val="14"/>
                <w:szCs w:val="14"/>
                <w:color w:val="auto"/>
              </w:rPr>
            </w:pPr>
          </w:p>
        </w:tc>
        <w:tc>
          <w:tcPr>
            <w:tcW w:w="196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1960" w:type="dxa"/>
            <w:vAlign w:val="bottom"/>
            <w:gridSpan w:val="2"/>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580" w:type="dxa"/>
            <w:vAlign w:val="bottom"/>
          </w:tcPr>
          <w:p>
            <w:pPr>
              <w:jc w:val="right"/>
              <w:spacing w:after="0"/>
              <w:rPr>
                <w:sz w:val="20"/>
                <w:szCs w:val="20"/>
                <w:color w:val="auto"/>
              </w:rPr>
            </w:pPr>
            <w:r>
              <w:rPr>
                <w:rFonts w:ascii="Arial" w:cs="Arial" w:eastAsia="Arial" w:hAnsi="Arial"/>
                <w:sz w:val="14"/>
                <w:szCs w:val="14"/>
                <w:color w:val="auto"/>
              </w:rPr>
              <w:t>10.6%</w:t>
            </w:r>
          </w:p>
        </w:tc>
        <w:tc>
          <w:tcPr>
            <w:tcW w:w="1220" w:type="dxa"/>
            <w:vAlign w:val="bottom"/>
          </w:tcPr>
          <w:p>
            <w:pPr>
              <w:ind w:left="20"/>
              <w:spacing w:after="0"/>
              <w:rPr>
                <w:sz w:val="20"/>
                <w:szCs w:val="20"/>
                <w:color w:val="auto"/>
              </w:rPr>
            </w:pPr>
            <w:r>
              <w:rPr>
                <w:rFonts w:ascii="Arial" w:cs="Arial" w:eastAsia="Arial" w:hAnsi="Arial"/>
                <w:sz w:val="14"/>
                <w:szCs w:val="14"/>
                <w:color w:val="auto"/>
              </w:rPr>
              <w:t>– 16.4% (13.4%)</w:t>
            </w:r>
          </w:p>
        </w:tc>
        <w:tc>
          <w:tcPr>
            <w:tcW w:w="0" w:type="dxa"/>
            <w:vAlign w:val="bottom"/>
          </w:tcPr>
          <w:p>
            <w:pPr>
              <w:spacing w:after="0"/>
              <w:rPr>
                <w:sz w:val="1"/>
                <w:szCs w:val="1"/>
                <w:color w:val="auto"/>
              </w:rPr>
            </w:pPr>
          </w:p>
        </w:tc>
      </w:tr>
      <w:tr>
        <w:trPr>
          <w:trHeight w:val="162"/>
        </w:trPr>
        <w:tc>
          <w:tcPr>
            <w:tcW w:w="35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Subordinated debt / corporate notes</w:t>
            </w:r>
          </w:p>
        </w:tc>
        <w:tc>
          <w:tcPr>
            <w:tcW w:w="2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196,384</w:t>
            </w:r>
          </w:p>
        </w:tc>
        <w:tc>
          <w:tcPr>
            <w:tcW w:w="260" w:type="dxa"/>
            <w:vAlign w:val="bottom"/>
            <w:shd w:val="clear" w:color="auto" w:fill="CCECFF"/>
          </w:tcPr>
          <w:p>
            <w:pPr>
              <w:spacing w:after="0"/>
              <w:rPr>
                <w:sz w:val="14"/>
                <w:szCs w:val="14"/>
                <w:color w:val="auto"/>
              </w:rPr>
            </w:pPr>
          </w:p>
        </w:tc>
        <w:tc>
          <w:tcPr>
            <w:tcW w:w="196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196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5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16.1%</w:t>
            </w:r>
          </w:p>
        </w:tc>
        <w:tc>
          <w:tcPr>
            <w:tcW w:w="1220" w:type="dxa"/>
            <w:vAlign w:val="bottom"/>
            <w:shd w:val="clear" w:color="auto" w:fill="CCECFF"/>
          </w:tcPr>
          <w:p>
            <w:pPr>
              <w:ind w:left="20"/>
              <w:spacing w:after="0"/>
              <w:rPr>
                <w:sz w:val="20"/>
                <w:szCs w:val="20"/>
                <w:color w:val="auto"/>
              </w:rPr>
            </w:pPr>
            <w:r>
              <w:rPr>
                <w:rFonts w:ascii="Arial" w:cs="Arial" w:eastAsia="Arial" w:hAnsi="Arial"/>
                <w:sz w:val="14"/>
                <w:szCs w:val="14"/>
                <w:color w:val="auto"/>
              </w:rPr>
              <w:t>– 16.1% (16.1%)</w:t>
            </w:r>
          </w:p>
        </w:tc>
        <w:tc>
          <w:tcPr>
            <w:tcW w:w="0" w:type="dxa"/>
            <w:vAlign w:val="bottom"/>
          </w:tcPr>
          <w:p>
            <w:pPr>
              <w:spacing w:after="0"/>
              <w:rPr>
                <w:sz w:val="1"/>
                <w:szCs w:val="1"/>
                <w:color w:val="auto"/>
              </w:rPr>
            </w:pPr>
          </w:p>
        </w:tc>
      </w:tr>
      <w:tr>
        <w:trPr>
          <w:trHeight w:val="162"/>
        </w:trPr>
        <w:tc>
          <w:tcPr>
            <w:tcW w:w="3580" w:type="dxa"/>
            <w:vAlign w:val="bottom"/>
            <w:tcBorders>
              <w:bottom w:val="single" w:sz="8" w:color="CCECFF"/>
            </w:tcBorders>
            <w:gridSpan w:val="2"/>
          </w:tcPr>
          <w:p>
            <w:pPr>
              <w:spacing w:after="0"/>
              <w:rPr>
                <w:sz w:val="20"/>
                <w:szCs w:val="20"/>
                <w:color w:val="auto"/>
              </w:rPr>
            </w:pPr>
            <w:r>
              <w:rPr>
                <w:rFonts w:ascii="Arial" w:cs="Arial" w:eastAsia="Arial" w:hAnsi="Arial"/>
                <w:sz w:val="14"/>
                <w:szCs w:val="14"/>
                <w:color w:val="auto"/>
              </w:rPr>
              <w:t>Equity</w:t>
            </w:r>
          </w:p>
        </w:tc>
        <w:tc>
          <w:tcPr>
            <w:tcW w:w="20" w:type="dxa"/>
            <w:vAlign w:val="bottom"/>
            <w:tcBorders>
              <w:bottom w:val="single" w:sz="8" w:color="CCEC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14,896,941</w:t>
            </w:r>
          </w:p>
        </w:tc>
        <w:tc>
          <w:tcPr>
            <w:tcW w:w="260" w:type="dxa"/>
            <w:vAlign w:val="bottom"/>
            <w:tcBorders>
              <w:bottom w:val="single" w:sz="8" w:color="CCECFF"/>
            </w:tcBorders>
          </w:tcPr>
          <w:p>
            <w:pPr>
              <w:spacing w:after="0"/>
              <w:rPr>
                <w:sz w:val="14"/>
                <w:szCs w:val="14"/>
                <w:color w:val="auto"/>
              </w:rPr>
            </w:pPr>
          </w:p>
        </w:tc>
        <w:tc>
          <w:tcPr>
            <w:tcW w:w="1960" w:type="dxa"/>
            <w:vAlign w:val="bottom"/>
            <w:tcBorders>
              <w:bottom w:val="single" w:sz="8" w:color="CCECFF"/>
            </w:tcBorders>
            <w:gridSpan w:val="2"/>
          </w:tcPr>
          <w:p>
            <w:pPr>
              <w:jc w:val="center"/>
              <w:ind w:right="160"/>
              <w:spacing w:after="0"/>
              <w:rPr>
                <w:sz w:val="20"/>
                <w:szCs w:val="20"/>
                <w:color w:val="auto"/>
              </w:rPr>
            </w:pPr>
            <w:r>
              <w:rPr>
                <w:rFonts w:ascii="Arial" w:cs="Arial" w:eastAsia="Arial" w:hAnsi="Arial"/>
                <w:sz w:val="14"/>
                <w:szCs w:val="14"/>
                <w:color w:val="auto"/>
                <w:w w:val="93"/>
              </w:rPr>
              <w:t>Enterprise Market Value</w:t>
            </w:r>
          </w:p>
        </w:tc>
        <w:tc>
          <w:tcPr>
            <w:tcW w:w="1960" w:type="dxa"/>
            <w:vAlign w:val="bottom"/>
            <w:tcBorders>
              <w:bottom w:val="single" w:sz="8" w:color="CCECFF"/>
            </w:tcBorders>
            <w:gridSpan w:val="2"/>
          </w:tcPr>
          <w:p>
            <w:pPr>
              <w:jc w:val="center"/>
              <w:ind w:right="160"/>
              <w:spacing w:after="0"/>
              <w:rPr>
                <w:sz w:val="20"/>
                <w:szCs w:val="20"/>
                <w:color w:val="auto"/>
              </w:rPr>
            </w:pPr>
            <w:r>
              <w:rPr>
                <w:rFonts w:ascii="Arial" w:cs="Arial" w:eastAsia="Arial" w:hAnsi="Arial"/>
                <w:sz w:val="14"/>
                <w:szCs w:val="14"/>
                <w:color w:val="auto"/>
              </w:rPr>
              <w:t>EBITDA multiple</w:t>
            </w:r>
          </w:p>
        </w:tc>
        <w:tc>
          <w:tcPr>
            <w:tcW w:w="1800" w:type="dxa"/>
            <w:vAlign w:val="bottom"/>
            <w:tcBorders>
              <w:bottom w:val="single" w:sz="8" w:color="CCECFF"/>
            </w:tcBorders>
            <w:gridSpan w:val="2"/>
          </w:tcPr>
          <w:p>
            <w:pPr>
              <w:jc w:val="center"/>
              <w:spacing w:after="0"/>
              <w:rPr>
                <w:sz w:val="20"/>
                <w:szCs w:val="20"/>
                <w:color w:val="auto"/>
              </w:rPr>
            </w:pPr>
            <w:r>
              <w:rPr>
                <w:rFonts w:ascii="Arial" w:cs="Arial" w:eastAsia="Arial" w:hAnsi="Arial"/>
                <w:sz w:val="14"/>
                <w:szCs w:val="14"/>
                <w:color w:val="auto"/>
                <w:w w:val="94"/>
              </w:rPr>
              <w:t>6.5x – 12.4x (8.9x)</w:t>
            </w:r>
          </w:p>
        </w:tc>
        <w:tc>
          <w:tcPr>
            <w:tcW w:w="0" w:type="dxa"/>
            <w:vAlign w:val="bottom"/>
          </w:tcPr>
          <w:p>
            <w:pPr>
              <w:spacing w:after="0"/>
              <w:rPr>
                <w:sz w:val="1"/>
                <w:szCs w:val="1"/>
                <w:color w:val="auto"/>
              </w:rPr>
            </w:pPr>
          </w:p>
        </w:tc>
      </w:tr>
      <w:tr>
        <w:trPr>
          <w:trHeight w:val="156"/>
        </w:trPr>
        <w:tc>
          <w:tcPr>
            <w:tcW w:w="3580" w:type="dxa"/>
            <w:vAlign w:val="bottom"/>
            <w:tcBorders>
              <w:bottom w:val="single" w:sz="8" w:color="CCECFF"/>
            </w:tcBorders>
            <w:gridSpan w:val="2"/>
            <w:shd w:val="clear" w:color="auto" w:fill="CCECFF"/>
          </w:tcPr>
          <w:p>
            <w:pPr>
              <w:ind w:left="260"/>
              <w:spacing w:after="0" w:line="155" w:lineRule="exact"/>
              <w:rPr>
                <w:sz w:val="20"/>
                <w:szCs w:val="20"/>
                <w:color w:val="auto"/>
              </w:rPr>
            </w:pPr>
            <w:r>
              <w:rPr>
                <w:rFonts w:ascii="Arial" w:cs="Arial" w:eastAsia="Arial" w:hAnsi="Arial"/>
                <w:sz w:val="14"/>
                <w:szCs w:val="14"/>
                <w:color w:val="auto"/>
              </w:rPr>
              <w:t>Total Level 3 investments</w:t>
            </w:r>
          </w:p>
        </w:tc>
        <w:tc>
          <w:tcPr>
            <w:tcW w:w="20" w:type="dxa"/>
            <w:vAlign w:val="bottom"/>
            <w:tcBorders>
              <w:bottom w:val="single" w:sz="8" w:color="CCECFF"/>
            </w:tcBorders>
            <w:shd w:val="clear" w:color="auto" w:fill="CCECFF"/>
          </w:tcPr>
          <w:p>
            <w:pPr>
              <w:spacing w:after="0"/>
              <w:rPr>
                <w:sz w:val="13"/>
                <w:szCs w:val="13"/>
                <w:color w:val="auto"/>
              </w:rPr>
            </w:pPr>
          </w:p>
        </w:tc>
        <w:tc>
          <w:tcPr>
            <w:tcW w:w="220" w:type="dxa"/>
            <w:vAlign w:val="bottom"/>
            <w:tcBorders>
              <w:bottom w:val="single" w:sz="8" w:color="auto"/>
            </w:tcBorders>
            <w:shd w:val="clear" w:color="auto" w:fill="CCECFF"/>
          </w:tcPr>
          <w:p>
            <w:pPr>
              <w:jc w:val="right"/>
              <w:ind w:right="109"/>
              <w:spacing w:after="0"/>
              <w:rPr>
                <w:sz w:val="20"/>
                <w:szCs w:val="20"/>
                <w:color w:val="auto"/>
              </w:rPr>
            </w:pPr>
            <w:r>
              <w:rPr>
                <w:rFonts w:ascii="Arial" w:cs="Arial" w:eastAsia="Arial" w:hAnsi="Arial"/>
                <w:sz w:val="10"/>
                <w:szCs w:val="10"/>
                <w:color w:val="auto"/>
                <w:w w:val="71"/>
              </w:rPr>
              <w:t>$</w:t>
            </w:r>
          </w:p>
        </w:tc>
        <w:tc>
          <w:tcPr>
            <w:tcW w:w="14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870,253,417</w:t>
            </w:r>
          </w:p>
        </w:tc>
        <w:tc>
          <w:tcPr>
            <w:tcW w:w="260" w:type="dxa"/>
            <w:vAlign w:val="bottom"/>
            <w:tcBorders>
              <w:bottom w:val="single" w:sz="8" w:color="CCECFF"/>
            </w:tcBorders>
            <w:shd w:val="clear" w:color="auto" w:fill="CCECFF"/>
          </w:tcPr>
          <w:p>
            <w:pPr>
              <w:spacing w:after="0"/>
              <w:rPr>
                <w:sz w:val="13"/>
                <w:szCs w:val="13"/>
                <w:color w:val="auto"/>
              </w:rPr>
            </w:pPr>
          </w:p>
        </w:tc>
        <w:tc>
          <w:tcPr>
            <w:tcW w:w="1800" w:type="dxa"/>
            <w:vAlign w:val="bottom"/>
            <w:tcBorders>
              <w:bottom w:val="single" w:sz="8" w:color="CCECFF"/>
            </w:tcBorders>
            <w:shd w:val="clear" w:color="auto" w:fill="CCECFF"/>
          </w:tcPr>
          <w:p>
            <w:pPr>
              <w:spacing w:after="0"/>
              <w:rPr>
                <w:sz w:val="13"/>
                <w:szCs w:val="13"/>
                <w:color w:val="auto"/>
              </w:rPr>
            </w:pPr>
          </w:p>
        </w:tc>
        <w:tc>
          <w:tcPr>
            <w:tcW w:w="160" w:type="dxa"/>
            <w:vAlign w:val="bottom"/>
            <w:tcBorders>
              <w:bottom w:val="single" w:sz="8" w:color="CCECFF"/>
            </w:tcBorders>
            <w:shd w:val="clear" w:color="auto" w:fill="CCECFF"/>
          </w:tcPr>
          <w:p>
            <w:pPr>
              <w:spacing w:after="0"/>
              <w:rPr>
                <w:sz w:val="13"/>
                <w:szCs w:val="13"/>
                <w:color w:val="auto"/>
              </w:rPr>
            </w:pPr>
          </w:p>
        </w:tc>
        <w:tc>
          <w:tcPr>
            <w:tcW w:w="1800" w:type="dxa"/>
            <w:vAlign w:val="bottom"/>
            <w:tcBorders>
              <w:bottom w:val="single" w:sz="8" w:color="CCECFF"/>
            </w:tcBorders>
            <w:shd w:val="clear" w:color="auto" w:fill="CCECFF"/>
          </w:tcPr>
          <w:p>
            <w:pPr>
              <w:spacing w:after="0"/>
              <w:rPr>
                <w:sz w:val="13"/>
                <w:szCs w:val="13"/>
                <w:color w:val="auto"/>
              </w:rPr>
            </w:pPr>
          </w:p>
        </w:tc>
        <w:tc>
          <w:tcPr>
            <w:tcW w:w="160" w:type="dxa"/>
            <w:vAlign w:val="bottom"/>
            <w:tcBorders>
              <w:bottom w:val="single" w:sz="8" w:color="CCECFF"/>
            </w:tcBorders>
            <w:shd w:val="clear" w:color="auto" w:fill="CCECFF"/>
          </w:tcPr>
          <w:p>
            <w:pPr>
              <w:spacing w:after="0"/>
              <w:rPr>
                <w:sz w:val="13"/>
                <w:szCs w:val="13"/>
                <w:color w:val="auto"/>
              </w:rPr>
            </w:pPr>
          </w:p>
        </w:tc>
        <w:tc>
          <w:tcPr>
            <w:tcW w:w="580" w:type="dxa"/>
            <w:vAlign w:val="bottom"/>
            <w:tcBorders>
              <w:bottom w:val="single" w:sz="8" w:color="CCECFF"/>
            </w:tcBorders>
            <w:shd w:val="clear" w:color="auto" w:fill="CCECFF"/>
          </w:tcPr>
          <w:p>
            <w:pPr>
              <w:spacing w:after="0"/>
              <w:rPr>
                <w:sz w:val="13"/>
                <w:szCs w:val="13"/>
                <w:color w:val="auto"/>
              </w:rPr>
            </w:pPr>
          </w:p>
        </w:tc>
        <w:tc>
          <w:tcPr>
            <w:tcW w:w="122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80" w:type="dxa"/>
            <w:vAlign w:val="bottom"/>
            <w:gridSpan w:val="2"/>
            <w:vMerge w:val="restart"/>
          </w:tcPr>
          <w:p>
            <w:pPr>
              <w:spacing w:after="0"/>
              <w:rPr>
                <w:sz w:val="20"/>
                <w:szCs w:val="20"/>
                <w:color w:val="auto"/>
              </w:rPr>
            </w:pPr>
            <w:r>
              <w:rPr>
                <w:rFonts w:ascii="Arial" w:cs="Arial" w:eastAsia="Arial" w:hAnsi="Arial"/>
                <w:sz w:val="14"/>
                <w:szCs w:val="14"/>
                <w:color w:val="auto"/>
              </w:rPr>
              <w:t>Long-Term Credit Facility</w:t>
            </w:r>
          </w:p>
        </w:tc>
        <w:tc>
          <w:tcPr>
            <w:tcW w:w="24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60" w:type="dxa"/>
            <w:vAlign w:val="bottom"/>
            <w:gridSpan w:val="2"/>
            <w:vMerge w:val="restart"/>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1960" w:type="dxa"/>
            <w:vAlign w:val="bottom"/>
            <w:gridSpan w:val="2"/>
            <w:vMerge w:val="restart"/>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580" w:type="dxa"/>
            <w:vAlign w:val="bottom"/>
          </w:tcPr>
          <w:p>
            <w:pPr>
              <w:spacing w:after="0" w:line="20" w:lineRule="exact"/>
              <w:rPr>
                <w:sz w:val="1"/>
                <w:szCs w:val="1"/>
                <w:color w:val="auto"/>
              </w:rPr>
            </w:pPr>
          </w:p>
        </w:tc>
        <w:tc>
          <w:tcPr>
            <w:tcW w:w="1220" w:type="dxa"/>
            <w:vAlign w:val="bottom"/>
            <w:vMerge w:val="restart"/>
          </w:tcPr>
          <w:p>
            <w:pPr>
              <w:jc w:val="right"/>
              <w:ind w:right="688"/>
              <w:spacing w:after="0"/>
              <w:rPr>
                <w:sz w:val="20"/>
                <w:szCs w:val="20"/>
                <w:color w:val="auto"/>
              </w:rPr>
            </w:pPr>
            <w:r>
              <w:rPr>
                <w:rFonts w:ascii="Arial" w:cs="Arial" w:eastAsia="Arial" w:hAnsi="Arial"/>
                <w:sz w:val="14"/>
                <w:szCs w:val="14"/>
                <w:color w:val="auto"/>
              </w:rPr>
              <w:t>5.0%</w:t>
            </w:r>
          </w:p>
        </w:tc>
        <w:tc>
          <w:tcPr>
            <w:tcW w:w="0" w:type="dxa"/>
            <w:vAlign w:val="bottom"/>
          </w:tcPr>
          <w:p>
            <w:pPr>
              <w:spacing w:after="0" w:line="20" w:lineRule="exact"/>
              <w:rPr>
                <w:sz w:val="1"/>
                <w:szCs w:val="1"/>
                <w:color w:val="auto"/>
              </w:rPr>
            </w:pPr>
          </w:p>
        </w:tc>
      </w:tr>
      <w:tr>
        <w:trPr>
          <w:trHeight w:val="143"/>
        </w:trPr>
        <w:tc>
          <w:tcPr>
            <w:tcW w:w="3580" w:type="dxa"/>
            <w:vAlign w:val="bottom"/>
            <w:gridSpan w:val="2"/>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14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255,862,159</w:t>
            </w:r>
          </w:p>
        </w:tc>
        <w:tc>
          <w:tcPr>
            <w:tcW w:w="260" w:type="dxa"/>
            <w:vAlign w:val="bottom"/>
          </w:tcPr>
          <w:p>
            <w:pPr>
              <w:spacing w:after="0"/>
              <w:rPr>
                <w:sz w:val="12"/>
                <w:szCs w:val="12"/>
                <w:color w:val="auto"/>
              </w:rPr>
            </w:pPr>
          </w:p>
        </w:tc>
        <w:tc>
          <w:tcPr>
            <w:tcW w:w="1960" w:type="dxa"/>
            <w:vAlign w:val="bottom"/>
            <w:gridSpan w:val="2"/>
            <w:vMerge w:val="continue"/>
          </w:tcPr>
          <w:p>
            <w:pPr>
              <w:spacing w:after="0"/>
              <w:rPr>
                <w:sz w:val="12"/>
                <w:szCs w:val="12"/>
                <w:color w:val="auto"/>
              </w:rPr>
            </w:pPr>
          </w:p>
        </w:tc>
        <w:tc>
          <w:tcPr>
            <w:tcW w:w="196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jc w:val="right"/>
              <w:ind w:right="368"/>
              <w:spacing w:after="0"/>
              <w:rPr>
                <w:sz w:val="20"/>
                <w:szCs w:val="20"/>
                <w:color w:val="auto"/>
              </w:rPr>
            </w:pPr>
            <w:r>
              <w:rPr>
                <w:rFonts w:ascii="Arial" w:cs="Arial" w:eastAsia="Arial" w:hAnsi="Arial"/>
                <w:sz w:val="14"/>
                <w:szCs w:val="14"/>
                <w:b w:val="1"/>
                <w:bCs w:val="1"/>
                <w:color w:val="auto"/>
              </w:rPr>
              <w:t>Fair Value at</w:t>
            </w:r>
          </w:p>
        </w:tc>
        <w:tc>
          <w:tcPr>
            <w:tcW w:w="260" w:type="dxa"/>
            <w:vAlign w:val="bottom"/>
          </w:tcPr>
          <w:p>
            <w:pPr>
              <w:spacing w:after="0"/>
              <w:rPr>
                <w:sz w:val="14"/>
                <w:szCs w:val="14"/>
                <w:color w:val="auto"/>
              </w:rPr>
            </w:pPr>
          </w:p>
        </w:tc>
        <w:tc>
          <w:tcPr>
            <w:tcW w:w="19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3"/>
              </w:rPr>
              <w:t>Valuation Technique</w:t>
            </w:r>
          </w:p>
        </w:tc>
        <w:tc>
          <w:tcPr>
            <w:tcW w:w="19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Unobservable Input</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Range of Input</w:t>
            </w:r>
          </w:p>
        </w:tc>
        <w:tc>
          <w:tcPr>
            <w:tcW w:w="0" w:type="dxa"/>
            <w:vAlign w:val="bottom"/>
          </w:tcPr>
          <w:p>
            <w:pPr>
              <w:spacing w:after="0"/>
              <w:rPr>
                <w:sz w:val="1"/>
                <w:szCs w:val="1"/>
                <w:color w:val="auto"/>
              </w:rPr>
            </w:pPr>
          </w:p>
        </w:tc>
      </w:tr>
      <w:tr>
        <w:trPr>
          <w:trHeight w:val="171"/>
        </w:trPr>
        <w:tc>
          <w:tcPr>
            <w:tcW w:w="35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jc w:val="right"/>
              <w:ind w:right="168"/>
              <w:spacing w:after="0"/>
              <w:rPr>
                <w:sz w:val="20"/>
                <w:szCs w:val="20"/>
                <w:color w:val="auto"/>
              </w:rPr>
            </w:pPr>
            <w:r>
              <w:rPr>
                <w:rFonts w:ascii="Arial" w:cs="Arial" w:eastAsia="Arial" w:hAnsi="Arial"/>
                <w:sz w:val="14"/>
                <w:szCs w:val="14"/>
                <w:b w:val="1"/>
                <w:bCs w:val="1"/>
                <w:color w:val="auto"/>
                <w:w w:val="96"/>
              </w:rPr>
              <w:t>September 30, 2017</w:t>
            </w:r>
          </w:p>
        </w:tc>
        <w:tc>
          <w:tcPr>
            <w:tcW w:w="260" w:type="dxa"/>
            <w:vAlign w:val="bottom"/>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56"/>
        </w:trPr>
        <w:tc>
          <w:tcPr>
            <w:tcW w:w="342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First lien</w:t>
            </w:r>
          </w:p>
        </w:tc>
        <w:tc>
          <w:tcPr>
            <w:tcW w:w="160" w:type="dxa"/>
            <w:vAlign w:val="bottom"/>
            <w:tcBorders>
              <w:top w:val="single" w:sz="8" w:color="CCECFF"/>
            </w:tcBorders>
            <w:shd w:val="clear" w:color="auto" w:fill="CCECFF"/>
          </w:tcPr>
          <w:p>
            <w:pPr>
              <w:spacing w:after="0"/>
              <w:rPr>
                <w:sz w:val="13"/>
                <w:szCs w:val="13"/>
                <w:color w:val="auto"/>
              </w:rPr>
            </w:pPr>
          </w:p>
        </w:tc>
        <w:tc>
          <w:tcPr>
            <w:tcW w:w="2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auto"/>
            </w:tcBorders>
            <w:shd w:val="clear" w:color="auto" w:fill="CCECFF"/>
          </w:tcPr>
          <w:p>
            <w:pPr>
              <w:jc w:val="right"/>
              <w:ind w:right="29"/>
              <w:spacing w:after="0"/>
              <w:rPr>
                <w:sz w:val="20"/>
                <w:szCs w:val="20"/>
                <w:color w:val="auto"/>
              </w:rPr>
            </w:pPr>
            <w:r>
              <w:rPr>
                <w:rFonts w:ascii="Arial" w:cs="Arial" w:eastAsia="Arial" w:hAnsi="Arial"/>
                <w:sz w:val="10"/>
                <w:szCs w:val="10"/>
                <w:color w:val="auto"/>
                <w:w w:val="71"/>
              </w:rPr>
              <w:t>$</w:t>
            </w:r>
          </w:p>
        </w:tc>
        <w:tc>
          <w:tcPr>
            <w:tcW w:w="15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260,595,796</w:t>
            </w:r>
          </w:p>
        </w:tc>
        <w:tc>
          <w:tcPr>
            <w:tcW w:w="260" w:type="dxa"/>
            <w:vAlign w:val="bottom"/>
            <w:tcBorders>
              <w:top w:val="single" w:sz="8" w:color="CCECFF"/>
            </w:tcBorders>
            <w:shd w:val="clear" w:color="auto" w:fill="CCECFF"/>
          </w:tcPr>
          <w:p>
            <w:pPr>
              <w:spacing w:after="0"/>
              <w:rPr>
                <w:sz w:val="13"/>
                <w:szCs w:val="13"/>
                <w:color w:val="auto"/>
              </w:rPr>
            </w:pPr>
          </w:p>
        </w:tc>
        <w:tc>
          <w:tcPr>
            <w:tcW w:w="18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4"/>
              </w:rPr>
              <w:t>Market Comparable</w:t>
            </w:r>
          </w:p>
        </w:tc>
        <w:tc>
          <w:tcPr>
            <w:tcW w:w="160" w:type="dxa"/>
            <w:vAlign w:val="bottom"/>
            <w:tcBorders>
              <w:top w:val="single" w:sz="8" w:color="CCECFF"/>
            </w:tcBorders>
            <w:shd w:val="clear" w:color="auto" w:fill="CCECFF"/>
          </w:tcPr>
          <w:p>
            <w:pPr>
              <w:spacing w:after="0"/>
              <w:rPr>
                <w:sz w:val="13"/>
                <w:szCs w:val="13"/>
                <w:color w:val="auto"/>
              </w:rPr>
            </w:pPr>
          </w:p>
        </w:tc>
        <w:tc>
          <w:tcPr>
            <w:tcW w:w="18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4"/>
              </w:rPr>
              <w:t>Broker/Dealer bids or quotes</w:t>
            </w:r>
          </w:p>
        </w:tc>
        <w:tc>
          <w:tcPr>
            <w:tcW w:w="160" w:type="dxa"/>
            <w:vAlign w:val="bottom"/>
            <w:tcBorders>
              <w:top w:val="single" w:sz="8" w:color="CCECFF"/>
            </w:tcBorders>
            <w:shd w:val="clear" w:color="auto" w:fill="CCECFF"/>
          </w:tcPr>
          <w:p>
            <w:pPr>
              <w:spacing w:after="0"/>
              <w:rPr>
                <w:sz w:val="13"/>
                <w:szCs w:val="13"/>
                <w:color w:val="auto"/>
              </w:rPr>
            </w:pPr>
          </w:p>
        </w:tc>
        <w:tc>
          <w:tcPr>
            <w:tcW w:w="17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rPr>
              <w:t>N/A</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580" w:type="dxa"/>
            <w:vAlign w:val="bottom"/>
            <w:gridSpan w:val="2"/>
          </w:tcPr>
          <w:p>
            <w:pPr>
              <w:spacing w:after="0"/>
              <w:rPr>
                <w:sz w:val="20"/>
                <w:szCs w:val="20"/>
                <w:color w:val="auto"/>
              </w:rPr>
            </w:pPr>
            <w:r>
              <w:rPr>
                <w:rFonts w:ascii="Arial" w:cs="Arial" w:eastAsia="Arial" w:hAnsi="Arial"/>
                <w:sz w:val="14"/>
                <w:szCs w:val="14"/>
                <w:color w:val="auto"/>
              </w:rPr>
              <w:t>Second lien</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2,500,000</w:t>
            </w:r>
          </w:p>
        </w:tc>
        <w:tc>
          <w:tcPr>
            <w:tcW w:w="260" w:type="dxa"/>
            <w:vAlign w:val="bottom"/>
          </w:tcPr>
          <w:p>
            <w:pPr>
              <w:spacing w:after="0"/>
              <w:rPr>
                <w:sz w:val="14"/>
                <w:szCs w:val="14"/>
                <w:color w:val="auto"/>
              </w:rPr>
            </w:pPr>
          </w:p>
        </w:tc>
        <w:tc>
          <w:tcPr>
            <w:tcW w:w="196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196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Broker/Dealer bids or quotes</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62"/>
        </w:trPr>
        <w:tc>
          <w:tcPr>
            <w:tcW w:w="35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First lien</w:t>
            </w:r>
          </w:p>
        </w:tc>
        <w:tc>
          <w:tcPr>
            <w:tcW w:w="2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5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349,072,758</w:t>
            </w:r>
          </w:p>
        </w:tc>
        <w:tc>
          <w:tcPr>
            <w:tcW w:w="260" w:type="dxa"/>
            <w:vAlign w:val="bottom"/>
            <w:shd w:val="clear" w:color="auto" w:fill="CCECFF"/>
          </w:tcPr>
          <w:p>
            <w:pPr>
              <w:spacing w:after="0"/>
              <w:rPr>
                <w:sz w:val="14"/>
                <w:szCs w:val="14"/>
                <w:color w:val="auto"/>
              </w:rPr>
            </w:pPr>
          </w:p>
        </w:tc>
        <w:tc>
          <w:tcPr>
            <w:tcW w:w="196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196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1800" w:type="dxa"/>
            <w:vAlign w:val="bottom"/>
            <w:gridSpan w:val="2"/>
            <w:shd w:val="clear" w:color="auto" w:fill="CCECFF"/>
          </w:tcPr>
          <w:p>
            <w:pPr>
              <w:jc w:val="center"/>
              <w:ind w:right="120"/>
              <w:spacing w:after="0"/>
              <w:rPr>
                <w:sz w:val="20"/>
                <w:szCs w:val="20"/>
                <w:color w:val="auto"/>
              </w:rPr>
            </w:pPr>
            <w:r>
              <w:rPr>
                <w:rFonts w:ascii="Arial" w:cs="Arial" w:eastAsia="Arial" w:hAnsi="Arial"/>
                <w:sz w:val="14"/>
                <w:szCs w:val="14"/>
                <w:color w:val="auto"/>
                <w:w w:val="93"/>
              </w:rPr>
              <w:t>5.8% – 20.6% (8.6%)</w:t>
            </w:r>
          </w:p>
        </w:tc>
        <w:tc>
          <w:tcPr>
            <w:tcW w:w="0" w:type="dxa"/>
            <w:vAlign w:val="bottom"/>
          </w:tcPr>
          <w:p>
            <w:pPr>
              <w:spacing w:after="0"/>
              <w:rPr>
                <w:sz w:val="1"/>
                <w:szCs w:val="1"/>
                <w:color w:val="auto"/>
              </w:rPr>
            </w:pPr>
          </w:p>
        </w:tc>
      </w:tr>
      <w:tr>
        <w:trPr>
          <w:trHeight w:val="162"/>
        </w:trPr>
        <w:tc>
          <w:tcPr>
            <w:tcW w:w="3580" w:type="dxa"/>
            <w:vAlign w:val="bottom"/>
            <w:gridSpan w:val="2"/>
          </w:tcPr>
          <w:p>
            <w:pPr>
              <w:spacing w:after="0"/>
              <w:rPr>
                <w:sz w:val="20"/>
                <w:szCs w:val="20"/>
                <w:color w:val="auto"/>
              </w:rPr>
            </w:pPr>
            <w:r>
              <w:rPr>
                <w:rFonts w:ascii="Arial" w:cs="Arial" w:eastAsia="Arial" w:hAnsi="Arial"/>
                <w:sz w:val="14"/>
                <w:szCs w:val="14"/>
                <w:color w:val="auto"/>
              </w:rPr>
              <w:t>Second lien</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35,333,394</w:t>
            </w:r>
          </w:p>
        </w:tc>
        <w:tc>
          <w:tcPr>
            <w:tcW w:w="260" w:type="dxa"/>
            <w:vAlign w:val="bottom"/>
          </w:tcPr>
          <w:p>
            <w:pPr>
              <w:spacing w:after="0"/>
              <w:rPr>
                <w:sz w:val="14"/>
                <w:szCs w:val="14"/>
                <w:color w:val="auto"/>
              </w:rPr>
            </w:pPr>
          </w:p>
        </w:tc>
        <w:tc>
          <w:tcPr>
            <w:tcW w:w="196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1960" w:type="dxa"/>
            <w:vAlign w:val="bottom"/>
            <w:gridSpan w:val="2"/>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9.6% – 14.0% (11.7%)</w:t>
            </w:r>
          </w:p>
        </w:tc>
        <w:tc>
          <w:tcPr>
            <w:tcW w:w="0" w:type="dxa"/>
            <w:vAlign w:val="bottom"/>
          </w:tcPr>
          <w:p>
            <w:pPr>
              <w:spacing w:after="0"/>
              <w:rPr>
                <w:sz w:val="1"/>
                <w:szCs w:val="1"/>
                <w:color w:val="auto"/>
              </w:rPr>
            </w:pPr>
          </w:p>
        </w:tc>
      </w:tr>
      <w:tr>
        <w:trPr>
          <w:trHeight w:val="162"/>
        </w:trPr>
        <w:tc>
          <w:tcPr>
            <w:tcW w:w="35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Subordinated debt / corporate notes</w:t>
            </w:r>
          </w:p>
        </w:tc>
        <w:tc>
          <w:tcPr>
            <w:tcW w:w="2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5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37,532,373</w:t>
            </w:r>
          </w:p>
        </w:tc>
        <w:tc>
          <w:tcPr>
            <w:tcW w:w="260" w:type="dxa"/>
            <w:vAlign w:val="bottom"/>
            <w:shd w:val="clear" w:color="auto" w:fill="CCECFF"/>
          </w:tcPr>
          <w:p>
            <w:pPr>
              <w:spacing w:after="0"/>
              <w:rPr>
                <w:sz w:val="14"/>
                <w:szCs w:val="14"/>
                <w:color w:val="auto"/>
              </w:rPr>
            </w:pPr>
          </w:p>
        </w:tc>
        <w:tc>
          <w:tcPr>
            <w:tcW w:w="196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196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1800" w:type="dxa"/>
            <w:vAlign w:val="bottom"/>
            <w:gridSpan w:val="2"/>
            <w:shd w:val="clear" w:color="auto" w:fill="CCECFF"/>
          </w:tcPr>
          <w:p>
            <w:pPr>
              <w:jc w:val="center"/>
              <w:ind w:right="120"/>
              <w:spacing w:after="0"/>
              <w:rPr>
                <w:sz w:val="20"/>
                <w:szCs w:val="20"/>
                <w:color w:val="auto"/>
              </w:rPr>
            </w:pPr>
            <w:r>
              <w:rPr>
                <w:rFonts w:ascii="Arial" w:cs="Arial" w:eastAsia="Arial" w:hAnsi="Arial"/>
                <w:sz w:val="14"/>
                <w:szCs w:val="14"/>
                <w:color w:val="auto"/>
                <w:w w:val="94"/>
              </w:rPr>
              <w:t>9.8% – 16.7% (10.4%)</w:t>
            </w:r>
          </w:p>
        </w:tc>
        <w:tc>
          <w:tcPr>
            <w:tcW w:w="0" w:type="dxa"/>
            <w:vAlign w:val="bottom"/>
          </w:tcPr>
          <w:p>
            <w:pPr>
              <w:spacing w:after="0"/>
              <w:rPr>
                <w:sz w:val="1"/>
                <w:szCs w:val="1"/>
                <w:color w:val="auto"/>
              </w:rPr>
            </w:pPr>
          </w:p>
        </w:tc>
      </w:tr>
      <w:tr>
        <w:trPr>
          <w:trHeight w:val="162"/>
        </w:trPr>
        <w:tc>
          <w:tcPr>
            <w:tcW w:w="3580" w:type="dxa"/>
            <w:vAlign w:val="bottom"/>
            <w:tcBorders>
              <w:bottom w:val="single" w:sz="8" w:color="CCECFF"/>
            </w:tcBorders>
            <w:gridSpan w:val="2"/>
          </w:tcPr>
          <w:p>
            <w:pPr>
              <w:spacing w:after="0"/>
              <w:rPr>
                <w:sz w:val="20"/>
                <w:szCs w:val="20"/>
                <w:color w:val="auto"/>
              </w:rPr>
            </w:pPr>
            <w:r>
              <w:rPr>
                <w:rFonts w:ascii="Arial" w:cs="Arial" w:eastAsia="Arial" w:hAnsi="Arial"/>
                <w:sz w:val="14"/>
                <w:szCs w:val="14"/>
                <w:color w:val="auto"/>
              </w:rPr>
              <w:t>Equity</w:t>
            </w:r>
          </w:p>
        </w:tc>
        <w:tc>
          <w:tcPr>
            <w:tcW w:w="20" w:type="dxa"/>
            <w:vAlign w:val="bottom"/>
            <w:tcBorders>
              <w:bottom w:val="single" w:sz="8" w:color="CCEC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12,023,298</w:t>
            </w:r>
          </w:p>
        </w:tc>
        <w:tc>
          <w:tcPr>
            <w:tcW w:w="260" w:type="dxa"/>
            <w:vAlign w:val="bottom"/>
            <w:tcBorders>
              <w:bottom w:val="single" w:sz="8" w:color="CCECFF"/>
            </w:tcBorders>
          </w:tcPr>
          <w:p>
            <w:pPr>
              <w:spacing w:after="0"/>
              <w:rPr>
                <w:sz w:val="14"/>
                <w:szCs w:val="14"/>
                <w:color w:val="auto"/>
              </w:rPr>
            </w:pPr>
          </w:p>
        </w:tc>
        <w:tc>
          <w:tcPr>
            <w:tcW w:w="1960" w:type="dxa"/>
            <w:vAlign w:val="bottom"/>
            <w:tcBorders>
              <w:bottom w:val="single" w:sz="8" w:color="CCECFF"/>
            </w:tcBorders>
            <w:gridSpan w:val="2"/>
          </w:tcPr>
          <w:p>
            <w:pPr>
              <w:jc w:val="center"/>
              <w:ind w:right="160"/>
              <w:spacing w:after="0"/>
              <w:rPr>
                <w:sz w:val="20"/>
                <w:szCs w:val="20"/>
                <w:color w:val="auto"/>
              </w:rPr>
            </w:pPr>
            <w:r>
              <w:rPr>
                <w:rFonts w:ascii="Arial" w:cs="Arial" w:eastAsia="Arial" w:hAnsi="Arial"/>
                <w:sz w:val="14"/>
                <w:szCs w:val="14"/>
                <w:color w:val="auto"/>
                <w:w w:val="93"/>
              </w:rPr>
              <w:t>Enterprise Market Value</w:t>
            </w:r>
          </w:p>
        </w:tc>
        <w:tc>
          <w:tcPr>
            <w:tcW w:w="1960" w:type="dxa"/>
            <w:vAlign w:val="bottom"/>
            <w:tcBorders>
              <w:bottom w:val="single" w:sz="8" w:color="CCECFF"/>
            </w:tcBorders>
            <w:gridSpan w:val="2"/>
          </w:tcPr>
          <w:p>
            <w:pPr>
              <w:jc w:val="center"/>
              <w:ind w:right="160"/>
              <w:spacing w:after="0"/>
              <w:rPr>
                <w:sz w:val="20"/>
                <w:szCs w:val="20"/>
                <w:color w:val="auto"/>
              </w:rPr>
            </w:pPr>
            <w:r>
              <w:rPr>
                <w:rFonts w:ascii="Arial" w:cs="Arial" w:eastAsia="Arial" w:hAnsi="Arial"/>
                <w:sz w:val="14"/>
                <w:szCs w:val="14"/>
                <w:color w:val="auto"/>
              </w:rPr>
              <w:t>EBITDA multiple</w:t>
            </w:r>
          </w:p>
        </w:tc>
        <w:tc>
          <w:tcPr>
            <w:tcW w:w="1800" w:type="dxa"/>
            <w:vAlign w:val="bottom"/>
            <w:tcBorders>
              <w:bottom w:val="single" w:sz="8" w:color="CCECFF"/>
            </w:tcBorders>
            <w:gridSpan w:val="2"/>
          </w:tcPr>
          <w:p>
            <w:pPr>
              <w:jc w:val="center"/>
              <w:ind w:right="120"/>
              <w:spacing w:after="0"/>
              <w:rPr>
                <w:sz w:val="20"/>
                <w:szCs w:val="20"/>
                <w:color w:val="auto"/>
              </w:rPr>
            </w:pPr>
            <w:r>
              <w:rPr>
                <w:rFonts w:ascii="Arial" w:cs="Arial" w:eastAsia="Arial" w:hAnsi="Arial"/>
                <w:sz w:val="14"/>
                <w:szCs w:val="14"/>
                <w:color w:val="auto"/>
                <w:w w:val="95"/>
              </w:rPr>
              <w:t>6.5x–9.0x (7.8x)</w:t>
            </w:r>
          </w:p>
        </w:tc>
        <w:tc>
          <w:tcPr>
            <w:tcW w:w="0" w:type="dxa"/>
            <w:vAlign w:val="bottom"/>
          </w:tcPr>
          <w:p>
            <w:pPr>
              <w:spacing w:after="0"/>
              <w:rPr>
                <w:sz w:val="1"/>
                <w:szCs w:val="1"/>
                <w:color w:val="auto"/>
              </w:rPr>
            </w:pPr>
          </w:p>
        </w:tc>
      </w:tr>
      <w:tr>
        <w:trPr>
          <w:trHeight w:val="155"/>
        </w:trPr>
        <w:tc>
          <w:tcPr>
            <w:tcW w:w="3580" w:type="dxa"/>
            <w:vAlign w:val="bottom"/>
            <w:tcBorders>
              <w:bottom w:val="single" w:sz="8" w:color="CCECFF"/>
            </w:tcBorders>
            <w:gridSpan w:val="2"/>
            <w:shd w:val="clear" w:color="auto" w:fill="CCECFF"/>
          </w:tcPr>
          <w:p>
            <w:pPr>
              <w:ind w:left="260"/>
              <w:spacing w:after="0" w:line="155" w:lineRule="exact"/>
              <w:rPr>
                <w:sz w:val="20"/>
                <w:szCs w:val="20"/>
                <w:color w:val="auto"/>
              </w:rPr>
            </w:pPr>
            <w:r>
              <w:rPr>
                <w:rFonts w:ascii="Arial" w:cs="Arial" w:eastAsia="Arial" w:hAnsi="Arial"/>
                <w:sz w:val="14"/>
                <w:szCs w:val="14"/>
                <w:color w:val="auto"/>
              </w:rPr>
              <w:t>Total Level 3 investments</w:t>
            </w:r>
          </w:p>
        </w:tc>
        <w:tc>
          <w:tcPr>
            <w:tcW w:w="20" w:type="dxa"/>
            <w:vAlign w:val="bottom"/>
            <w:tcBorders>
              <w:bottom w:val="single" w:sz="8" w:color="CCECFF"/>
            </w:tcBorders>
            <w:shd w:val="clear" w:color="auto" w:fill="CCECFF"/>
          </w:tcPr>
          <w:p>
            <w:pPr>
              <w:spacing w:after="0"/>
              <w:rPr>
                <w:sz w:val="13"/>
                <w:szCs w:val="13"/>
                <w:color w:val="auto"/>
              </w:rPr>
            </w:pPr>
          </w:p>
        </w:tc>
        <w:tc>
          <w:tcPr>
            <w:tcW w:w="140" w:type="dxa"/>
            <w:vAlign w:val="bottom"/>
            <w:tcBorders>
              <w:bottom w:val="single" w:sz="8" w:color="auto"/>
            </w:tcBorders>
            <w:shd w:val="clear" w:color="auto" w:fill="CCECFF"/>
          </w:tcPr>
          <w:p>
            <w:pPr>
              <w:jc w:val="right"/>
              <w:ind w:right="29"/>
              <w:spacing w:after="0"/>
              <w:rPr>
                <w:sz w:val="20"/>
                <w:szCs w:val="20"/>
                <w:color w:val="auto"/>
              </w:rPr>
            </w:pPr>
            <w:r>
              <w:rPr>
                <w:rFonts w:ascii="Arial" w:cs="Arial" w:eastAsia="Arial" w:hAnsi="Arial"/>
                <w:sz w:val="10"/>
                <w:szCs w:val="10"/>
                <w:color w:val="auto"/>
                <w:w w:val="71"/>
              </w:rPr>
              <w:t>$</w:t>
            </w:r>
          </w:p>
        </w:tc>
        <w:tc>
          <w:tcPr>
            <w:tcW w:w="15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697,057,619</w:t>
            </w:r>
          </w:p>
        </w:tc>
        <w:tc>
          <w:tcPr>
            <w:tcW w:w="260" w:type="dxa"/>
            <w:vAlign w:val="bottom"/>
            <w:tcBorders>
              <w:bottom w:val="single" w:sz="8" w:color="CCECFF"/>
            </w:tcBorders>
            <w:shd w:val="clear" w:color="auto" w:fill="CCECFF"/>
          </w:tcPr>
          <w:p>
            <w:pPr>
              <w:spacing w:after="0"/>
              <w:rPr>
                <w:sz w:val="13"/>
                <w:szCs w:val="13"/>
                <w:color w:val="auto"/>
              </w:rPr>
            </w:pPr>
          </w:p>
        </w:tc>
        <w:tc>
          <w:tcPr>
            <w:tcW w:w="1800" w:type="dxa"/>
            <w:vAlign w:val="bottom"/>
            <w:tcBorders>
              <w:bottom w:val="single" w:sz="8" w:color="CCECFF"/>
            </w:tcBorders>
            <w:shd w:val="clear" w:color="auto" w:fill="CCECFF"/>
          </w:tcPr>
          <w:p>
            <w:pPr>
              <w:spacing w:after="0"/>
              <w:rPr>
                <w:sz w:val="13"/>
                <w:szCs w:val="13"/>
                <w:color w:val="auto"/>
              </w:rPr>
            </w:pPr>
          </w:p>
        </w:tc>
        <w:tc>
          <w:tcPr>
            <w:tcW w:w="160" w:type="dxa"/>
            <w:vAlign w:val="bottom"/>
            <w:tcBorders>
              <w:bottom w:val="single" w:sz="8" w:color="CCECFF"/>
            </w:tcBorders>
            <w:shd w:val="clear" w:color="auto" w:fill="CCECFF"/>
          </w:tcPr>
          <w:p>
            <w:pPr>
              <w:spacing w:after="0"/>
              <w:rPr>
                <w:sz w:val="13"/>
                <w:szCs w:val="13"/>
                <w:color w:val="auto"/>
              </w:rPr>
            </w:pPr>
          </w:p>
        </w:tc>
        <w:tc>
          <w:tcPr>
            <w:tcW w:w="1800" w:type="dxa"/>
            <w:vAlign w:val="bottom"/>
            <w:tcBorders>
              <w:bottom w:val="single" w:sz="8" w:color="CCECFF"/>
            </w:tcBorders>
            <w:shd w:val="clear" w:color="auto" w:fill="CCECFF"/>
          </w:tcPr>
          <w:p>
            <w:pPr>
              <w:spacing w:after="0"/>
              <w:rPr>
                <w:sz w:val="13"/>
                <w:szCs w:val="13"/>
                <w:color w:val="auto"/>
              </w:rPr>
            </w:pPr>
          </w:p>
        </w:tc>
        <w:tc>
          <w:tcPr>
            <w:tcW w:w="160" w:type="dxa"/>
            <w:vAlign w:val="bottom"/>
            <w:tcBorders>
              <w:bottom w:val="single" w:sz="8" w:color="CCECFF"/>
            </w:tcBorders>
            <w:shd w:val="clear" w:color="auto" w:fill="CCECFF"/>
          </w:tcPr>
          <w:p>
            <w:pPr>
              <w:spacing w:after="0"/>
              <w:rPr>
                <w:sz w:val="13"/>
                <w:szCs w:val="13"/>
                <w:color w:val="auto"/>
              </w:rPr>
            </w:pPr>
          </w:p>
        </w:tc>
        <w:tc>
          <w:tcPr>
            <w:tcW w:w="1700" w:type="dxa"/>
            <w:vAlign w:val="bottom"/>
            <w:tcBorders>
              <w:bottom w:val="single" w:sz="8" w:color="CCECFF"/>
            </w:tcBorders>
            <w:shd w:val="clear" w:color="auto" w:fill="CCECFF"/>
          </w:tcPr>
          <w:p>
            <w:pPr>
              <w:spacing w:after="0"/>
              <w:rPr>
                <w:sz w:val="13"/>
                <w:szCs w:val="13"/>
                <w:color w:val="auto"/>
              </w:rPr>
            </w:pPr>
          </w:p>
        </w:tc>
        <w:tc>
          <w:tcPr>
            <w:tcW w:w="10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80" w:type="dxa"/>
            <w:vAlign w:val="bottom"/>
            <w:gridSpan w:val="2"/>
            <w:vMerge w:val="restart"/>
          </w:tcPr>
          <w:p>
            <w:pPr>
              <w:spacing w:after="0"/>
              <w:rPr>
                <w:sz w:val="20"/>
                <w:szCs w:val="20"/>
                <w:color w:val="auto"/>
              </w:rPr>
            </w:pPr>
            <w:r>
              <w:rPr>
                <w:rFonts w:ascii="Arial" w:cs="Arial" w:eastAsia="Arial" w:hAnsi="Arial"/>
                <w:sz w:val="14"/>
                <w:szCs w:val="14"/>
                <w:color w:val="auto"/>
              </w:rPr>
              <w:t>Long-Term Credit Facility</w:t>
            </w:r>
          </w:p>
        </w:tc>
        <w:tc>
          <w:tcPr>
            <w:tcW w:w="16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60" w:type="dxa"/>
            <w:vAlign w:val="bottom"/>
            <w:gridSpan w:val="2"/>
            <w:vMerge w:val="restart"/>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1960" w:type="dxa"/>
            <w:vAlign w:val="bottom"/>
            <w:gridSpan w:val="2"/>
            <w:vMerge w:val="restart"/>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1700" w:type="dxa"/>
            <w:vAlign w:val="bottom"/>
            <w:vMerge w:val="restart"/>
          </w:tcPr>
          <w:p>
            <w:pPr>
              <w:jc w:val="right"/>
              <w:ind w:right="588"/>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580" w:type="dxa"/>
            <w:vAlign w:val="bottom"/>
            <w:gridSpan w:val="2"/>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5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256,858,457</w:t>
            </w:r>
          </w:p>
        </w:tc>
        <w:tc>
          <w:tcPr>
            <w:tcW w:w="260" w:type="dxa"/>
            <w:vAlign w:val="bottom"/>
          </w:tcPr>
          <w:p>
            <w:pPr>
              <w:spacing w:after="0"/>
              <w:rPr>
                <w:sz w:val="12"/>
                <w:szCs w:val="12"/>
                <w:color w:val="auto"/>
              </w:rPr>
            </w:pPr>
          </w:p>
        </w:tc>
        <w:tc>
          <w:tcPr>
            <w:tcW w:w="1960" w:type="dxa"/>
            <w:vAlign w:val="bottom"/>
            <w:gridSpan w:val="2"/>
            <w:vMerge w:val="continue"/>
          </w:tcPr>
          <w:p>
            <w:pPr>
              <w:spacing w:after="0"/>
              <w:rPr>
                <w:sz w:val="12"/>
                <w:szCs w:val="12"/>
                <w:color w:val="auto"/>
              </w:rPr>
            </w:pPr>
          </w:p>
        </w:tc>
        <w:tc>
          <w:tcPr>
            <w:tcW w:w="1960" w:type="dxa"/>
            <w:vAlign w:val="bottom"/>
            <w:gridSpan w:val="2"/>
            <w:vMerge w:val="continue"/>
          </w:tcPr>
          <w:p>
            <w:pPr>
              <w:spacing w:after="0"/>
              <w:rPr>
                <w:sz w:val="12"/>
                <w:szCs w:val="12"/>
                <w:color w:val="auto"/>
              </w:rPr>
            </w:pPr>
          </w:p>
        </w:tc>
        <w:tc>
          <w:tcPr>
            <w:tcW w:w="17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Our investments, cash and cash equivalents, Credit Facility and the 2023 Notes were categorized as follows in the fair value hierarchy for ASC 820 purposes: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Fair Value at June 30, 2018</w:t>
            </w: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1"/>
                <w:szCs w:val="11"/>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Level 3</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tcPr>
          <w:p>
            <w:pPr>
              <w:jc w:val="center"/>
              <w:ind w:right="48"/>
              <w:spacing w:after="0" w:line="133" w:lineRule="exact"/>
              <w:rPr>
                <w:sz w:val="20"/>
                <w:szCs w:val="20"/>
                <w:color w:val="auto"/>
              </w:rPr>
            </w:pPr>
            <w:r>
              <w:rPr>
                <w:rFonts w:ascii="Arial" w:cs="Arial" w:eastAsia="Arial" w:hAnsi="Arial"/>
                <w:sz w:val="14"/>
                <w:szCs w:val="14"/>
                <w:b w:val="1"/>
                <w:bCs w:val="1"/>
                <w:color w:val="auto"/>
                <w:w w:val="94"/>
              </w:rPr>
              <w:t>Measured at 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8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 xml:space="preserve">Asset Value </w:t>
            </w:r>
            <w:r>
              <w:rPr>
                <w:rFonts w:ascii="Arial" w:cs="Arial" w:eastAsia="Arial" w:hAnsi="Arial"/>
                <w:sz w:val="12"/>
                <w:szCs w:val="12"/>
                <w:b w:val="1"/>
                <w:bCs w:val="1"/>
                <w:color w:val="auto"/>
                <w:w w:val="89"/>
              </w:rPr>
              <w:t>(1)</w:t>
            </w:r>
          </w:p>
        </w:tc>
        <w:tc>
          <w:tcPr>
            <w:tcW w:w="0" w:type="dxa"/>
            <w:vAlign w:val="bottom"/>
          </w:tcPr>
          <w:p>
            <w:pPr>
              <w:spacing w:after="0"/>
              <w:rPr>
                <w:sz w:val="1"/>
                <w:szCs w:val="1"/>
                <w:color w:val="auto"/>
              </w:rPr>
            </w:pPr>
          </w:p>
        </w:tc>
      </w:tr>
      <w:tr>
        <w:trPr>
          <w:trHeight w:val="156"/>
        </w:trPr>
        <w:tc>
          <w:tcPr>
            <w:tcW w:w="3800" w:type="dxa"/>
            <w:vAlign w:val="bottom"/>
            <w:tcBorders>
              <w:top w:val="single" w:sz="8" w:color="auto"/>
            </w:tcBorders>
            <w:gridSpan w:val="2"/>
            <w:shd w:val="clear" w:color="auto" w:fill="CCECFF"/>
          </w:tcPr>
          <w:p>
            <w:pPr>
              <w:spacing w:after="0" w:line="155" w:lineRule="exact"/>
              <w:rPr>
                <w:sz w:val="20"/>
                <w:szCs w:val="20"/>
                <w:color w:val="auto"/>
              </w:rPr>
            </w:pPr>
            <w:r>
              <w:rPr>
                <w:rFonts w:ascii="Arial" w:cs="Arial" w:eastAsia="Arial" w:hAnsi="Arial"/>
                <w:sz w:val="14"/>
                <w:szCs w:val="14"/>
                <w:color w:val="auto"/>
              </w:rPr>
              <w:t>First lien</w:t>
            </w:r>
          </w:p>
        </w:tc>
        <w:tc>
          <w:tcPr>
            <w:tcW w:w="140" w:type="dxa"/>
            <w:vAlign w:val="bottom"/>
            <w:tcBorders>
              <w:top w:val="single" w:sz="8" w:color="CCECFF"/>
            </w:tcBorders>
            <w:shd w:val="clear" w:color="auto" w:fill="CCECFF"/>
          </w:tcPr>
          <w:p>
            <w:pPr>
              <w:spacing w:after="0"/>
              <w:rPr>
                <w:sz w:val="13"/>
                <w:szCs w:val="13"/>
                <w:color w:val="auto"/>
              </w:rPr>
            </w:pPr>
          </w:p>
        </w:tc>
        <w:tc>
          <w:tcPr>
            <w:tcW w:w="180" w:type="dxa"/>
            <w:vAlign w:val="bottom"/>
            <w:tcBorders>
              <w:top w:val="single" w:sz="8" w:color="auto"/>
            </w:tcBorders>
            <w:shd w:val="clear" w:color="auto" w:fill="CCECFF"/>
          </w:tcPr>
          <w:p>
            <w:pPr>
              <w:jc w:val="right"/>
              <w:ind w:right="69"/>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819,938,504</w:t>
            </w:r>
          </w:p>
        </w:tc>
        <w:tc>
          <w:tcPr>
            <w:tcW w:w="24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CFF"/>
          </w:tcPr>
          <w:p>
            <w:pPr>
              <w:ind w:left="860"/>
              <w:spacing w:after="0" w:line="155" w:lineRule="exact"/>
              <w:rPr>
                <w:sz w:val="20"/>
                <w:szCs w:val="20"/>
                <w:color w:val="auto"/>
              </w:rPr>
            </w:pPr>
            <w:r>
              <w:rPr>
                <w:rFonts w:ascii="Arial" w:cs="Arial" w:eastAsia="Arial" w:hAnsi="Arial"/>
                <w:sz w:val="14"/>
                <w:szCs w:val="14"/>
                <w:color w:val="auto"/>
                <w:w w:val="85"/>
              </w:rPr>
              <w:t>—</w:t>
            </w:r>
          </w:p>
        </w:tc>
        <w:tc>
          <w:tcPr>
            <w:tcW w:w="26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jc w:val="right"/>
              <w:ind w:right="10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819,938,504</w:t>
            </w:r>
          </w:p>
        </w:tc>
        <w:tc>
          <w:tcPr>
            <w:tcW w:w="240" w:type="dxa"/>
            <w:vAlign w:val="bottom"/>
            <w:tcBorders>
              <w:top w:val="single" w:sz="8" w:color="CCECFF"/>
            </w:tcBorders>
            <w:shd w:val="clear" w:color="auto" w:fill="CCECFF"/>
          </w:tcPr>
          <w:p>
            <w:pPr>
              <w:spacing w:after="0"/>
              <w:rPr>
                <w:sz w:val="13"/>
                <w:szCs w:val="13"/>
                <w:color w:val="auto"/>
              </w:rPr>
            </w:pPr>
          </w:p>
        </w:tc>
        <w:tc>
          <w:tcPr>
            <w:tcW w:w="20" w:type="dxa"/>
            <w:vAlign w:val="bottom"/>
            <w:tcBorders>
              <w:top w:val="single" w:sz="8" w:color="CCECFF"/>
            </w:tcBorders>
            <w:shd w:val="clear" w:color="auto" w:fill="CCECFF"/>
          </w:tcPr>
          <w:p>
            <w:pPr>
              <w:spacing w:after="0"/>
              <w:rPr>
                <w:sz w:val="13"/>
                <w:szCs w:val="13"/>
                <w:color w:val="auto"/>
              </w:rPr>
            </w:pPr>
          </w:p>
        </w:tc>
        <w:tc>
          <w:tcPr>
            <w:tcW w:w="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5"/>
                <w:szCs w:val="5"/>
                <w:color w:val="auto"/>
                <w:w w:val="70"/>
              </w:rPr>
              <w:t>$</w:t>
            </w: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00" w:type="dxa"/>
            <w:vAlign w:val="bottom"/>
            <w:gridSpan w:val="2"/>
          </w:tcPr>
          <w:p>
            <w:pPr>
              <w:spacing w:after="0"/>
              <w:rPr>
                <w:sz w:val="20"/>
                <w:szCs w:val="20"/>
                <w:color w:val="auto"/>
              </w:rPr>
            </w:pPr>
            <w:r>
              <w:rPr>
                <w:rFonts w:ascii="Arial" w:cs="Arial" w:eastAsia="Arial" w:hAnsi="Arial"/>
                <w:sz w:val="14"/>
                <w:szCs w:val="14"/>
                <w:color w:val="auto"/>
              </w:rPr>
              <w:t>Second lien</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35,221,588</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35,221,588</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80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Subordinated debt / corporate notes</w:t>
            </w:r>
          </w:p>
        </w:tc>
        <w:tc>
          <w:tcPr>
            <w:tcW w:w="14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196,384</w:t>
            </w: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260" w:type="dxa"/>
            <w:vAlign w:val="bottom"/>
            <w:gridSpan w:val="2"/>
            <w:shd w:val="clear" w:color="auto" w:fill="CCECFF"/>
          </w:tcPr>
          <w:p>
            <w:pPr>
              <w:ind w:left="8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CFF"/>
          </w:tcPr>
          <w:p>
            <w:pPr>
              <w:spacing w:after="0"/>
              <w:rPr>
                <w:sz w:val="14"/>
                <w:szCs w:val="14"/>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196,384</w:t>
            </w:r>
          </w:p>
        </w:tc>
        <w:tc>
          <w:tcPr>
            <w:tcW w:w="24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c>
          <w:tcPr>
            <w:tcW w:w="1280" w:type="dxa"/>
            <w:vAlign w:val="bottom"/>
            <w:gridSpan w:val="2"/>
            <w:shd w:val="clear" w:color="auto" w:fill="CCEC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800" w:type="dxa"/>
            <w:vAlign w:val="bottom"/>
            <w:gridSpan w:val="2"/>
          </w:tcPr>
          <w:p>
            <w:pPr>
              <w:spacing w:after="0"/>
              <w:rPr>
                <w:sz w:val="20"/>
                <w:szCs w:val="20"/>
                <w:color w:val="auto"/>
              </w:rPr>
            </w:pPr>
            <w:r>
              <w:rPr>
                <w:rFonts w:ascii="Arial" w:cs="Arial" w:eastAsia="Arial" w:hAnsi="Arial"/>
                <w:sz w:val="14"/>
                <w:szCs w:val="14"/>
                <w:color w:val="auto"/>
              </w:rPr>
              <w:t>Equity</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51,796,311</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398</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14,896,941</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36,898,972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800" w:type="dxa"/>
            <w:vAlign w:val="bottom"/>
            <w:tcBorders>
              <w:top w:val="single" w:sz="8" w:color="CCECFF"/>
            </w:tcBorders>
            <w:gridSpan w:val="2"/>
            <w:shd w:val="clear" w:color="auto" w:fill="CCECFF"/>
          </w:tcPr>
          <w:p>
            <w:pPr>
              <w:ind w:left="500"/>
              <w:spacing w:after="0" w:line="155" w:lineRule="exact"/>
              <w:rPr>
                <w:sz w:val="20"/>
                <w:szCs w:val="20"/>
                <w:color w:val="auto"/>
              </w:rPr>
            </w:pPr>
            <w:r>
              <w:rPr>
                <w:rFonts w:ascii="Arial" w:cs="Arial" w:eastAsia="Arial" w:hAnsi="Arial"/>
                <w:sz w:val="14"/>
                <w:szCs w:val="14"/>
                <w:color w:val="auto"/>
              </w:rPr>
              <w:t>Total investments</w:t>
            </w:r>
          </w:p>
        </w:tc>
        <w:tc>
          <w:tcPr>
            <w:tcW w:w="140" w:type="dxa"/>
            <w:vAlign w:val="bottom"/>
            <w:tcBorders>
              <w:top w:val="single" w:sz="8" w:color="CCECFF"/>
            </w:tcBorders>
            <w:shd w:val="clear" w:color="auto" w:fill="CCECFF"/>
          </w:tcPr>
          <w:p>
            <w:pPr>
              <w:spacing w:after="0"/>
              <w:rPr>
                <w:sz w:val="13"/>
                <w:szCs w:val="13"/>
                <w:color w:val="auto"/>
              </w:rPr>
            </w:pPr>
          </w:p>
        </w:tc>
        <w:tc>
          <w:tcPr>
            <w:tcW w:w="180" w:type="dxa"/>
            <w:vAlign w:val="bottom"/>
            <w:tcBorders>
              <w:top w:val="single" w:sz="8" w:color="auto"/>
              <w:bottom w:val="single" w:sz="8" w:color="auto"/>
            </w:tcBorders>
            <w:shd w:val="clear" w:color="auto" w:fill="CCECFF"/>
          </w:tcPr>
          <w:p>
            <w:pPr>
              <w:spacing w:after="0"/>
              <w:rPr>
                <w:sz w:val="13"/>
                <w:szCs w:val="13"/>
                <w:color w:val="auto"/>
              </w:rPr>
            </w:pPr>
          </w:p>
        </w:tc>
        <w:tc>
          <w:tcPr>
            <w:tcW w:w="106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907,152,787</w:t>
            </w:r>
          </w:p>
        </w:tc>
        <w:tc>
          <w:tcPr>
            <w:tcW w:w="24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bottom w:val="single" w:sz="8" w:color="auto"/>
            </w:tcBorders>
            <w:shd w:val="clear" w:color="auto" w:fill="CCECFF"/>
          </w:tcPr>
          <w:p>
            <w:pPr>
              <w:spacing w:after="0"/>
              <w:rPr>
                <w:sz w:val="13"/>
                <w:szCs w:val="13"/>
                <w:color w:val="auto"/>
              </w:rPr>
            </w:pPr>
          </w:p>
        </w:tc>
        <w:tc>
          <w:tcPr>
            <w:tcW w:w="10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398</w:t>
            </w:r>
          </w:p>
        </w:tc>
        <w:tc>
          <w:tcPr>
            <w:tcW w:w="24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bottom w:val="single" w:sz="8" w:color="auto"/>
            </w:tcBorders>
            <w:shd w:val="clear" w:color="auto" w:fill="CCECFF"/>
          </w:tcPr>
          <w:p>
            <w:pPr>
              <w:spacing w:after="0"/>
              <w:rPr>
                <w:sz w:val="13"/>
                <w:szCs w:val="13"/>
                <w:color w:val="auto"/>
              </w:rPr>
            </w:pPr>
          </w:p>
        </w:tc>
        <w:tc>
          <w:tcPr>
            <w:tcW w:w="1000" w:type="dxa"/>
            <w:vAlign w:val="bottom"/>
            <w:tcBorders>
              <w:top w:val="single" w:sz="8" w:color="auto"/>
              <w:bottom w:val="single" w:sz="8" w:color="auto"/>
            </w:tcBorders>
            <w:shd w:val="clear" w:color="auto" w:fill="CCECFF"/>
          </w:tcPr>
          <w:p>
            <w:pPr>
              <w:ind w:left="860"/>
              <w:spacing w:after="0" w:line="155" w:lineRule="exact"/>
              <w:rPr>
                <w:sz w:val="20"/>
                <w:szCs w:val="20"/>
                <w:color w:val="auto"/>
              </w:rPr>
            </w:pPr>
            <w:r>
              <w:rPr>
                <w:rFonts w:ascii="Arial" w:cs="Arial" w:eastAsia="Arial" w:hAnsi="Arial"/>
                <w:sz w:val="14"/>
                <w:szCs w:val="14"/>
                <w:color w:val="auto"/>
                <w:w w:val="85"/>
              </w:rPr>
              <w:t>—</w:t>
            </w:r>
          </w:p>
        </w:tc>
        <w:tc>
          <w:tcPr>
            <w:tcW w:w="26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bottom w:val="single" w:sz="8" w:color="auto"/>
            </w:tcBorders>
            <w:shd w:val="clear" w:color="auto" w:fill="CCECFF"/>
          </w:tcPr>
          <w:p>
            <w:pPr>
              <w:spacing w:after="0"/>
              <w:rPr>
                <w:sz w:val="13"/>
                <w:szCs w:val="13"/>
                <w:color w:val="auto"/>
              </w:rPr>
            </w:pPr>
          </w:p>
        </w:tc>
        <w:tc>
          <w:tcPr>
            <w:tcW w:w="10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870,253,417</w:t>
            </w:r>
          </w:p>
        </w:tc>
        <w:tc>
          <w:tcPr>
            <w:tcW w:w="240" w:type="dxa"/>
            <w:vAlign w:val="bottom"/>
            <w:tcBorders>
              <w:top w:val="single" w:sz="8" w:color="CCECFF"/>
            </w:tcBorders>
            <w:shd w:val="clear" w:color="auto" w:fill="CCECFF"/>
          </w:tcPr>
          <w:p>
            <w:pPr>
              <w:spacing w:after="0"/>
              <w:rPr>
                <w:sz w:val="13"/>
                <w:szCs w:val="13"/>
                <w:color w:val="auto"/>
              </w:rPr>
            </w:pPr>
          </w:p>
        </w:tc>
        <w:tc>
          <w:tcPr>
            <w:tcW w:w="20" w:type="dxa"/>
            <w:vAlign w:val="bottom"/>
            <w:tcBorders>
              <w:top w:val="single" w:sz="8" w:color="CCECFF"/>
            </w:tcBorders>
            <w:shd w:val="clear" w:color="auto" w:fill="CCECFF"/>
          </w:tcPr>
          <w:p>
            <w:pPr>
              <w:spacing w:after="0"/>
              <w:rPr>
                <w:sz w:val="13"/>
                <w:szCs w:val="13"/>
                <w:color w:val="auto"/>
              </w:rPr>
            </w:pPr>
          </w:p>
        </w:tc>
        <w:tc>
          <w:tcPr>
            <w:tcW w:w="60" w:type="dxa"/>
            <w:vAlign w:val="bottom"/>
            <w:tcBorders>
              <w:top w:val="single" w:sz="8" w:color="auto"/>
              <w:bottom w:val="single" w:sz="8" w:color="auto"/>
            </w:tcBorders>
            <w:shd w:val="clear" w:color="auto" w:fill="CCECFF"/>
          </w:tcPr>
          <w:p>
            <w:pPr>
              <w:spacing w:after="0"/>
              <w:rPr>
                <w:sz w:val="13"/>
                <w:szCs w:val="13"/>
                <w:color w:val="auto"/>
              </w:rPr>
            </w:pPr>
          </w:p>
        </w:tc>
        <w:tc>
          <w:tcPr>
            <w:tcW w:w="11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36,898,972</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800" w:type="dxa"/>
            <w:vAlign w:val="bottom"/>
            <w:tcBorders>
              <w:bottom w:val="single" w:sz="8" w:color="CCECFF"/>
            </w:tcBorders>
            <w:gridSpan w:val="2"/>
          </w:tcPr>
          <w:p>
            <w:pPr>
              <w:spacing w:after="0" w:line="155" w:lineRule="exact"/>
              <w:rPr>
                <w:sz w:val="20"/>
                <w:szCs w:val="20"/>
                <w:color w:val="auto"/>
              </w:rPr>
            </w:pPr>
            <w:r>
              <w:rPr>
                <w:rFonts w:ascii="Arial" w:cs="Arial" w:eastAsia="Arial" w:hAnsi="Arial"/>
                <w:sz w:val="14"/>
                <w:szCs w:val="14"/>
                <w:color w:val="auto"/>
              </w:rPr>
              <w:t>Cash and cash equivalents</w:t>
            </w:r>
          </w:p>
        </w:tc>
        <w:tc>
          <w:tcPr>
            <w:tcW w:w="140" w:type="dxa"/>
            <w:vAlign w:val="bottom"/>
            <w:tcBorders>
              <w:bottom w:val="single" w:sz="8" w:color="CCEC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31,178,070</w:t>
            </w:r>
          </w:p>
        </w:tc>
        <w:tc>
          <w:tcPr>
            <w:tcW w:w="24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31,178,070</w:t>
            </w:r>
          </w:p>
        </w:tc>
        <w:tc>
          <w:tcPr>
            <w:tcW w:w="24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ind w:left="860"/>
              <w:spacing w:after="0" w:line="155" w:lineRule="exact"/>
              <w:rPr>
                <w:sz w:val="20"/>
                <w:szCs w:val="20"/>
                <w:color w:val="auto"/>
              </w:rPr>
            </w:pPr>
            <w:r>
              <w:rPr>
                <w:rFonts w:ascii="Arial" w:cs="Arial" w:eastAsia="Arial" w:hAnsi="Arial"/>
                <w:sz w:val="14"/>
                <w:szCs w:val="14"/>
                <w:color w:val="auto"/>
                <w:w w:val="85"/>
              </w:rPr>
              <w:t>—</w:t>
            </w:r>
          </w:p>
        </w:tc>
        <w:tc>
          <w:tcPr>
            <w:tcW w:w="260" w:type="dxa"/>
            <w:vAlign w:val="bottom"/>
            <w:tcBorders>
              <w:bottom w:val="single" w:sz="8" w:color="CCEC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CCECFF"/>
            </w:tcBorders>
          </w:tcPr>
          <w:p>
            <w:pPr>
              <w:spacing w:after="0"/>
              <w:rPr>
                <w:sz w:val="13"/>
                <w:szCs w:val="13"/>
                <w:color w:val="auto"/>
              </w:rPr>
            </w:pPr>
          </w:p>
        </w:tc>
        <w:tc>
          <w:tcPr>
            <w:tcW w:w="20" w:type="dxa"/>
            <w:vAlign w:val="bottom"/>
            <w:tcBorders>
              <w:bottom w:val="single" w:sz="8" w:color="CCEC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800" w:type="dxa"/>
            <w:vAlign w:val="bottom"/>
            <w:tcBorders>
              <w:bottom w:val="single" w:sz="8" w:color="CCECFF"/>
            </w:tcBorders>
            <w:gridSpan w:val="2"/>
            <w:shd w:val="clear" w:color="auto" w:fill="CCECFF"/>
          </w:tcPr>
          <w:p>
            <w:pPr>
              <w:ind w:left="500"/>
              <w:spacing w:after="0" w:line="155" w:lineRule="exact"/>
              <w:rPr>
                <w:sz w:val="20"/>
                <w:szCs w:val="20"/>
                <w:color w:val="auto"/>
              </w:rPr>
            </w:pPr>
            <w:r>
              <w:rPr>
                <w:rFonts w:ascii="Arial" w:cs="Arial" w:eastAsia="Arial" w:hAnsi="Arial"/>
                <w:sz w:val="14"/>
                <w:szCs w:val="14"/>
                <w:color w:val="auto"/>
              </w:rPr>
              <w:t>Total investments and cash and cash equivalents</w:t>
            </w:r>
          </w:p>
        </w:tc>
        <w:tc>
          <w:tcPr>
            <w:tcW w:w="140" w:type="dxa"/>
            <w:vAlign w:val="bottom"/>
            <w:tcBorders>
              <w:bottom w:val="single" w:sz="8" w:color="CCECFF"/>
            </w:tcBorders>
            <w:shd w:val="clear" w:color="auto" w:fill="CCECFF"/>
          </w:tcPr>
          <w:p>
            <w:pPr>
              <w:spacing w:after="0"/>
              <w:rPr>
                <w:sz w:val="13"/>
                <w:szCs w:val="13"/>
                <w:color w:val="auto"/>
              </w:rPr>
            </w:pPr>
          </w:p>
        </w:tc>
        <w:tc>
          <w:tcPr>
            <w:tcW w:w="180" w:type="dxa"/>
            <w:vAlign w:val="bottom"/>
            <w:tcBorders>
              <w:bottom w:val="single" w:sz="8" w:color="auto"/>
            </w:tcBorders>
            <w:shd w:val="clear" w:color="auto" w:fill="CCECFF"/>
          </w:tcPr>
          <w:p>
            <w:pPr>
              <w:jc w:val="right"/>
              <w:ind w:right="69"/>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938,330,857</w:t>
            </w:r>
          </w:p>
        </w:tc>
        <w:tc>
          <w:tcPr>
            <w:tcW w:w="240" w:type="dxa"/>
            <w:vAlign w:val="bottom"/>
            <w:tcBorders>
              <w:bottom w:val="single" w:sz="8" w:color="CCECFF"/>
            </w:tcBorders>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31,178,468</w:t>
            </w:r>
          </w:p>
        </w:tc>
        <w:tc>
          <w:tcPr>
            <w:tcW w:w="240" w:type="dxa"/>
            <w:vAlign w:val="bottom"/>
            <w:tcBorders>
              <w:bottom w:val="single" w:sz="8" w:color="CCECFF"/>
            </w:tcBorders>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CFF"/>
          </w:tcPr>
          <w:p>
            <w:pPr>
              <w:ind w:left="860"/>
              <w:spacing w:after="0" w:line="155" w:lineRule="exact"/>
              <w:rPr>
                <w:sz w:val="20"/>
                <w:szCs w:val="20"/>
                <w:color w:val="auto"/>
              </w:rPr>
            </w:pPr>
            <w:r>
              <w:rPr>
                <w:rFonts w:ascii="Arial" w:cs="Arial" w:eastAsia="Arial" w:hAnsi="Arial"/>
                <w:sz w:val="14"/>
                <w:szCs w:val="14"/>
                <w:color w:val="auto"/>
                <w:w w:val="85"/>
              </w:rPr>
              <w:t>—</w:t>
            </w:r>
          </w:p>
        </w:tc>
        <w:tc>
          <w:tcPr>
            <w:tcW w:w="260" w:type="dxa"/>
            <w:vAlign w:val="bottom"/>
            <w:tcBorders>
              <w:bottom w:val="single" w:sz="8" w:color="CCECFF"/>
            </w:tcBorders>
            <w:shd w:val="clear" w:color="auto" w:fill="CCECFF"/>
          </w:tcPr>
          <w:p>
            <w:pPr>
              <w:spacing w:after="0"/>
              <w:rPr>
                <w:sz w:val="13"/>
                <w:szCs w:val="13"/>
                <w:color w:val="auto"/>
              </w:rPr>
            </w:pPr>
          </w:p>
        </w:tc>
        <w:tc>
          <w:tcPr>
            <w:tcW w:w="220" w:type="dxa"/>
            <w:vAlign w:val="bottom"/>
            <w:tcBorders>
              <w:bottom w:val="single" w:sz="8" w:color="auto"/>
            </w:tcBorders>
            <w:shd w:val="clear" w:color="auto" w:fill="CCECFF"/>
          </w:tcPr>
          <w:p>
            <w:pPr>
              <w:jc w:val="right"/>
              <w:ind w:right="109"/>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870,253,417</w:t>
            </w:r>
          </w:p>
        </w:tc>
        <w:tc>
          <w:tcPr>
            <w:tcW w:w="240" w:type="dxa"/>
            <w:vAlign w:val="bottom"/>
            <w:tcBorders>
              <w:bottom w:val="single" w:sz="8" w:color="CCECFF"/>
            </w:tcBorders>
            <w:shd w:val="clear" w:color="auto" w:fill="CCECFF"/>
          </w:tcPr>
          <w:p>
            <w:pPr>
              <w:spacing w:after="0"/>
              <w:rPr>
                <w:sz w:val="13"/>
                <w:szCs w:val="13"/>
                <w:color w:val="auto"/>
              </w:rPr>
            </w:pPr>
          </w:p>
        </w:tc>
        <w:tc>
          <w:tcPr>
            <w:tcW w:w="20" w:type="dxa"/>
            <w:vAlign w:val="bottom"/>
            <w:tcBorders>
              <w:bottom w:val="single" w:sz="8" w:color="CCECFF"/>
            </w:tcBorders>
            <w:shd w:val="clear" w:color="auto" w:fill="CCECFF"/>
          </w:tcPr>
          <w:p>
            <w:pPr>
              <w:spacing w:after="0"/>
              <w:rPr>
                <w:sz w:val="13"/>
                <w:szCs w:val="13"/>
                <w:color w:val="auto"/>
              </w:rPr>
            </w:pPr>
          </w:p>
        </w:tc>
        <w:tc>
          <w:tcPr>
            <w:tcW w:w="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5"/>
                <w:szCs w:val="5"/>
                <w:color w:val="auto"/>
                <w:w w:val="70"/>
              </w:rPr>
              <w:t>$</w:t>
            </w:r>
          </w:p>
        </w:tc>
        <w:tc>
          <w:tcPr>
            <w:tcW w:w="11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36,898,972</w:t>
            </w:r>
          </w:p>
        </w:tc>
        <w:tc>
          <w:tcPr>
            <w:tcW w:w="10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00" w:type="dxa"/>
            <w:vAlign w:val="bottom"/>
            <w:gridSpan w:val="2"/>
            <w:vMerge w:val="restart"/>
          </w:tcPr>
          <w:p>
            <w:pPr>
              <w:spacing w:after="0"/>
              <w:rPr>
                <w:sz w:val="20"/>
                <w:szCs w:val="20"/>
                <w:color w:val="auto"/>
              </w:rPr>
            </w:pPr>
            <w:r>
              <w:rPr>
                <w:rFonts w:ascii="Arial" w:cs="Arial" w:eastAsia="Arial" w:hAnsi="Arial"/>
                <w:sz w:val="14"/>
                <w:szCs w:val="14"/>
                <w:color w:val="auto"/>
              </w:rPr>
              <w:t>Long-Term Credit Facility</w:t>
            </w:r>
          </w:p>
        </w:tc>
        <w:tc>
          <w:tcPr>
            <w:tcW w:w="32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8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Borders>
              <w:top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255,862,159</w:t>
            </w:r>
          </w:p>
        </w:tc>
        <w:tc>
          <w:tcPr>
            <w:tcW w:w="240" w:type="dxa"/>
            <w:vAlign w:val="bottom"/>
          </w:tcPr>
          <w:p>
            <w:pPr>
              <w:spacing w:after="0"/>
              <w:rPr>
                <w:sz w:val="12"/>
                <w:szCs w:val="12"/>
                <w:color w:val="auto"/>
              </w:rPr>
            </w:pPr>
          </w:p>
        </w:tc>
        <w:tc>
          <w:tcPr>
            <w:tcW w:w="240" w:type="dxa"/>
            <w:vAlign w:val="bottom"/>
            <w:tcBorders>
              <w:top w:val="single" w:sz="8" w:color="auto"/>
            </w:tcBorders>
          </w:tcPr>
          <w:p>
            <w:pPr>
              <w:jc w:val="right"/>
              <w:ind w:right="88"/>
              <w:spacing w:after="0" w:line="143"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240" w:type="dxa"/>
            <w:vAlign w:val="bottom"/>
            <w:tcBorders>
              <w:top w:val="single" w:sz="8" w:color="auto"/>
            </w:tcBorders>
          </w:tcPr>
          <w:p>
            <w:pPr>
              <w:jc w:val="right"/>
              <w:ind w:right="88"/>
              <w:spacing w:after="0" w:line="143"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tcPr>
          <w:p>
            <w:pPr>
              <w:ind w:left="860"/>
              <w:spacing w:after="0" w:line="143" w:lineRule="exact"/>
              <w:rPr>
                <w:sz w:val="20"/>
                <w:szCs w:val="20"/>
                <w:color w:val="auto"/>
              </w:rPr>
            </w:pPr>
            <w:r>
              <w:rPr>
                <w:rFonts w:ascii="Arial" w:cs="Arial" w:eastAsia="Arial" w:hAnsi="Arial"/>
                <w:sz w:val="14"/>
                <w:szCs w:val="14"/>
                <w:color w:val="auto"/>
                <w:w w:val="85"/>
              </w:rPr>
              <w:t>—</w:t>
            </w:r>
          </w:p>
        </w:tc>
        <w:tc>
          <w:tcPr>
            <w:tcW w:w="260" w:type="dxa"/>
            <w:vAlign w:val="bottom"/>
          </w:tcPr>
          <w:p>
            <w:pPr>
              <w:spacing w:after="0"/>
              <w:rPr>
                <w:sz w:val="12"/>
                <w:szCs w:val="12"/>
                <w:color w:val="auto"/>
              </w:rPr>
            </w:pPr>
          </w:p>
        </w:tc>
        <w:tc>
          <w:tcPr>
            <w:tcW w:w="220" w:type="dxa"/>
            <w:vAlign w:val="bottom"/>
            <w:tcBorders>
              <w:top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255,862,159</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11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80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2023 Notes</w:t>
            </w:r>
          </w:p>
        </w:tc>
        <w:tc>
          <w:tcPr>
            <w:tcW w:w="14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134,921,350</w:t>
            </w: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134,921,350</w:t>
            </w: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260" w:type="dxa"/>
            <w:vAlign w:val="bottom"/>
            <w:gridSpan w:val="2"/>
            <w:shd w:val="clear" w:color="auto" w:fill="CCECFF"/>
          </w:tcPr>
          <w:p>
            <w:pPr>
              <w:ind w:left="8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CFF"/>
          </w:tcPr>
          <w:p>
            <w:pPr>
              <w:spacing w:after="0"/>
              <w:rPr>
                <w:sz w:val="14"/>
                <w:szCs w:val="14"/>
                <w:color w:val="auto"/>
              </w:rPr>
            </w:pPr>
          </w:p>
        </w:tc>
        <w:tc>
          <w:tcPr>
            <w:tcW w:w="1260" w:type="dxa"/>
            <w:vAlign w:val="bottom"/>
            <w:gridSpan w:val="2"/>
            <w:shd w:val="clear" w:color="auto" w:fill="CCECFF"/>
          </w:tcPr>
          <w:p>
            <w:pPr>
              <w:jc w:val="right"/>
              <w:ind w:right="2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c>
          <w:tcPr>
            <w:tcW w:w="1280" w:type="dxa"/>
            <w:vAlign w:val="bottom"/>
            <w:gridSpan w:val="2"/>
            <w:shd w:val="clear" w:color="auto" w:fill="CCEC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3800" w:type="dxa"/>
            <w:vAlign w:val="bottom"/>
            <w:gridSpan w:val="2"/>
          </w:tcPr>
          <w:p>
            <w:pPr>
              <w:ind w:left="500"/>
              <w:spacing w:after="0" w:line="155" w:lineRule="exact"/>
              <w:rPr>
                <w:sz w:val="20"/>
                <w:szCs w:val="20"/>
                <w:color w:val="auto"/>
              </w:rPr>
            </w:pPr>
            <w:r>
              <w:rPr>
                <w:rFonts w:ascii="Arial" w:cs="Arial" w:eastAsia="Arial" w:hAnsi="Arial"/>
                <w:sz w:val="14"/>
                <w:szCs w:val="14"/>
                <w:color w:val="auto"/>
              </w:rPr>
              <w:t>Total debt</w:t>
            </w:r>
          </w:p>
        </w:tc>
        <w:tc>
          <w:tcPr>
            <w:tcW w:w="14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390,783,509</w:t>
            </w:r>
          </w:p>
        </w:tc>
        <w:tc>
          <w:tcPr>
            <w:tcW w:w="24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134,921,350</w:t>
            </w:r>
          </w:p>
        </w:tc>
        <w:tc>
          <w:tcPr>
            <w:tcW w:w="24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ind w:left="860"/>
              <w:spacing w:after="0" w:line="155" w:lineRule="exact"/>
              <w:rPr>
                <w:sz w:val="20"/>
                <w:szCs w:val="20"/>
                <w:color w:val="auto"/>
              </w:rPr>
            </w:pPr>
            <w:r>
              <w:rPr>
                <w:rFonts w:ascii="Arial" w:cs="Arial" w:eastAsia="Arial" w:hAnsi="Arial"/>
                <w:sz w:val="14"/>
                <w:szCs w:val="14"/>
                <w:color w:val="auto"/>
                <w:w w:val="85"/>
              </w:rPr>
              <w:t>—</w:t>
            </w:r>
          </w:p>
        </w:tc>
        <w:tc>
          <w:tcPr>
            <w:tcW w:w="26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255,862,159</w:t>
            </w:r>
          </w:p>
        </w:tc>
        <w:tc>
          <w:tcPr>
            <w:tcW w:w="2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960" w:type="dxa"/>
            <w:vAlign w:val="bottom"/>
            <w:tcBorders>
              <w:bottom w:val="single" w:sz="8" w:color="auto"/>
            </w:tcBorders>
          </w:tcPr>
          <w:p>
            <w:pPr>
              <w:spacing w:after="0"/>
              <w:rPr>
                <w:sz w:val="6"/>
                <w:szCs w:val="6"/>
                <w:color w:val="auto"/>
              </w:rPr>
            </w:pPr>
          </w:p>
        </w:tc>
        <w:tc>
          <w:tcPr>
            <w:tcW w:w="8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80" w:right="420" w:hanging="372"/>
        <w:spacing w:after="0" w:line="253" w:lineRule="auto"/>
        <w:tabs>
          <w:tab w:leader="none" w:pos="380" w:val="left"/>
        </w:tabs>
        <w:numPr>
          <w:ilvl w:val="0"/>
          <w:numId w:val="13"/>
        </w:numPr>
        <w:rPr>
          <w:rFonts w:ascii="Arial" w:cs="Arial" w:eastAsia="Arial" w:hAnsi="Arial"/>
          <w:sz w:val="12"/>
          <w:szCs w:val="12"/>
          <w:color w:val="auto"/>
        </w:rPr>
      </w:pPr>
      <w:r>
        <w:rPr>
          <w:rFonts w:ascii="Arial" w:cs="Arial" w:eastAsia="Arial" w:hAnsi="Arial"/>
          <w:sz w:val="14"/>
          <w:szCs w:val="14"/>
          <w:color w:val="auto"/>
        </w:rPr>
        <w:t>In accordance with ASC Subtopic 820-10, Fair Value Measurements and Disclosures, or ASC 820-10, certain investments that are measured using the net asset value per share (or its equivalent) as a practical expedient for fair value, have not been classified in the fair value hierarchy.</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gridSpan w:val="6"/>
          </w:tcPr>
          <w:p>
            <w:pPr>
              <w:jc w:val="right"/>
              <w:ind w:right="69"/>
              <w:spacing w:after="0"/>
              <w:rPr>
                <w:sz w:val="20"/>
                <w:szCs w:val="20"/>
                <w:color w:val="auto"/>
              </w:rPr>
            </w:pPr>
            <w:r>
              <w:rPr>
                <w:rFonts w:ascii="Arial" w:cs="Arial" w:eastAsia="Arial" w:hAnsi="Arial"/>
                <w:sz w:val="14"/>
                <w:szCs w:val="14"/>
                <w:b w:val="1"/>
                <w:bCs w:val="1"/>
                <w:color w:val="auto"/>
              </w:rPr>
              <w:t>Fair Value at September 30, 2017</w:t>
            </w:r>
          </w:p>
        </w:tc>
        <w:tc>
          <w:tcPr>
            <w:tcW w:w="9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Level 3</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tcPr>
          <w:p>
            <w:pPr>
              <w:jc w:val="center"/>
              <w:ind w:right="48"/>
              <w:spacing w:after="0" w:line="133" w:lineRule="exact"/>
              <w:rPr>
                <w:sz w:val="20"/>
                <w:szCs w:val="20"/>
                <w:color w:val="auto"/>
              </w:rPr>
            </w:pPr>
            <w:r>
              <w:rPr>
                <w:rFonts w:ascii="Arial" w:cs="Arial" w:eastAsia="Arial" w:hAnsi="Arial"/>
                <w:sz w:val="14"/>
                <w:szCs w:val="14"/>
                <w:b w:val="1"/>
                <w:bCs w:val="1"/>
                <w:color w:val="auto"/>
                <w:w w:val="94"/>
              </w:rPr>
              <w:t>Measured at 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8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 xml:space="preserve">Asset Value </w:t>
            </w:r>
            <w:r>
              <w:rPr>
                <w:rFonts w:ascii="Arial" w:cs="Arial" w:eastAsia="Arial" w:hAnsi="Arial"/>
                <w:sz w:val="12"/>
                <w:szCs w:val="12"/>
                <w:b w:val="1"/>
                <w:bCs w:val="1"/>
                <w:color w:val="auto"/>
                <w:w w:val="89"/>
              </w:rPr>
              <w:t>(1)</w:t>
            </w:r>
          </w:p>
        </w:tc>
        <w:tc>
          <w:tcPr>
            <w:tcW w:w="0" w:type="dxa"/>
            <w:vAlign w:val="bottom"/>
          </w:tcPr>
          <w:p>
            <w:pPr>
              <w:spacing w:after="0"/>
              <w:rPr>
                <w:sz w:val="1"/>
                <w:szCs w:val="1"/>
                <w:color w:val="auto"/>
              </w:rPr>
            </w:pPr>
          </w:p>
        </w:tc>
      </w:tr>
      <w:tr>
        <w:trPr>
          <w:trHeight w:val="155"/>
        </w:trPr>
        <w:tc>
          <w:tcPr>
            <w:tcW w:w="3800" w:type="dxa"/>
            <w:vAlign w:val="bottom"/>
            <w:tcBorders>
              <w:top w:val="single" w:sz="8" w:color="auto"/>
            </w:tcBorders>
            <w:gridSpan w:val="2"/>
            <w:shd w:val="clear" w:color="auto" w:fill="CCECFF"/>
          </w:tcPr>
          <w:p>
            <w:pPr>
              <w:spacing w:after="0" w:line="155" w:lineRule="exact"/>
              <w:rPr>
                <w:sz w:val="20"/>
                <w:szCs w:val="20"/>
                <w:color w:val="auto"/>
              </w:rPr>
            </w:pPr>
            <w:r>
              <w:rPr>
                <w:rFonts w:ascii="Arial" w:cs="Arial" w:eastAsia="Arial" w:hAnsi="Arial"/>
                <w:sz w:val="14"/>
                <w:szCs w:val="14"/>
                <w:color w:val="auto"/>
              </w:rPr>
              <w:t>First lien</w:t>
            </w:r>
          </w:p>
        </w:tc>
        <w:tc>
          <w:tcPr>
            <w:tcW w:w="140" w:type="dxa"/>
            <w:vAlign w:val="bottom"/>
            <w:tcBorders>
              <w:top w:val="single" w:sz="8" w:color="CCECFF"/>
            </w:tcBorders>
            <w:shd w:val="clear" w:color="auto" w:fill="CCECFF"/>
          </w:tcPr>
          <w:p>
            <w:pPr>
              <w:spacing w:after="0"/>
              <w:rPr>
                <w:sz w:val="13"/>
                <w:szCs w:val="13"/>
                <w:color w:val="auto"/>
              </w:rPr>
            </w:pPr>
          </w:p>
        </w:tc>
        <w:tc>
          <w:tcPr>
            <w:tcW w:w="180" w:type="dxa"/>
            <w:vAlign w:val="bottom"/>
            <w:tcBorders>
              <w:top w:val="single" w:sz="8" w:color="auto"/>
            </w:tcBorders>
            <w:shd w:val="clear" w:color="auto" w:fill="CCECFF"/>
          </w:tcPr>
          <w:p>
            <w:pPr>
              <w:jc w:val="right"/>
              <w:ind w:right="69"/>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609,668,554</w:t>
            </w:r>
          </w:p>
        </w:tc>
        <w:tc>
          <w:tcPr>
            <w:tcW w:w="24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CFF"/>
          </w:tcPr>
          <w:p>
            <w:pPr>
              <w:ind w:left="860"/>
              <w:spacing w:after="0" w:line="155" w:lineRule="exact"/>
              <w:rPr>
                <w:sz w:val="20"/>
                <w:szCs w:val="20"/>
                <w:color w:val="auto"/>
              </w:rPr>
            </w:pPr>
            <w:r>
              <w:rPr>
                <w:rFonts w:ascii="Arial" w:cs="Arial" w:eastAsia="Arial" w:hAnsi="Arial"/>
                <w:sz w:val="14"/>
                <w:szCs w:val="14"/>
                <w:color w:val="auto"/>
                <w:w w:val="85"/>
              </w:rPr>
              <w:t>—</w:t>
            </w:r>
          </w:p>
        </w:tc>
        <w:tc>
          <w:tcPr>
            <w:tcW w:w="260" w:type="dxa"/>
            <w:vAlign w:val="bottom"/>
            <w:tcBorders>
              <w:top w:val="single" w:sz="8" w:color="CCECFF"/>
            </w:tcBorders>
            <w:shd w:val="clear" w:color="auto" w:fill="CCECFF"/>
          </w:tcPr>
          <w:p>
            <w:pPr>
              <w:spacing w:after="0"/>
              <w:rPr>
                <w:sz w:val="13"/>
                <w:szCs w:val="13"/>
                <w:color w:val="auto"/>
              </w:rPr>
            </w:pPr>
          </w:p>
        </w:tc>
        <w:tc>
          <w:tcPr>
            <w:tcW w:w="260" w:type="dxa"/>
            <w:vAlign w:val="bottom"/>
            <w:tcBorders>
              <w:top w:val="single" w:sz="8" w:color="auto"/>
            </w:tcBorders>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609,668,554</w:t>
            </w:r>
          </w:p>
        </w:tc>
        <w:tc>
          <w:tcPr>
            <w:tcW w:w="240" w:type="dxa"/>
            <w:vAlign w:val="bottom"/>
            <w:tcBorders>
              <w:top w:val="single" w:sz="8" w:color="CCECFF"/>
            </w:tcBorders>
            <w:shd w:val="clear" w:color="auto" w:fill="CCECFF"/>
          </w:tcPr>
          <w:p>
            <w:pPr>
              <w:spacing w:after="0"/>
              <w:rPr>
                <w:sz w:val="13"/>
                <w:szCs w:val="13"/>
                <w:color w:val="auto"/>
              </w:rPr>
            </w:pPr>
          </w:p>
        </w:tc>
        <w:tc>
          <w:tcPr>
            <w:tcW w:w="20" w:type="dxa"/>
            <w:vAlign w:val="bottom"/>
            <w:tcBorders>
              <w:top w:val="single" w:sz="8" w:color="CCECFF"/>
            </w:tcBorders>
            <w:shd w:val="clear" w:color="auto" w:fill="CCECFF"/>
          </w:tcPr>
          <w:p>
            <w:pPr>
              <w:spacing w:after="0"/>
              <w:rPr>
                <w:sz w:val="13"/>
                <w:szCs w:val="13"/>
                <w:color w:val="auto"/>
              </w:rPr>
            </w:pPr>
          </w:p>
        </w:tc>
        <w:tc>
          <w:tcPr>
            <w:tcW w:w="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5"/>
                <w:szCs w:val="5"/>
                <w:color w:val="auto"/>
                <w:w w:val="70"/>
              </w:rPr>
              <w:t>$</w:t>
            </w: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00" w:type="dxa"/>
            <w:vAlign w:val="bottom"/>
            <w:gridSpan w:val="2"/>
          </w:tcPr>
          <w:p>
            <w:pPr>
              <w:spacing w:after="0"/>
              <w:rPr>
                <w:sz w:val="20"/>
                <w:szCs w:val="20"/>
                <w:color w:val="auto"/>
              </w:rPr>
            </w:pPr>
            <w:r>
              <w:rPr>
                <w:rFonts w:ascii="Arial" w:cs="Arial" w:eastAsia="Arial" w:hAnsi="Arial"/>
                <w:sz w:val="14"/>
                <w:szCs w:val="14"/>
                <w:color w:val="auto"/>
              </w:rPr>
              <w:t>Second lien</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37,833,394</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ind w:left="860"/>
              <w:spacing w:after="0"/>
              <w:rPr>
                <w:sz w:val="20"/>
                <w:szCs w:val="20"/>
                <w:color w:val="auto"/>
              </w:rPr>
            </w:pPr>
            <w:r>
              <w:rPr>
                <w:rFonts w:ascii="Arial" w:cs="Arial" w:eastAsia="Arial" w:hAnsi="Arial"/>
                <w:sz w:val="14"/>
                <w:szCs w:val="14"/>
                <w:color w:val="auto"/>
                <w:w w:val="85"/>
              </w:rPr>
              <w:t>—</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37,833,394</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80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Subordinated debt / corporate notes</w:t>
            </w:r>
          </w:p>
        </w:tc>
        <w:tc>
          <w:tcPr>
            <w:tcW w:w="14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37,532,373</w:t>
            </w: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000" w:type="dxa"/>
            <w:vAlign w:val="bottom"/>
            <w:shd w:val="clear" w:color="auto" w:fill="CCECFF"/>
          </w:tcPr>
          <w:p>
            <w:pPr>
              <w:ind w:left="860"/>
              <w:spacing w:after="0"/>
              <w:rPr>
                <w:sz w:val="20"/>
                <w:szCs w:val="20"/>
                <w:color w:val="auto"/>
              </w:rPr>
            </w:pPr>
            <w:r>
              <w:rPr>
                <w:rFonts w:ascii="Arial" w:cs="Arial" w:eastAsia="Arial" w:hAnsi="Arial"/>
                <w:sz w:val="14"/>
                <w:szCs w:val="14"/>
                <w:color w:val="auto"/>
                <w:w w:val="85"/>
              </w:rPr>
              <w:t>—</w:t>
            </w:r>
          </w:p>
        </w:tc>
        <w:tc>
          <w:tcPr>
            <w:tcW w:w="26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37,532,373</w:t>
            </w:r>
          </w:p>
        </w:tc>
        <w:tc>
          <w:tcPr>
            <w:tcW w:w="24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c>
          <w:tcPr>
            <w:tcW w:w="1280" w:type="dxa"/>
            <w:vAlign w:val="bottom"/>
            <w:gridSpan w:val="2"/>
            <w:shd w:val="clear" w:color="auto" w:fill="CCEC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800" w:type="dxa"/>
            <w:vAlign w:val="bottom"/>
            <w:tcBorders>
              <w:bottom w:val="single" w:sz="8" w:color="CCECFF"/>
            </w:tcBorders>
            <w:gridSpan w:val="2"/>
          </w:tcPr>
          <w:p>
            <w:pPr>
              <w:spacing w:after="0"/>
              <w:rPr>
                <w:sz w:val="20"/>
                <w:szCs w:val="20"/>
                <w:color w:val="auto"/>
              </w:rPr>
            </w:pPr>
            <w:r>
              <w:rPr>
                <w:rFonts w:ascii="Arial" w:cs="Arial" w:eastAsia="Arial" w:hAnsi="Arial"/>
                <w:sz w:val="14"/>
                <w:szCs w:val="14"/>
                <w:color w:val="auto"/>
              </w:rPr>
              <w:t>Equity</w:t>
            </w:r>
          </w:p>
        </w:tc>
        <w:tc>
          <w:tcPr>
            <w:tcW w:w="140" w:type="dxa"/>
            <w:vAlign w:val="bottom"/>
            <w:tcBorders>
              <w:bottom w:val="single" w:sz="8" w:color="CCEC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25,464,461</w:t>
            </w:r>
          </w:p>
        </w:tc>
        <w:tc>
          <w:tcPr>
            <w:tcW w:w="240" w:type="dxa"/>
            <w:vAlign w:val="bottom"/>
            <w:tcBorders>
              <w:bottom w:val="single" w:sz="8" w:color="CCEC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16,020</w:t>
            </w:r>
          </w:p>
        </w:tc>
        <w:tc>
          <w:tcPr>
            <w:tcW w:w="240" w:type="dxa"/>
            <w:vAlign w:val="bottom"/>
            <w:tcBorders>
              <w:bottom w:val="single" w:sz="8" w:color="CCEC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ind w:left="860"/>
              <w:spacing w:after="0"/>
              <w:rPr>
                <w:sz w:val="20"/>
                <w:szCs w:val="20"/>
                <w:color w:val="auto"/>
              </w:rPr>
            </w:pPr>
            <w:r>
              <w:rPr>
                <w:rFonts w:ascii="Arial" w:cs="Arial" w:eastAsia="Arial" w:hAnsi="Arial"/>
                <w:sz w:val="14"/>
                <w:szCs w:val="14"/>
                <w:color w:val="auto"/>
                <w:w w:val="85"/>
              </w:rPr>
              <w:t>—</w:t>
            </w:r>
          </w:p>
        </w:tc>
        <w:tc>
          <w:tcPr>
            <w:tcW w:w="260" w:type="dxa"/>
            <w:vAlign w:val="bottom"/>
            <w:tcBorders>
              <w:bottom w:val="single" w:sz="8" w:color="CCEC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12,023,298</w:t>
            </w:r>
          </w:p>
        </w:tc>
        <w:tc>
          <w:tcPr>
            <w:tcW w:w="240" w:type="dxa"/>
            <w:vAlign w:val="bottom"/>
            <w:tcBorders>
              <w:bottom w:val="single" w:sz="8" w:color="CCECFF"/>
            </w:tcBorders>
          </w:tcPr>
          <w:p>
            <w:pPr>
              <w:spacing w:after="0"/>
              <w:rPr>
                <w:sz w:val="14"/>
                <w:szCs w:val="14"/>
                <w:color w:val="auto"/>
              </w:rPr>
            </w:pPr>
          </w:p>
        </w:tc>
        <w:tc>
          <w:tcPr>
            <w:tcW w:w="20" w:type="dxa"/>
            <w:vAlign w:val="bottom"/>
            <w:tcBorders>
              <w:bottom w:val="single" w:sz="8" w:color="CCEC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13,425,143</w:t>
            </w:r>
          </w:p>
        </w:tc>
        <w:tc>
          <w:tcPr>
            <w:tcW w:w="10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800" w:type="dxa"/>
            <w:vAlign w:val="bottom"/>
            <w:gridSpan w:val="2"/>
            <w:shd w:val="clear" w:color="auto" w:fill="CCECFF"/>
          </w:tcPr>
          <w:p>
            <w:pPr>
              <w:ind w:left="500"/>
              <w:spacing w:after="0" w:line="155" w:lineRule="exact"/>
              <w:rPr>
                <w:sz w:val="20"/>
                <w:szCs w:val="20"/>
                <w:color w:val="auto"/>
              </w:rPr>
            </w:pPr>
            <w:r>
              <w:rPr>
                <w:rFonts w:ascii="Arial" w:cs="Arial" w:eastAsia="Arial" w:hAnsi="Arial"/>
                <w:sz w:val="14"/>
                <w:szCs w:val="14"/>
                <w:color w:val="auto"/>
              </w:rPr>
              <w:t>Total investments</w:t>
            </w:r>
          </w:p>
        </w:tc>
        <w:tc>
          <w:tcPr>
            <w:tcW w:w="140" w:type="dxa"/>
            <w:vAlign w:val="bottom"/>
            <w:shd w:val="clear" w:color="auto" w:fill="CCECFF"/>
          </w:tcPr>
          <w:p>
            <w:pPr>
              <w:spacing w:after="0"/>
              <w:rPr>
                <w:sz w:val="13"/>
                <w:szCs w:val="13"/>
                <w:color w:val="auto"/>
              </w:rPr>
            </w:pPr>
          </w:p>
        </w:tc>
        <w:tc>
          <w:tcPr>
            <w:tcW w:w="180" w:type="dxa"/>
            <w:vAlign w:val="bottom"/>
            <w:tcBorders>
              <w:bottom w:val="single" w:sz="8" w:color="auto"/>
            </w:tcBorders>
            <w:shd w:val="clear" w:color="auto" w:fill="CCECFF"/>
          </w:tcPr>
          <w:p>
            <w:pPr>
              <w:spacing w:after="0"/>
              <w:rPr>
                <w:sz w:val="13"/>
                <w:szCs w:val="13"/>
                <w:color w:val="auto"/>
              </w:rPr>
            </w:pPr>
          </w:p>
        </w:tc>
        <w:tc>
          <w:tcPr>
            <w:tcW w:w="10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710,498,782</w:t>
            </w:r>
          </w:p>
        </w:tc>
        <w:tc>
          <w:tcPr>
            <w:tcW w:w="240" w:type="dxa"/>
            <w:vAlign w:val="bottom"/>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spacing w:after="0"/>
              <w:rPr>
                <w:sz w:val="13"/>
                <w:szCs w:val="13"/>
                <w:color w:val="auto"/>
              </w:rPr>
            </w:pPr>
          </w:p>
        </w:tc>
        <w:tc>
          <w:tcPr>
            <w:tcW w:w="10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16,020</w:t>
            </w:r>
          </w:p>
        </w:tc>
        <w:tc>
          <w:tcPr>
            <w:tcW w:w="240" w:type="dxa"/>
            <w:vAlign w:val="bottom"/>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spacing w:after="0"/>
              <w:rPr>
                <w:sz w:val="13"/>
                <w:szCs w:val="13"/>
                <w:color w:val="auto"/>
              </w:rPr>
            </w:pPr>
          </w:p>
        </w:tc>
        <w:tc>
          <w:tcPr>
            <w:tcW w:w="1000" w:type="dxa"/>
            <w:vAlign w:val="bottom"/>
            <w:tcBorders>
              <w:bottom w:val="single" w:sz="8" w:color="auto"/>
            </w:tcBorders>
            <w:shd w:val="clear" w:color="auto" w:fill="CCECFF"/>
          </w:tcPr>
          <w:p>
            <w:pPr>
              <w:ind w:left="860"/>
              <w:spacing w:after="0" w:line="155" w:lineRule="exact"/>
              <w:rPr>
                <w:sz w:val="20"/>
                <w:szCs w:val="20"/>
                <w:color w:val="auto"/>
              </w:rPr>
            </w:pPr>
            <w:r>
              <w:rPr>
                <w:rFonts w:ascii="Arial" w:cs="Arial" w:eastAsia="Arial" w:hAnsi="Arial"/>
                <w:sz w:val="14"/>
                <w:szCs w:val="14"/>
                <w:color w:val="auto"/>
                <w:w w:val="85"/>
              </w:rPr>
              <w:t>—</w:t>
            </w:r>
          </w:p>
        </w:tc>
        <w:tc>
          <w:tcPr>
            <w:tcW w:w="260" w:type="dxa"/>
            <w:vAlign w:val="bottom"/>
            <w:shd w:val="clear" w:color="auto" w:fill="CCECFF"/>
          </w:tcPr>
          <w:p>
            <w:pPr>
              <w:spacing w:after="0"/>
              <w:rPr>
                <w:sz w:val="13"/>
                <w:szCs w:val="13"/>
                <w:color w:val="auto"/>
              </w:rPr>
            </w:pPr>
          </w:p>
        </w:tc>
        <w:tc>
          <w:tcPr>
            <w:tcW w:w="260" w:type="dxa"/>
            <w:vAlign w:val="bottom"/>
            <w:tcBorders>
              <w:bottom w:val="single" w:sz="8" w:color="auto"/>
            </w:tcBorders>
            <w:shd w:val="clear" w:color="auto" w:fill="CCECFF"/>
          </w:tcPr>
          <w:p>
            <w:pPr>
              <w:spacing w:after="0"/>
              <w:rPr>
                <w:sz w:val="13"/>
                <w:szCs w:val="13"/>
                <w:color w:val="auto"/>
              </w:rPr>
            </w:pPr>
          </w:p>
        </w:tc>
        <w:tc>
          <w:tcPr>
            <w:tcW w:w="9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697,057,619</w:t>
            </w:r>
          </w:p>
        </w:tc>
        <w:tc>
          <w:tcPr>
            <w:tcW w:w="24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60" w:type="dxa"/>
            <w:vAlign w:val="bottom"/>
            <w:tcBorders>
              <w:bottom w:val="single" w:sz="8" w:color="auto"/>
            </w:tcBorders>
            <w:shd w:val="clear" w:color="auto" w:fill="CCECFF"/>
          </w:tcPr>
          <w:p>
            <w:pPr>
              <w:spacing w:after="0"/>
              <w:rPr>
                <w:sz w:val="13"/>
                <w:szCs w:val="13"/>
                <w:color w:val="auto"/>
              </w:rPr>
            </w:pPr>
          </w:p>
        </w:tc>
        <w:tc>
          <w:tcPr>
            <w:tcW w:w="11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13,425,143</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800" w:type="dxa"/>
            <w:vAlign w:val="bottom"/>
            <w:tcBorders>
              <w:bottom w:val="single" w:sz="8" w:color="CCECFF"/>
            </w:tcBorders>
            <w:gridSpan w:val="2"/>
          </w:tcPr>
          <w:p>
            <w:pPr>
              <w:spacing w:after="0" w:line="155" w:lineRule="exact"/>
              <w:rPr>
                <w:sz w:val="20"/>
                <w:szCs w:val="20"/>
                <w:color w:val="auto"/>
              </w:rPr>
            </w:pPr>
            <w:r>
              <w:rPr>
                <w:rFonts w:ascii="Arial" w:cs="Arial" w:eastAsia="Arial" w:hAnsi="Arial"/>
                <w:sz w:val="14"/>
                <w:szCs w:val="14"/>
                <w:color w:val="auto"/>
              </w:rPr>
              <w:t>Cash and cash equivalents</w:t>
            </w:r>
          </w:p>
        </w:tc>
        <w:tc>
          <w:tcPr>
            <w:tcW w:w="140" w:type="dxa"/>
            <w:vAlign w:val="bottom"/>
            <w:tcBorders>
              <w:bottom w:val="single" w:sz="8" w:color="CCEC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18,910,756</w:t>
            </w:r>
          </w:p>
        </w:tc>
        <w:tc>
          <w:tcPr>
            <w:tcW w:w="24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18,910,756</w:t>
            </w:r>
          </w:p>
        </w:tc>
        <w:tc>
          <w:tcPr>
            <w:tcW w:w="24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ind w:left="860"/>
              <w:spacing w:after="0" w:line="155" w:lineRule="exact"/>
              <w:rPr>
                <w:sz w:val="20"/>
                <w:szCs w:val="20"/>
                <w:color w:val="auto"/>
              </w:rPr>
            </w:pPr>
            <w:r>
              <w:rPr>
                <w:rFonts w:ascii="Arial" w:cs="Arial" w:eastAsia="Arial" w:hAnsi="Arial"/>
                <w:sz w:val="14"/>
                <w:szCs w:val="14"/>
                <w:color w:val="auto"/>
                <w:w w:val="85"/>
              </w:rPr>
              <w:t>—</w:t>
            </w:r>
          </w:p>
        </w:tc>
        <w:tc>
          <w:tcPr>
            <w:tcW w:w="260" w:type="dxa"/>
            <w:vAlign w:val="bottom"/>
            <w:tcBorders>
              <w:bottom w:val="single" w:sz="8" w:color="CCEC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CCECFF"/>
            </w:tcBorders>
          </w:tcPr>
          <w:p>
            <w:pPr>
              <w:spacing w:after="0"/>
              <w:rPr>
                <w:sz w:val="13"/>
                <w:szCs w:val="13"/>
                <w:color w:val="auto"/>
              </w:rPr>
            </w:pPr>
          </w:p>
        </w:tc>
        <w:tc>
          <w:tcPr>
            <w:tcW w:w="20" w:type="dxa"/>
            <w:vAlign w:val="bottom"/>
            <w:tcBorders>
              <w:bottom w:val="single" w:sz="8" w:color="CCEC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800" w:type="dxa"/>
            <w:vAlign w:val="bottom"/>
            <w:tcBorders>
              <w:bottom w:val="single" w:sz="8" w:color="CCECFF"/>
            </w:tcBorders>
            <w:gridSpan w:val="2"/>
            <w:shd w:val="clear" w:color="auto" w:fill="CCECFF"/>
          </w:tcPr>
          <w:p>
            <w:pPr>
              <w:ind w:left="500"/>
              <w:spacing w:after="0" w:line="155" w:lineRule="exact"/>
              <w:rPr>
                <w:sz w:val="20"/>
                <w:szCs w:val="20"/>
                <w:color w:val="auto"/>
              </w:rPr>
            </w:pPr>
            <w:r>
              <w:rPr>
                <w:rFonts w:ascii="Arial" w:cs="Arial" w:eastAsia="Arial" w:hAnsi="Arial"/>
                <w:sz w:val="14"/>
                <w:szCs w:val="14"/>
                <w:color w:val="auto"/>
              </w:rPr>
              <w:t>Total investments and cash and cash equivalents</w:t>
            </w:r>
          </w:p>
        </w:tc>
        <w:tc>
          <w:tcPr>
            <w:tcW w:w="140" w:type="dxa"/>
            <w:vAlign w:val="bottom"/>
            <w:tcBorders>
              <w:bottom w:val="single" w:sz="8" w:color="CCECFF"/>
            </w:tcBorders>
            <w:shd w:val="clear" w:color="auto" w:fill="CCECFF"/>
          </w:tcPr>
          <w:p>
            <w:pPr>
              <w:spacing w:after="0"/>
              <w:rPr>
                <w:sz w:val="13"/>
                <w:szCs w:val="13"/>
                <w:color w:val="auto"/>
              </w:rPr>
            </w:pPr>
          </w:p>
        </w:tc>
        <w:tc>
          <w:tcPr>
            <w:tcW w:w="180" w:type="dxa"/>
            <w:vAlign w:val="bottom"/>
            <w:tcBorders>
              <w:bottom w:val="single" w:sz="8" w:color="auto"/>
            </w:tcBorders>
            <w:shd w:val="clear" w:color="auto" w:fill="CCECFF"/>
          </w:tcPr>
          <w:p>
            <w:pPr>
              <w:jc w:val="right"/>
              <w:ind w:right="69"/>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729,409,538</w:t>
            </w:r>
          </w:p>
        </w:tc>
        <w:tc>
          <w:tcPr>
            <w:tcW w:w="240" w:type="dxa"/>
            <w:vAlign w:val="bottom"/>
            <w:tcBorders>
              <w:bottom w:val="single" w:sz="8" w:color="CCECFF"/>
            </w:tcBorders>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18,926,776</w:t>
            </w:r>
          </w:p>
        </w:tc>
        <w:tc>
          <w:tcPr>
            <w:tcW w:w="240" w:type="dxa"/>
            <w:vAlign w:val="bottom"/>
            <w:tcBorders>
              <w:bottom w:val="single" w:sz="8" w:color="CCECFF"/>
            </w:tcBorders>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CFF"/>
          </w:tcPr>
          <w:p>
            <w:pPr>
              <w:ind w:left="860"/>
              <w:spacing w:after="0" w:line="155" w:lineRule="exact"/>
              <w:rPr>
                <w:sz w:val="20"/>
                <w:szCs w:val="20"/>
                <w:color w:val="auto"/>
              </w:rPr>
            </w:pPr>
            <w:r>
              <w:rPr>
                <w:rFonts w:ascii="Arial" w:cs="Arial" w:eastAsia="Arial" w:hAnsi="Arial"/>
                <w:sz w:val="14"/>
                <w:szCs w:val="14"/>
                <w:color w:val="auto"/>
                <w:w w:val="85"/>
              </w:rPr>
              <w:t>—</w:t>
            </w:r>
          </w:p>
        </w:tc>
        <w:tc>
          <w:tcPr>
            <w:tcW w:w="260" w:type="dxa"/>
            <w:vAlign w:val="bottom"/>
            <w:tcBorders>
              <w:bottom w:val="single" w:sz="8" w:color="CCECFF"/>
            </w:tcBorders>
            <w:shd w:val="clear" w:color="auto" w:fill="CCECFF"/>
          </w:tcPr>
          <w:p>
            <w:pPr>
              <w:spacing w:after="0"/>
              <w:rPr>
                <w:sz w:val="13"/>
                <w:szCs w:val="13"/>
                <w:color w:val="auto"/>
              </w:rPr>
            </w:pPr>
          </w:p>
        </w:tc>
        <w:tc>
          <w:tcPr>
            <w:tcW w:w="260" w:type="dxa"/>
            <w:vAlign w:val="bottom"/>
            <w:tcBorders>
              <w:bottom w:val="single" w:sz="8" w:color="auto"/>
            </w:tcBorders>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697,057,619</w:t>
            </w:r>
          </w:p>
        </w:tc>
        <w:tc>
          <w:tcPr>
            <w:tcW w:w="240" w:type="dxa"/>
            <w:vAlign w:val="bottom"/>
            <w:tcBorders>
              <w:bottom w:val="single" w:sz="8" w:color="CCECFF"/>
            </w:tcBorders>
            <w:shd w:val="clear" w:color="auto" w:fill="CCECFF"/>
          </w:tcPr>
          <w:p>
            <w:pPr>
              <w:spacing w:after="0"/>
              <w:rPr>
                <w:sz w:val="13"/>
                <w:szCs w:val="13"/>
                <w:color w:val="auto"/>
              </w:rPr>
            </w:pPr>
          </w:p>
        </w:tc>
        <w:tc>
          <w:tcPr>
            <w:tcW w:w="20" w:type="dxa"/>
            <w:vAlign w:val="bottom"/>
            <w:tcBorders>
              <w:bottom w:val="single" w:sz="8" w:color="CCECFF"/>
            </w:tcBorders>
            <w:shd w:val="clear" w:color="auto" w:fill="CCECFF"/>
          </w:tcPr>
          <w:p>
            <w:pPr>
              <w:spacing w:after="0"/>
              <w:rPr>
                <w:sz w:val="13"/>
                <w:szCs w:val="13"/>
                <w:color w:val="auto"/>
              </w:rPr>
            </w:pPr>
          </w:p>
        </w:tc>
        <w:tc>
          <w:tcPr>
            <w:tcW w:w="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5"/>
                <w:szCs w:val="5"/>
                <w:color w:val="auto"/>
                <w:w w:val="70"/>
              </w:rPr>
              <w:t>$</w:t>
            </w:r>
          </w:p>
        </w:tc>
        <w:tc>
          <w:tcPr>
            <w:tcW w:w="11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13,425,143</w:t>
            </w:r>
          </w:p>
        </w:tc>
        <w:tc>
          <w:tcPr>
            <w:tcW w:w="10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00" w:type="dxa"/>
            <w:vAlign w:val="bottom"/>
            <w:gridSpan w:val="2"/>
            <w:vMerge w:val="restart"/>
          </w:tcPr>
          <w:p>
            <w:pPr>
              <w:spacing w:after="0"/>
              <w:rPr>
                <w:sz w:val="20"/>
                <w:szCs w:val="20"/>
                <w:color w:val="auto"/>
              </w:rPr>
            </w:pPr>
            <w:r>
              <w:rPr>
                <w:rFonts w:ascii="Arial" w:cs="Arial" w:eastAsia="Arial" w:hAnsi="Arial"/>
                <w:sz w:val="14"/>
                <w:szCs w:val="14"/>
                <w:color w:val="auto"/>
              </w:rPr>
              <w:t>Long-Term Credit Facility</w:t>
            </w:r>
          </w:p>
        </w:tc>
        <w:tc>
          <w:tcPr>
            <w:tcW w:w="32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8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256,858,457</w:t>
            </w:r>
          </w:p>
        </w:tc>
        <w:tc>
          <w:tcPr>
            <w:tcW w:w="240" w:type="dxa"/>
            <w:vAlign w:val="bottom"/>
          </w:tcPr>
          <w:p>
            <w:pPr>
              <w:spacing w:after="0"/>
              <w:rPr>
                <w:sz w:val="12"/>
                <w:szCs w:val="12"/>
                <w:color w:val="auto"/>
              </w:rPr>
            </w:pPr>
          </w:p>
        </w:tc>
        <w:tc>
          <w:tcPr>
            <w:tcW w:w="240" w:type="dxa"/>
            <w:vAlign w:val="bottom"/>
            <w:tcBorders>
              <w:top w:val="single" w:sz="8" w:color="auto"/>
              <w:bottom w:val="single" w:sz="8" w:color="auto"/>
            </w:tcBorders>
          </w:tcPr>
          <w:p>
            <w:pPr>
              <w:jc w:val="right"/>
              <w:ind w:right="88"/>
              <w:spacing w:after="0" w:line="143"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240" w:type="dxa"/>
            <w:vAlign w:val="bottom"/>
            <w:tcBorders>
              <w:top w:val="single" w:sz="8" w:color="auto"/>
              <w:bottom w:val="single" w:sz="8" w:color="auto"/>
            </w:tcBorders>
          </w:tcPr>
          <w:p>
            <w:pPr>
              <w:jc w:val="right"/>
              <w:ind w:right="88"/>
              <w:spacing w:after="0" w:line="143"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ind w:left="860"/>
              <w:spacing w:after="0" w:line="143" w:lineRule="exact"/>
              <w:rPr>
                <w:sz w:val="20"/>
                <w:szCs w:val="20"/>
                <w:color w:val="auto"/>
              </w:rPr>
            </w:pPr>
            <w:r>
              <w:rPr>
                <w:rFonts w:ascii="Arial" w:cs="Arial" w:eastAsia="Arial" w:hAnsi="Arial"/>
                <w:sz w:val="14"/>
                <w:szCs w:val="14"/>
                <w:color w:val="auto"/>
                <w:w w:val="85"/>
              </w:rPr>
              <w:t>—</w:t>
            </w:r>
          </w:p>
        </w:tc>
        <w:tc>
          <w:tcPr>
            <w:tcW w:w="260" w:type="dxa"/>
            <w:vAlign w:val="bottom"/>
          </w:tcPr>
          <w:p>
            <w:pPr>
              <w:spacing w:after="0"/>
              <w:rPr>
                <w:sz w:val="12"/>
                <w:szCs w:val="12"/>
                <w:color w:val="auto"/>
              </w:rPr>
            </w:pPr>
          </w:p>
        </w:tc>
        <w:tc>
          <w:tcPr>
            <w:tcW w:w="260" w:type="dxa"/>
            <w:vAlign w:val="bottom"/>
            <w:tcBorders>
              <w:top w:val="single" w:sz="8" w:color="auto"/>
              <w:bottom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256,858,457</w:t>
            </w:r>
          </w:p>
        </w:tc>
        <w:tc>
          <w:tcPr>
            <w:tcW w:w="2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11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960" w:type="dxa"/>
            <w:vAlign w:val="bottom"/>
            <w:tcBorders>
              <w:bottom w:val="single" w:sz="8" w:color="auto"/>
            </w:tcBorders>
          </w:tcPr>
          <w:p>
            <w:pPr>
              <w:spacing w:after="0"/>
              <w:rPr>
                <w:sz w:val="7"/>
                <w:szCs w:val="7"/>
                <w:color w:val="auto"/>
              </w:rPr>
            </w:pPr>
          </w:p>
        </w:tc>
        <w:tc>
          <w:tcPr>
            <w:tcW w:w="8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380" w:right="100" w:hanging="372"/>
        <w:spacing w:after="0" w:line="253" w:lineRule="auto"/>
        <w:tabs>
          <w:tab w:leader="none" w:pos="380" w:val="left"/>
        </w:tabs>
        <w:numPr>
          <w:ilvl w:val="0"/>
          <w:numId w:val="14"/>
        </w:numPr>
        <w:rPr>
          <w:rFonts w:ascii="Arial" w:cs="Arial" w:eastAsia="Arial" w:hAnsi="Arial"/>
          <w:sz w:val="12"/>
          <w:szCs w:val="12"/>
          <w:color w:val="auto"/>
        </w:rPr>
      </w:pPr>
      <w:r>
        <w:rPr>
          <w:rFonts w:ascii="Arial" w:cs="Arial" w:eastAsia="Arial" w:hAnsi="Arial"/>
          <w:sz w:val="14"/>
          <w:szCs w:val="14"/>
          <w:color w:val="auto"/>
        </w:rPr>
        <w:t>In accordance with ASC 820-10, certain investments that are measured using the net asset value per share (or its equivalent) as a practical expedient for fair value, have not been classified 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line="221" w:lineRule="auto"/>
        <w:rPr>
          <w:sz w:val="20"/>
          <w:szCs w:val="20"/>
          <w:color w:val="auto"/>
        </w:rPr>
      </w:pPr>
      <w:r>
        <w:rPr>
          <w:rFonts w:ascii="Arial" w:cs="Arial" w:eastAsia="Arial" w:hAnsi="Arial"/>
          <w:sz w:val="14"/>
          <w:szCs w:val="14"/>
          <w:b w:val="1"/>
          <w:bCs w:val="1"/>
          <w:color w:val="auto"/>
        </w:rPr>
        <w:t>JUNE 30, 2018</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0120" w:type="dxa"/>
            <w:vAlign w:val="bottom"/>
            <w:gridSpan w:val="10"/>
          </w:tcPr>
          <w:p>
            <w:pPr>
              <w:ind w:left="440"/>
              <w:spacing w:after="0"/>
              <w:rPr>
                <w:sz w:val="20"/>
                <w:szCs w:val="20"/>
                <w:color w:val="auto"/>
              </w:rPr>
            </w:pPr>
            <w:r>
              <w:rPr>
                <w:rFonts w:ascii="Arial" w:cs="Arial" w:eastAsia="Arial" w:hAnsi="Arial"/>
                <w:sz w:val="14"/>
                <w:szCs w:val="14"/>
                <w:color w:val="auto"/>
                <w:w w:val="96"/>
              </w:rPr>
              <w:t>The tables below show a reconciliation of the beginning and ending balances for fair valued investments measured using significant unobservable inputs (Level 3):</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3"/>
        </w:trPr>
        <w:tc>
          <w:tcPr>
            <w:tcW w:w="6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7"/>
          </w:tcPr>
          <w:p>
            <w:pPr>
              <w:jc w:val="center"/>
              <w:ind w:left="708"/>
              <w:spacing w:after="0"/>
              <w:rPr>
                <w:sz w:val="20"/>
                <w:szCs w:val="20"/>
                <w:color w:val="auto"/>
              </w:rPr>
            </w:pPr>
            <w:r>
              <w:rPr>
                <w:rFonts w:ascii="Arial" w:cs="Arial" w:eastAsia="Arial" w:hAnsi="Arial"/>
                <w:sz w:val="14"/>
                <w:szCs w:val="14"/>
                <w:b w:val="1"/>
                <w:bCs w:val="1"/>
                <w:color w:val="auto"/>
                <w:w w:val="93"/>
              </w:rPr>
              <w:t>Nine Months Ended June 30, 2018</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6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89"/>
              </w:rPr>
              <w:t>Second lien,</w:t>
            </w: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subordinated debt</w:t>
            </w: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2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First lien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and equity</w:t>
            </w:r>
          </w:p>
        </w:tc>
        <w:tc>
          <w:tcPr>
            <w:tcW w:w="320" w:type="dxa"/>
            <w:vAlign w:val="bottom"/>
          </w:tcPr>
          <w:p>
            <w:pPr>
              <w:spacing w:after="0"/>
              <w:rPr>
                <w:sz w:val="12"/>
                <w:szCs w:val="12"/>
                <w:color w:val="auto"/>
              </w:rPr>
            </w:pPr>
          </w:p>
        </w:tc>
        <w:tc>
          <w:tcPr>
            <w:tcW w:w="112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65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investments</w:t>
            </w:r>
          </w:p>
        </w:tc>
        <w:tc>
          <w:tcPr>
            <w:tcW w:w="3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52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Beginning Balance</w:t>
            </w:r>
          </w:p>
        </w:tc>
        <w:tc>
          <w:tcPr>
            <w:tcW w:w="14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609,668,554</w:t>
            </w:r>
          </w:p>
        </w:tc>
        <w:tc>
          <w:tcPr>
            <w:tcW w:w="14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87,389,065</w:t>
            </w:r>
          </w:p>
        </w:tc>
        <w:tc>
          <w:tcPr>
            <w:tcW w:w="240" w:type="dxa"/>
            <w:vAlign w:val="bottom"/>
            <w:tcBorders>
              <w:top w:val="single" w:sz="8" w:color="CCECFF"/>
            </w:tcBorders>
            <w:shd w:val="clear" w:color="auto" w:fill="CCECFF"/>
          </w:tcPr>
          <w:p>
            <w:pPr>
              <w:spacing w:after="0"/>
              <w:rPr>
                <w:sz w:val="13"/>
                <w:szCs w:val="13"/>
                <w:color w:val="auto"/>
              </w:rPr>
            </w:pPr>
          </w:p>
        </w:tc>
        <w:tc>
          <w:tcPr>
            <w:tcW w:w="320" w:type="dxa"/>
            <w:vAlign w:val="bottom"/>
            <w:tcBorders>
              <w:top w:val="single" w:sz="8" w:color="auto"/>
            </w:tcBorders>
            <w:shd w:val="clear" w:color="auto" w:fill="CCECFF"/>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697,057,619</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520" w:type="dxa"/>
            <w:vAlign w:val="bottom"/>
          </w:tcPr>
          <w:p>
            <w:pPr>
              <w:ind w:left="500"/>
              <w:spacing w:after="0"/>
              <w:rPr>
                <w:sz w:val="20"/>
                <w:szCs w:val="20"/>
                <w:color w:val="auto"/>
              </w:rPr>
            </w:pPr>
            <w:r>
              <w:rPr>
                <w:rFonts w:ascii="Arial" w:cs="Arial" w:eastAsia="Arial" w:hAnsi="Arial"/>
                <w:sz w:val="14"/>
                <w:szCs w:val="14"/>
                <w:color w:val="auto"/>
              </w:rPr>
              <w:t>Net realized (losses)</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(1,047,884)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4"/>
                <w:szCs w:val="14"/>
                <w:color w:val="auto"/>
              </w:rPr>
              <w:t>(1,214,108)</w:t>
            </w:r>
          </w:p>
        </w:tc>
        <w:tc>
          <w:tcPr>
            <w:tcW w:w="320" w:type="dxa"/>
            <w:vAlign w:val="bottom"/>
          </w:tcPr>
          <w:p>
            <w:pPr>
              <w:spacing w:after="0"/>
              <w:rPr>
                <w:sz w:val="14"/>
                <w:szCs w:val="14"/>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4"/>
                <w:szCs w:val="14"/>
                <w:color w:val="auto"/>
              </w:rPr>
              <w:t>(2,261,992)</w:t>
            </w:r>
          </w:p>
        </w:tc>
        <w:tc>
          <w:tcPr>
            <w:tcW w:w="0" w:type="dxa"/>
            <w:vAlign w:val="bottom"/>
          </w:tcPr>
          <w:p>
            <w:pPr>
              <w:spacing w:after="0"/>
              <w:rPr>
                <w:sz w:val="1"/>
                <w:szCs w:val="1"/>
                <w:color w:val="auto"/>
              </w:rPr>
            </w:pPr>
          </w:p>
        </w:tc>
      </w:tr>
      <w:tr>
        <w:trPr>
          <w:trHeight w:val="162"/>
        </w:trPr>
        <w:tc>
          <w:tcPr>
            <w:tcW w:w="65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Net unrealized (depreciation) appreciation</w:t>
            </w:r>
          </w:p>
        </w:tc>
        <w:tc>
          <w:tcPr>
            <w:tcW w:w="1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240" w:type="dxa"/>
            <w:vAlign w:val="bottom"/>
            <w:gridSpan w:val="2"/>
            <w:shd w:val="clear" w:color="auto" w:fill="CCECFF"/>
          </w:tcPr>
          <w:p>
            <w:pPr>
              <w:jc w:val="right"/>
              <w:ind w:right="100"/>
              <w:spacing w:after="0"/>
              <w:rPr>
                <w:sz w:val="20"/>
                <w:szCs w:val="20"/>
                <w:color w:val="auto"/>
              </w:rPr>
            </w:pPr>
            <w:r>
              <w:rPr>
                <w:rFonts w:ascii="Arial" w:cs="Arial" w:eastAsia="Arial" w:hAnsi="Arial"/>
                <w:sz w:val="14"/>
                <w:szCs w:val="14"/>
                <w:color w:val="auto"/>
              </w:rPr>
              <w:t>(2,857,546)</w:t>
            </w:r>
          </w:p>
        </w:tc>
        <w:tc>
          <w:tcPr>
            <w:tcW w:w="1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2,096,092</w:t>
            </w:r>
          </w:p>
        </w:tc>
        <w:tc>
          <w:tcPr>
            <w:tcW w:w="24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112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(761,454)</w:t>
            </w:r>
          </w:p>
        </w:tc>
        <w:tc>
          <w:tcPr>
            <w:tcW w:w="0" w:type="dxa"/>
            <w:vAlign w:val="bottom"/>
          </w:tcPr>
          <w:p>
            <w:pPr>
              <w:spacing w:after="0"/>
              <w:rPr>
                <w:sz w:val="1"/>
                <w:szCs w:val="1"/>
                <w:color w:val="auto"/>
              </w:rPr>
            </w:pPr>
          </w:p>
        </w:tc>
      </w:tr>
      <w:tr>
        <w:trPr>
          <w:trHeight w:val="162"/>
        </w:trPr>
        <w:tc>
          <w:tcPr>
            <w:tcW w:w="6520" w:type="dxa"/>
            <w:vAlign w:val="bottom"/>
          </w:tcPr>
          <w:p>
            <w:pPr>
              <w:ind w:left="500"/>
              <w:spacing w:after="0"/>
              <w:rPr>
                <w:sz w:val="20"/>
                <w:szCs w:val="20"/>
                <w:color w:val="auto"/>
              </w:rPr>
            </w:pPr>
            <w:r>
              <w:rPr>
                <w:rFonts w:ascii="Arial" w:cs="Arial" w:eastAsia="Arial" w:hAnsi="Arial"/>
                <w:sz w:val="14"/>
                <w:szCs w:val="14"/>
                <w:color w:val="auto"/>
              </w:rPr>
              <w:t>Purchases, PIK interest, net discount accretion and non-cash exchanges</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481,100,549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31,905,640</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513,006,189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Sales, repayments and non-cash exchanges</w:t>
            </w:r>
          </w:p>
        </w:tc>
        <w:tc>
          <w:tcPr>
            <w:tcW w:w="1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240" w:type="dxa"/>
            <w:vAlign w:val="bottom"/>
            <w:gridSpan w:val="2"/>
            <w:shd w:val="clear" w:color="auto" w:fill="CCECFF"/>
          </w:tcPr>
          <w:p>
            <w:pPr>
              <w:jc w:val="right"/>
              <w:ind w:right="100"/>
              <w:spacing w:after="0"/>
              <w:rPr>
                <w:sz w:val="20"/>
                <w:szCs w:val="20"/>
                <w:color w:val="auto"/>
              </w:rPr>
            </w:pPr>
            <w:r>
              <w:rPr>
                <w:rFonts w:ascii="Arial" w:cs="Arial" w:eastAsia="Arial" w:hAnsi="Arial"/>
                <w:sz w:val="14"/>
                <w:szCs w:val="14"/>
                <w:color w:val="auto"/>
              </w:rPr>
              <w:t>(266,925,169)</w:t>
            </w:r>
          </w:p>
        </w:tc>
        <w:tc>
          <w:tcPr>
            <w:tcW w:w="1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(69,861,776)</w:t>
            </w:r>
          </w:p>
        </w:tc>
        <w:tc>
          <w:tcPr>
            <w:tcW w:w="320" w:type="dxa"/>
            <w:vAlign w:val="bottom"/>
            <w:shd w:val="clear" w:color="auto" w:fill="CCECFF"/>
          </w:tcPr>
          <w:p>
            <w:pPr>
              <w:spacing w:after="0"/>
              <w:rPr>
                <w:sz w:val="14"/>
                <w:szCs w:val="14"/>
                <w:color w:val="auto"/>
              </w:rPr>
            </w:pPr>
          </w:p>
        </w:tc>
        <w:tc>
          <w:tcPr>
            <w:tcW w:w="112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(336,786,945)</w:t>
            </w:r>
          </w:p>
        </w:tc>
        <w:tc>
          <w:tcPr>
            <w:tcW w:w="0" w:type="dxa"/>
            <w:vAlign w:val="bottom"/>
          </w:tcPr>
          <w:p>
            <w:pPr>
              <w:spacing w:after="0"/>
              <w:rPr>
                <w:sz w:val="1"/>
                <w:szCs w:val="1"/>
                <w:color w:val="auto"/>
              </w:rPr>
            </w:pPr>
          </w:p>
        </w:tc>
      </w:tr>
      <w:tr>
        <w:trPr>
          <w:trHeight w:val="162"/>
        </w:trPr>
        <w:tc>
          <w:tcPr>
            <w:tcW w:w="6520" w:type="dxa"/>
            <w:vAlign w:val="bottom"/>
          </w:tcPr>
          <w:p>
            <w:pPr>
              <w:ind w:left="500"/>
              <w:spacing w:after="0"/>
              <w:rPr>
                <w:sz w:val="20"/>
                <w:szCs w:val="20"/>
                <w:color w:val="auto"/>
              </w:rPr>
            </w:pPr>
            <w:r>
              <w:rPr>
                <w:rFonts w:ascii="Arial" w:cs="Arial" w:eastAsia="Arial" w:hAnsi="Arial"/>
                <w:sz w:val="14"/>
                <w:szCs w:val="14"/>
                <w:color w:val="auto"/>
              </w:rPr>
              <w:t>Transfers in and/or out of Level 3</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6520" w:type="dxa"/>
            <w:vAlign w:val="bottom"/>
            <w:tcBorders>
              <w:top w:val="single" w:sz="8" w:color="CCECFF"/>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Ending Balance</w:t>
            </w:r>
          </w:p>
        </w:tc>
        <w:tc>
          <w:tcPr>
            <w:tcW w:w="140" w:type="dxa"/>
            <w:vAlign w:val="bottom"/>
            <w:tcBorders>
              <w:top w:val="single" w:sz="8" w:color="CCECFF"/>
              <w:bottom w:val="single" w:sz="8" w:color="CCECFF"/>
            </w:tcBorders>
            <w:shd w:val="clear" w:color="auto" w:fill="CCECFF"/>
          </w:tcPr>
          <w:p>
            <w:pPr>
              <w:spacing w:after="0"/>
              <w:rPr>
                <w:sz w:val="13"/>
                <w:szCs w:val="13"/>
                <w:color w:val="auto"/>
              </w:rPr>
            </w:pPr>
          </w:p>
        </w:tc>
        <w:tc>
          <w:tcPr>
            <w:tcW w:w="220" w:type="dxa"/>
            <w:vAlign w:val="bottom"/>
            <w:tcBorders>
              <w:top w:val="single" w:sz="8" w:color="auto"/>
              <w:bottom w:val="single" w:sz="8" w:color="auto"/>
            </w:tcBorders>
            <w:shd w:val="clear" w:color="auto" w:fill="CCEC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819,938,504</w:t>
            </w:r>
          </w:p>
        </w:tc>
        <w:tc>
          <w:tcPr>
            <w:tcW w:w="14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50,314,913</w:t>
            </w:r>
          </w:p>
        </w:tc>
        <w:tc>
          <w:tcPr>
            <w:tcW w:w="240" w:type="dxa"/>
            <w:vAlign w:val="bottom"/>
            <w:tcBorders>
              <w:top w:val="single" w:sz="8" w:color="CCECFF"/>
              <w:bottom w:val="single" w:sz="8" w:color="CCECFF"/>
            </w:tcBorders>
            <w:shd w:val="clear" w:color="auto" w:fill="CCECFF"/>
          </w:tcPr>
          <w:p>
            <w:pPr>
              <w:spacing w:after="0"/>
              <w:rPr>
                <w:sz w:val="13"/>
                <w:szCs w:val="13"/>
                <w:color w:val="auto"/>
              </w:rPr>
            </w:pPr>
          </w:p>
        </w:tc>
        <w:tc>
          <w:tcPr>
            <w:tcW w:w="320" w:type="dxa"/>
            <w:vAlign w:val="bottom"/>
            <w:tcBorders>
              <w:top w:val="single" w:sz="8" w:color="auto"/>
              <w:bottom w:val="single" w:sz="8" w:color="auto"/>
            </w:tcBorders>
            <w:shd w:val="clear" w:color="auto" w:fill="CCECFF"/>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870,253,417</w:t>
            </w: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Arial" w:cs="Arial" w:eastAsia="Arial" w:hAnsi="Arial"/>
                <w:sz w:val="14"/>
                <w:szCs w:val="14"/>
                <w:color w:val="auto"/>
                <w:w w:val="94"/>
              </w:rPr>
              <w:t>Net change in unrealized (depreciation) appreciation reported within the net change in unrealized (depreciation)</w:t>
            </w: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65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520" w:type="dxa"/>
            <w:vAlign w:val="bottom"/>
          </w:tcPr>
          <w:p>
            <w:pPr>
              <w:spacing w:after="0" w:line="149" w:lineRule="exact"/>
              <w:rPr>
                <w:sz w:val="20"/>
                <w:szCs w:val="20"/>
                <w:color w:val="auto"/>
              </w:rPr>
            </w:pPr>
            <w:r>
              <w:rPr>
                <w:rFonts w:ascii="Arial" w:cs="Arial" w:eastAsia="Arial" w:hAnsi="Arial"/>
                <w:sz w:val="14"/>
                <w:szCs w:val="14"/>
                <w:color w:val="auto"/>
                <w:w w:val="93"/>
              </w:rPr>
              <w:t>appreciation on investments in our Consolidated Statements of Operations attributable to our Level 3 assets still</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520" w:type="dxa"/>
            <w:vAlign w:val="bottom"/>
          </w:tcPr>
          <w:p>
            <w:pPr>
              <w:spacing w:after="0"/>
              <w:rPr>
                <w:sz w:val="20"/>
                <w:szCs w:val="20"/>
                <w:color w:val="auto"/>
              </w:rPr>
            </w:pPr>
            <w:r>
              <w:rPr>
                <w:rFonts w:ascii="Arial" w:cs="Arial" w:eastAsia="Arial" w:hAnsi="Arial"/>
                <w:sz w:val="14"/>
                <w:szCs w:val="14"/>
                <w:color w:val="auto"/>
              </w:rPr>
              <w:t>held at the reporting date.</w:t>
            </w:r>
          </w:p>
        </w:tc>
        <w:tc>
          <w:tcPr>
            <w:tcW w:w="140" w:type="dxa"/>
            <w:vAlign w:val="bottom"/>
          </w:tcPr>
          <w:p>
            <w:pPr>
              <w:spacing w:after="0"/>
              <w:rPr>
                <w:sz w:val="14"/>
                <w:szCs w:val="14"/>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(3,161,334)</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1,076,376</w:t>
            </w:r>
          </w:p>
        </w:tc>
        <w:tc>
          <w:tcPr>
            <w:tcW w:w="240" w:type="dxa"/>
            <w:vAlign w:val="bottom"/>
          </w:tcPr>
          <w:p>
            <w:pPr>
              <w:spacing w:after="0"/>
              <w:rPr>
                <w:sz w:val="14"/>
                <w:szCs w:val="14"/>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60"/>
              <w:spacing w:after="0"/>
              <w:rPr>
                <w:sz w:val="20"/>
                <w:szCs w:val="20"/>
                <w:color w:val="auto"/>
              </w:rPr>
            </w:pPr>
            <w:r>
              <w:rPr>
                <w:rFonts w:ascii="Arial" w:cs="Arial" w:eastAsia="Arial" w:hAnsi="Arial"/>
                <w:sz w:val="14"/>
                <w:szCs w:val="14"/>
                <w:color w:val="auto"/>
              </w:rPr>
              <w:t>(2,084,958)</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34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7"/>
          </w:tcPr>
          <w:p>
            <w:pPr>
              <w:jc w:val="center"/>
              <w:ind w:left="708"/>
              <w:spacing w:after="0"/>
              <w:rPr>
                <w:sz w:val="20"/>
                <w:szCs w:val="20"/>
                <w:color w:val="auto"/>
              </w:rPr>
            </w:pPr>
            <w:r>
              <w:rPr>
                <w:rFonts w:ascii="Arial" w:cs="Arial" w:eastAsia="Arial" w:hAnsi="Arial"/>
                <w:sz w:val="14"/>
                <w:szCs w:val="14"/>
                <w:b w:val="1"/>
                <w:bCs w:val="1"/>
                <w:color w:val="auto"/>
                <w:w w:val="93"/>
              </w:rPr>
              <w:t>Nine Months Ended June 30, 2017</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6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89"/>
              </w:rPr>
              <w:t>Second lien,</w:t>
            </w: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subordinated debt</w:t>
            </w: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2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First lien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and equity</w:t>
            </w:r>
          </w:p>
        </w:tc>
        <w:tc>
          <w:tcPr>
            <w:tcW w:w="320" w:type="dxa"/>
            <w:vAlign w:val="bottom"/>
          </w:tcPr>
          <w:p>
            <w:pPr>
              <w:spacing w:after="0"/>
              <w:rPr>
                <w:sz w:val="12"/>
                <w:szCs w:val="12"/>
                <w:color w:val="auto"/>
              </w:rPr>
            </w:pPr>
          </w:p>
        </w:tc>
        <w:tc>
          <w:tcPr>
            <w:tcW w:w="112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65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investments</w:t>
            </w:r>
          </w:p>
        </w:tc>
        <w:tc>
          <w:tcPr>
            <w:tcW w:w="3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52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Beginning Balance</w:t>
            </w:r>
          </w:p>
        </w:tc>
        <w:tc>
          <w:tcPr>
            <w:tcW w:w="14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548,410,095</w:t>
            </w:r>
          </w:p>
        </w:tc>
        <w:tc>
          <w:tcPr>
            <w:tcW w:w="14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47,412,741</w:t>
            </w:r>
          </w:p>
        </w:tc>
        <w:tc>
          <w:tcPr>
            <w:tcW w:w="240" w:type="dxa"/>
            <w:vAlign w:val="bottom"/>
            <w:tcBorders>
              <w:top w:val="single" w:sz="8" w:color="CCECFF"/>
            </w:tcBorders>
            <w:shd w:val="clear" w:color="auto" w:fill="CCECFF"/>
          </w:tcPr>
          <w:p>
            <w:pPr>
              <w:spacing w:after="0"/>
              <w:rPr>
                <w:sz w:val="13"/>
                <w:szCs w:val="13"/>
                <w:color w:val="auto"/>
              </w:rPr>
            </w:pPr>
          </w:p>
        </w:tc>
        <w:tc>
          <w:tcPr>
            <w:tcW w:w="320" w:type="dxa"/>
            <w:vAlign w:val="bottom"/>
            <w:tcBorders>
              <w:top w:val="single" w:sz="8" w:color="auto"/>
            </w:tcBorders>
            <w:shd w:val="clear" w:color="auto" w:fill="CCECFF"/>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595,822,836</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520" w:type="dxa"/>
            <w:vAlign w:val="bottom"/>
          </w:tcPr>
          <w:p>
            <w:pPr>
              <w:ind w:left="500"/>
              <w:spacing w:after="0"/>
              <w:rPr>
                <w:sz w:val="20"/>
                <w:szCs w:val="20"/>
                <w:color w:val="auto"/>
              </w:rPr>
            </w:pPr>
            <w:r>
              <w:rPr>
                <w:rFonts w:ascii="Arial" w:cs="Arial" w:eastAsia="Arial" w:hAnsi="Arial"/>
                <w:sz w:val="14"/>
                <w:szCs w:val="14"/>
                <w:color w:val="auto"/>
              </w:rPr>
              <w:t>Net realized gains</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1,930,863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385,791</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2,316,654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Net unrealized appreciation (depreciation)</w:t>
            </w:r>
          </w:p>
        </w:tc>
        <w:tc>
          <w:tcPr>
            <w:tcW w:w="1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1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3,793,301</w:t>
            </w:r>
          </w:p>
        </w:tc>
        <w:tc>
          <w:tcPr>
            <w:tcW w:w="1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(699,773)</w:t>
            </w:r>
          </w:p>
        </w:tc>
        <w:tc>
          <w:tcPr>
            <w:tcW w:w="320" w:type="dxa"/>
            <w:vAlign w:val="bottom"/>
            <w:shd w:val="clear" w:color="auto" w:fill="CCECFF"/>
          </w:tcPr>
          <w:p>
            <w:pPr>
              <w:spacing w:after="0"/>
              <w:rPr>
                <w:sz w:val="14"/>
                <w:szCs w:val="14"/>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3,093,528</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20" w:type="dxa"/>
            <w:vAlign w:val="bottom"/>
          </w:tcPr>
          <w:p>
            <w:pPr>
              <w:ind w:left="500"/>
              <w:spacing w:after="0"/>
              <w:rPr>
                <w:sz w:val="20"/>
                <w:szCs w:val="20"/>
                <w:color w:val="auto"/>
              </w:rPr>
            </w:pPr>
            <w:r>
              <w:rPr>
                <w:rFonts w:ascii="Arial" w:cs="Arial" w:eastAsia="Arial" w:hAnsi="Arial"/>
                <w:sz w:val="14"/>
                <w:szCs w:val="14"/>
                <w:color w:val="auto"/>
              </w:rPr>
              <w:t>Purchases, PIK interest, net discount accretion and non-cash exchanges</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357,904,860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40,861,748</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398,766,608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Sales, repayments and non-cash exchanges</w:t>
            </w:r>
          </w:p>
        </w:tc>
        <w:tc>
          <w:tcPr>
            <w:tcW w:w="1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240" w:type="dxa"/>
            <w:vAlign w:val="bottom"/>
            <w:gridSpan w:val="2"/>
            <w:shd w:val="clear" w:color="auto" w:fill="CCECFF"/>
          </w:tcPr>
          <w:p>
            <w:pPr>
              <w:jc w:val="right"/>
              <w:ind w:right="100"/>
              <w:spacing w:after="0"/>
              <w:rPr>
                <w:sz w:val="20"/>
                <w:szCs w:val="20"/>
                <w:color w:val="auto"/>
              </w:rPr>
            </w:pPr>
            <w:r>
              <w:rPr>
                <w:rFonts w:ascii="Arial" w:cs="Arial" w:eastAsia="Arial" w:hAnsi="Arial"/>
                <w:sz w:val="14"/>
                <w:szCs w:val="14"/>
                <w:color w:val="auto"/>
              </w:rPr>
              <w:t>(298,766,102)</w:t>
            </w:r>
          </w:p>
        </w:tc>
        <w:tc>
          <w:tcPr>
            <w:tcW w:w="1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(13,151,426)</w:t>
            </w:r>
          </w:p>
        </w:tc>
        <w:tc>
          <w:tcPr>
            <w:tcW w:w="320" w:type="dxa"/>
            <w:vAlign w:val="bottom"/>
            <w:shd w:val="clear" w:color="auto" w:fill="CCECFF"/>
          </w:tcPr>
          <w:p>
            <w:pPr>
              <w:spacing w:after="0"/>
              <w:rPr>
                <w:sz w:val="14"/>
                <w:szCs w:val="14"/>
                <w:color w:val="auto"/>
              </w:rPr>
            </w:pPr>
          </w:p>
        </w:tc>
        <w:tc>
          <w:tcPr>
            <w:tcW w:w="112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(311,917,528)</w:t>
            </w:r>
          </w:p>
        </w:tc>
        <w:tc>
          <w:tcPr>
            <w:tcW w:w="0" w:type="dxa"/>
            <w:vAlign w:val="bottom"/>
          </w:tcPr>
          <w:p>
            <w:pPr>
              <w:spacing w:after="0"/>
              <w:rPr>
                <w:sz w:val="1"/>
                <w:szCs w:val="1"/>
                <w:color w:val="auto"/>
              </w:rPr>
            </w:pPr>
          </w:p>
        </w:tc>
      </w:tr>
      <w:tr>
        <w:trPr>
          <w:trHeight w:val="162"/>
        </w:trPr>
        <w:tc>
          <w:tcPr>
            <w:tcW w:w="6520" w:type="dxa"/>
            <w:vAlign w:val="bottom"/>
          </w:tcPr>
          <w:p>
            <w:pPr>
              <w:ind w:left="500"/>
              <w:spacing w:after="0"/>
              <w:rPr>
                <w:sz w:val="20"/>
                <w:szCs w:val="20"/>
                <w:color w:val="auto"/>
              </w:rPr>
            </w:pPr>
            <w:r>
              <w:rPr>
                <w:rFonts w:ascii="Arial" w:cs="Arial" w:eastAsia="Arial" w:hAnsi="Arial"/>
                <w:sz w:val="14"/>
                <w:szCs w:val="14"/>
                <w:color w:val="auto"/>
              </w:rPr>
              <w:t>Transfers in and/or out of Level 3</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6520" w:type="dxa"/>
            <w:vAlign w:val="bottom"/>
            <w:tcBorders>
              <w:top w:val="single" w:sz="8" w:color="CCECFF"/>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Ending Balance</w:t>
            </w:r>
          </w:p>
        </w:tc>
        <w:tc>
          <w:tcPr>
            <w:tcW w:w="140" w:type="dxa"/>
            <w:vAlign w:val="bottom"/>
            <w:tcBorders>
              <w:top w:val="single" w:sz="8" w:color="CCECFF"/>
              <w:bottom w:val="single" w:sz="8" w:color="CCECFF"/>
            </w:tcBorders>
            <w:shd w:val="clear" w:color="auto" w:fill="CCECFF"/>
          </w:tcPr>
          <w:p>
            <w:pPr>
              <w:spacing w:after="0"/>
              <w:rPr>
                <w:sz w:val="13"/>
                <w:szCs w:val="13"/>
                <w:color w:val="auto"/>
              </w:rPr>
            </w:pPr>
          </w:p>
        </w:tc>
        <w:tc>
          <w:tcPr>
            <w:tcW w:w="220" w:type="dxa"/>
            <w:vAlign w:val="bottom"/>
            <w:tcBorders>
              <w:top w:val="single" w:sz="8" w:color="auto"/>
              <w:bottom w:val="single" w:sz="8" w:color="auto"/>
            </w:tcBorders>
            <w:shd w:val="clear" w:color="auto" w:fill="CCEC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613,273,017</w:t>
            </w:r>
          </w:p>
        </w:tc>
        <w:tc>
          <w:tcPr>
            <w:tcW w:w="14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74,809,081</w:t>
            </w:r>
          </w:p>
        </w:tc>
        <w:tc>
          <w:tcPr>
            <w:tcW w:w="240" w:type="dxa"/>
            <w:vAlign w:val="bottom"/>
            <w:tcBorders>
              <w:top w:val="single" w:sz="8" w:color="CCECFF"/>
              <w:bottom w:val="single" w:sz="8" w:color="CCECFF"/>
            </w:tcBorders>
            <w:shd w:val="clear" w:color="auto" w:fill="CCECFF"/>
          </w:tcPr>
          <w:p>
            <w:pPr>
              <w:spacing w:after="0"/>
              <w:rPr>
                <w:sz w:val="13"/>
                <w:szCs w:val="13"/>
                <w:color w:val="auto"/>
              </w:rPr>
            </w:pPr>
          </w:p>
        </w:tc>
        <w:tc>
          <w:tcPr>
            <w:tcW w:w="320" w:type="dxa"/>
            <w:vAlign w:val="bottom"/>
            <w:tcBorders>
              <w:top w:val="single" w:sz="8" w:color="auto"/>
              <w:bottom w:val="single" w:sz="8" w:color="auto"/>
            </w:tcBorders>
            <w:shd w:val="clear" w:color="auto" w:fill="CCECFF"/>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688,082,098</w:t>
            </w: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Arial" w:cs="Arial" w:eastAsia="Arial" w:hAnsi="Arial"/>
                <w:sz w:val="14"/>
                <w:szCs w:val="14"/>
                <w:color w:val="auto"/>
                <w:w w:val="94"/>
              </w:rPr>
              <w:t>Net change in unrealized appreciation (depreciation) reported within the net change in unrealized (depreciation)</w:t>
            </w: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65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520" w:type="dxa"/>
            <w:vAlign w:val="bottom"/>
          </w:tcPr>
          <w:p>
            <w:pPr>
              <w:spacing w:after="0" w:line="149" w:lineRule="exact"/>
              <w:rPr>
                <w:sz w:val="20"/>
                <w:szCs w:val="20"/>
                <w:color w:val="auto"/>
              </w:rPr>
            </w:pPr>
            <w:r>
              <w:rPr>
                <w:rFonts w:ascii="Arial" w:cs="Arial" w:eastAsia="Arial" w:hAnsi="Arial"/>
                <w:sz w:val="14"/>
                <w:szCs w:val="14"/>
                <w:color w:val="auto"/>
                <w:w w:val="93"/>
              </w:rPr>
              <w:t>appreciation on investments in our Consolidated Statements of Operations attributable to our Level 3 assets still</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520" w:type="dxa"/>
            <w:vAlign w:val="bottom"/>
          </w:tcPr>
          <w:p>
            <w:pPr>
              <w:spacing w:after="0"/>
              <w:rPr>
                <w:sz w:val="20"/>
                <w:szCs w:val="20"/>
                <w:color w:val="auto"/>
              </w:rPr>
            </w:pPr>
            <w:r>
              <w:rPr>
                <w:rFonts w:ascii="Arial" w:cs="Arial" w:eastAsia="Arial" w:hAnsi="Arial"/>
                <w:sz w:val="14"/>
                <w:szCs w:val="14"/>
                <w:color w:val="auto"/>
              </w:rPr>
              <w:t>held at the reporting date.</w:t>
            </w:r>
          </w:p>
        </w:tc>
        <w:tc>
          <w:tcPr>
            <w:tcW w:w="36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3,084,852</w:t>
            </w:r>
          </w:p>
        </w:tc>
        <w:tc>
          <w:tcPr>
            <w:tcW w:w="140" w:type="dxa"/>
            <w:vAlign w:val="bottom"/>
          </w:tcPr>
          <w:p>
            <w:pPr>
              <w:spacing w:after="0"/>
              <w:rPr>
                <w:sz w:val="14"/>
                <w:szCs w:val="14"/>
                <w:color w:val="auto"/>
              </w:rPr>
            </w:pP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200"/>
              <w:spacing w:after="0"/>
              <w:rPr>
                <w:sz w:val="20"/>
                <w:szCs w:val="20"/>
                <w:color w:val="auto"/>
              </w:rPr>
            </w:pPr>
            <w:r>
              <w:rPr>
                <w:rFonts w:ascii="Arial" w:cs="Arial" w:eastAsia="Arial" w:hAnsi="Arial"/>
                <w:sz w:val="14"/>
                <w:szCs w:val="14"/>
                <w:color w:val="auto"/>
              </w:rPr>
              <w:t>(510,306)</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2,574,546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table below shows a reconciliation of the beginning and ending balances for fair valued liabilities measured using significant unobservable inputs (Level 3):</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Long-Term Credit Facility</w:t>
            </w:r>
          </w:p>
        </w:tc>
        <w:tc>
          <w:tcPr>
            <w:tcW w:w="360" w:type="dxa"/>
            <w:vAlign w:val="bottom"/>
          </w:tcPr>
          <w:p>
            <w:pPr>
              <w:spacing w:after="0"/>
              <w:rPr>
                <w:sz w:val="14"/>
                <w:szCs w:val="14"/>
                <w:color w:val="auto"/>
              </w:rPr>
            </w:pPr>
          </w:p>
        </w:tc>
        <w:tc>
          <w:tcPr>
            <w:tcW w:w="316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rPr>
              <w:t>Nine Months Ended June 30,</w:t>
            </w:r>
          </w:p>
        </w:tc>
        <w:tc>
          <w:tcPr>
            <w:tcW w:w="0" w:type="dxa"/>
            <w:vAlign w:val="bottom"/>
          </w:tcPr>
          <w:p>
            <w:pPr>
              <w:spacing w:after="0"/>
              <w:rPr>
                <w:sz w:val="1"/>
                <w:szCs w:val="1"/>
                <w:color w:val="auto"/>
              </w:rPr>
            </w:pPr>
          </w:p>
        </w:tc>
      </w:tr>
      <w:tr>
        <w:trPr>
          <w:trHeight w:val="155"/>
        </w:trPr>
        <w:tc>
          <w:tcPr>
            <w:tcW w:w="7720" w:type="dxa"/>
            <w:vAlign w:val="bottom"/>
            <w:gridSpan w:val="2"/>
            <w:vMerge w:val="continue"/>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56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Beginning Balance (cost – $253,783,301 and $232,907,500, respectively)</w:t>
            </w:r>
          </w:p>
        </w:tc>
        <w:tc>
          <w:tcPr>
            <w:tcW w:w="160" w:type="dxa"/>
            <w:vAlign w:val="bottom"/>
            <w:tcBorders>
              <w:top w:val="single" w:sz="8" w:color="CCECFF"/>
            </w:tcBorders>
            <w:shd w:val="clear" w:color="auto" w:fill="CCECFF"/>
          </w:tcPr>
          <w:p>
            <w:pPr>
              <w:spacing w:after="0"/>
              <w:rPr>
                <w:sz w:val="13"/>
                <w:szCs w:val="13"/>
                <w:color w:val="auto"/>
              </w:rPr>
            </w:pPr>
          </w:p>
        </w:tc>
        <w:tc>
          <w:tcPr>
            <w:tcW w:w="360" w:type="dxa"/>
            <w:vAlign w:val="bottom"/>
            <w:tcBorders>
              <w:top w:val="single" w:sz="8" w:color="auto"/>
            </w:tcBorders>
            <w:shd w:val="clear" w:color="auto" w:fill="CCECFF"/>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256,858,457</w:t>
            </w:r>
          </w:p>
        </w:tc>
        <w:tc>
          <w:tcPr>
            <w:tcW w:w="280" w:type="dxa"/>
            <w:vAlign w:val="bottom"/>
            <w:tcBorders>
              <w:top w:val="single" w:sz="8" w:color="CCECFF"/>
            </w:tcBorders>
            <w:shd w:val="clear" w:color="auto" w:fill="CCECFF"/>
          </w:tcPr>
          <w:p>
            <w:pPr>
              <w:spacing w:after="0"/>
              <w:rPr>
                <w:sz w:val="13"/>
                <w:szCs w:val="13"/>
                <w:color w:val="auto"/>
              </w:rPr>
            </w:pPr>
          </w:p>
        </w:tc>
        <w:tc>
          <w:tcPr>
            <w:tcW w:w="360" w:type="dxa"/>
            <w:vAlign w:val="bottom"/>
            <w:tcBorders>
              <w:top w:val="single" w:sz="8" w:color="auto"/>
            </w:tcBorders>
            <w:shd w:val="clear" w:color="auto" w:fill="CCECFF"/>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232,389,498</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gridSpan w:val="2"/>
          </w:tcPr>
          <w:p>
            <w:pPr>
              <w:ind w:left="500"/>
              <w:spacing w:after="0"/>
              <w:rPr>
                <w:sz w:val="20"/>
                <w:szCs w:val="20"/>
                <w:color w:val="auto"/>
              </w:rPr>
            </w:pPr>
            <w:r>
              <w:rPr>
                <w:rFonts w:ascii="Arial" w:cs="Arial" w:eastAsia="Arial" w:hAnsi="Arial"/>
                <w:sz w:val="14"/>
                <w:szCs w:val="14"/>
                <w:color w:val="auto"/>
              </w:rPr>
              <w:t>Net change in unrealized (depreciation) appreciation included in earnings</w:t>
            </w:r>
          </w:p>
        </w:tc>
        <w:tc>
          <w:tcPr>
            <w:tcW w:w="36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(2,886,308)</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2,972,262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gridSpan w:val="2"/>
            <w:shd w:val="clear" w:color="auto" w:fill="CCECFF"/>
          </w:tcPr>
          <w:p>
            <w:pPr>
              <w:ind w:left="500"/>
              <w:spacing w:after="0"/>
              <w:rPr>
                <w:sz w:val="20"/>
                <w:szCs w:val="20"/>
                <w:color w:val="auto"/>
              </w:rPr>
            </w:pPr>
            <w:r>
              <w:rPr>
                <w:rFonts w:ascii="Arial" w:cs="Arial" w:eastAsia="Arial" w:hAnsi="Arial"/>
                <w:sz w:val="14"/>
                <w:szCs w:val="14"/>
                <w:color w:val="auto"/>
              </w:rPr>
              <w:t>Borrowings</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143,985,010</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259,802,000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gridSpan w:val="2"/>
          </w:tcPr>
          <w:p>
            <w:pPr>
              <w:ind w:left="500"/>
              <w:spacing w:after="0"/>
              <w:rPr>
                <w:sz w:val="20"/>
                <w:szCs w:val="20"/>
                <w:color w:val="auto"/>
              </w:rPr>
            </w:pPr>
            <w:r>
              <w:rPr>
                <w:rFonts w:ascii="Arial" w:cs="Arial" w:eastAsia="Arial" w:hAnsi="Arial"/>
                <w:sz w:val="14"/>
                <w:szCs w:val="14"/>
                <w:color w:val="auto"/>
              </w:rPr>
              <w:t>Repayments</w:t>
            </w:r>
          </w:p>
        </w:tc>
        <w:tc>
          <w:tcPr>
            <w:tcW w:w="36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(142,095,000)</w:t>
            </w: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(201,500,000)</w:t>
            </w:r>
          </w:p>
        </w:tc>
        <w:tc>
          <w:tcPr>
            <w:tcW w:w="0" w:type="dxa"/>
            <w:vAlign w:val="bottom"/>
          </w:tcPr>
          <w:p>
            <w:pPr>
              <w:spacing w:after="0"/>
              <w:rPr>
                <w:sz w:val="1"/>
                <w:szCs w:val="1"/>
                <w:color w:val="auto"/>
              </w:rPr>
            </w:pPr>
          </w:p>
        </w:tc>
      </w:tr>
      <w:tr>
        <w:trPr>
          <w:trHeight w:val="162"/>
        </w:trPr>
        <w:tc>
          <w:tcPr>
            <w:tcW w:w="7720" w:type="dxa"/>
            <w:vAlign w:val="bottom"/>
            <w:gridSpan w:val="2"/>
            <w:shd w:val="clear" w:color="auto" w:fill="CCECFF"/>
          </w:tcPr>
          <w:p>
            <w:pPr>
              <w:ind w:left="500"/>
              <w:spacing w:after="0"/>
              <w:rPr>
                <w:sz w:val="20"/>
                <w:szCs w:val="20"/>
                <w:color w:val="auto"/>
              </w:rPr>
            </w:pPr>
            <w:r>
              <w:rPr>
                <w:rFonts w:ascii="Arial" w:cs="Arial" w:eastAsia="Arial" w:hAnsi="Arial"/>
                <w:sz w:val="14"/>
                <w:szCs w:val="14"/>
                <w:color w:val="auto"/>
              </w:rPr>
              <w:t>Transfers in and/or out of Level 3</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30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7720" w:type="dxa"/>
            <w:vAlign w:val="bottom"/>
            <w:gridSpan w:val="2"/>
          </w:tcPr>
          <w:p>
            <w:pPr>
              <w:spacing w:after="0" w:line="155" w:lineRule="exact"/>
              <w:rPr>
                <w:sz w:val="20"/>
                <w:szCs w:val="20"/>
                <w:color w:val="auto"/>
              </w:rPr>
            </w:pPr>
            <w:r>
              <w:rPr>
                <w:rFonts w:ascii="Arial" w:cs="Arial" w:eastAsia="Arial" w:hAnsi="Arial"/>
                <w:sz w:val="14"/>
                <w:szCs w:val="14"/>
                <w:color w:val="auto"/>
              </w:rPr>
              <w:t>Ending Balance (cost – $255,673,311 and $291,209,500, respectively)</w:t>
            </w:r>
          </w:p>
        </w:tc>
        <w:tc>
          <w:tcPr>
            <w:tcW w:w="360" w:type="dxa"/>
            <w:vAlign w:val="bottom"/>
            <w:tcBorders>
              <w:top w:val="single" w:sz="8" w:color="auto"/>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255,862,159</w:t>
            </w:r>
          </w:p>
        </w:tc>
        <w:tc>
          <w:tcPr>
            <w:tcW w:w="280" w:type="dxa"/>
            <w:vAlign w:val="bottom"/>
          </w:tcPr>
          <w:p>
            <w:pPr>
              <w:spacing w:after="0"/>
              <w:rPr>
                <w:sz w:val="13"/>
                <w:szCs w:val="13"/>
                <w:color w:val="auto"/>
              </w:rPr>
            </w:pPr>
          </w:p>
        </w:tc>
        <w:tc>
          <w:tcPr>
            <w:tcW w:w="360" w:type="dxa"/>
            <w:vAlign w:val="bottom"/>
            <w:tcBorders>
              <w:top w:val="single" w:sz="8" w:color="auto"/>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293,663,760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440"/>
        <w:spacing w:after="0"/>
        <w:rPr>
          <w:sz w:val="20"/>
          <w:szCs w:val="20"/>
          <w:color w:val="auto"/>
        </w:rPr>
      </w:pPr>
      <w:r>
        <w:rPr>
          <w:rFonts w:ascii="Arial" w:cs="Arial" w:eastAsia="Arial" w:hAnsi="Arial"/>
          <w:sz w:val="13"/>
          <w:szCs w:val="13"/>
          <w:color w:val="auto"/>
        </w:rPr>
        <w:t>As of June 30, 2018, we had outstanding non-U.S. dollar borrowings on our Credit Facility. Net change in fair value from foreign currency translation on outstanding borrowings is listed</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620" w:type="dxa"/>
            <w:vAlign w:val="bottom"/>
          </w:tcPr>
          <w:p>
            <w:pPr>
              <w:spacing w:after="0"/>
              <w:rPr>
                <w:sz w:val="20"/>
                <w:szCs w:val="20"/>
                <w:color w:val="auto"/>
              </w:rPr>
            </w:pPr>
            <w:r>
              <w:rPr>
                <w:rFonts w:ascii="Arial" w:cs="Arial" w:eastAsia="Arial" w:hAnsi="Arial"/>
                <w:sz w:val="14"/>
                <w:szCs w:val="14"/>
                <w:color w:val="auto"/>
              </w:rPr>
              <w:t>below:</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83"/>
        </w:trPr>
        <w:tc>
          <w:tcPr>
            <w:tcW w:w="2620" w:type="dxa"/>
            <w:vAlign w:val="bottom"/>
          </w:tcPr>
          <w:p>
            <w:pPr>
              <w:spacing w:after="0"/>
              <w:rPr>
                <w:sz w:val="20"/>
                <w:szCs w:val="20"/>
                <w:color w:val="auto"/>
              </w:rPr>
            </w:pPr>
            <w:r>
              <w:rPr>
                <w:rFonts w:ascii="Arial" w:cs="Arial" w:eastAsia="Arial" w:hAnsi="Arial"/>
                <w:sz w:val="14"/>
                <w:szCs w:val="14"/>
                <w:b w:val="1"/>
                <w:bCs w:val="1"/>
                <w:color w:val="auto"/>
              </w:rPr>
              <w:t>Foreign Currency</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 Borrowed</w:t>
            </w:r>
          </w:p>
        </w:tc>
        <w:tc>
          <w:tcPr>
            <w:tcW w:w="140" w:type="dxa"/>
            <w:vAlign w:val="bottom"/>
          </w:tcPr>
          <w:p>
            <w:pPr>
              <w:spacing w:after="0"/>
              <w:rPr>
                <w:sz w:val="24"/>
                <w:szCs w:val="24"/>
                <w:color w:val="auto"/>
              </w:rPr>
            </w:pPr>
          </w:p>
        </w:tc>
        <w:tc>
          <w:tcPr>
            <w:tcW w:w="1560" w:type="dxa"/>
            <w:vAlign w:val="bottom"/>
            <w:gridSpan w:val="2"/>
          </w:tcPr>
          <w:p>
            <w:pPr>
              <w:ind w:left="80"/>
              <w:spacing w:after="0"/>
              <w:rPr>
                <w:sz w:val="20"/>
                <w:szCs w:val="20"/>
                <w:color w:val="auto"/>
              </w:rPr>
            </w:pPr>
            <w:r>
              <w:rPr>
                <w:rFonts w:ascii="Arial" w:cs="Arial" w:eastAsia="Arial" w:hAnsi="Arial"/>
                <w:sz w:val="14"/>
                <w:szCs w:val="14"/>
                <w:b w:val="1"/>
                <w:bCs w:val="1"/>
                <w:color w:val="auto"/>
              </w:rPr>
              <w:t>Borrowing Cost</w:t>
            </w:r>
          </w:p>
        </w:tc>
        <w:tc>
          <w:tcPr>
            <w:tcW w:w="160" w:type="dxa"/>
            <w:vAlign w:val="bottom"/>
          </w:tcPr>
          <w:p>
            <w:pPr>
              <w:spacing w:after="0"/>
              <w:rPr>
                <w:sz w:val="24"/>
                <w:szCs w:val="24"/>
                <w:color w:val="auto"/>
              </w:rPr>
            </w:pPr>
          </w:p>
        </w:tc>
        <w:tc>
          <w:tcPr>
            <w:tcW w:w="1260" w:type="dxa"/>
            <w:vAlign w:val="bottom"/>
          </w:tcPr>
          <w:p>
            <w:pPr>
              <w:jc w:val="right"/>
              <w:ind w:right="208"/>
              <w:spacing w:after="0"/>
              <w:rPr>
                <w:sz w:val="20"/>
                <w:szCs w:val="20"/>
                <w:color w:val="auto"/>
              </w:rPr>
            </w:pPr>
            <w:r>
              <w:rPr>
                <w:rFonts w:ascii="Arial" w:cs="Arial" w:eastAsia="Arial" w:hAnsi="Arial"/>
                <w:sz w:val="14"/>
                <w:szCs w:val="14"/>
                <w:b w:val="1"/>
                <w:bCs w:val="1"/>
                <w:color w:val="auto"/>
              </w:rPr>
              <w:t>Current Value</w:t>
            </w:r>
          </w:p>
        </w:tc>
        <w:tc>
          <w:tcPr>
            <w:tcW w:w="280" w:type="dxa"/>
            <w:vAlign w:val="bottom"/>
          </w:tcPr>
          <w:p>
            <w:pPr>
              <w:spacing w:after="0"/>
              <w:rPr>
                <w:sz w:val="24"/>
                <w:szCs w:val="24"/>
                <w:color w:val="auto"/>
              </w:rPr>
            </w:pPr>
          </w:p>
        </w:tc>
        <w:tc>
          <w:tcPr>
            <w:tcW w:w="17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Reset Date</w:t>
            </w:r>
          </w:p>
        </w:tc>
        <w:tc>
          <w:tcPr>
            <w:tcW w:w="1540" w:type="dxa"/>
            <w:vAlign w:val="bottom"/>
            <w:gridSpan w:val="3"/>
          </w:tcPr>
          <w:p>
            <w:pPr>
              <w:ind w:left="60"/>
              <w:spacing w:after="0"/>
              <w:rPr>
                <w:sz w:val="20"/>
                <w:szCs w:val="20"/>
                <w:color w:val="auto"/>
              </w:rPr>
            </w:pPr>
            <w:r>
              <w:rPr>
                <w:rFonts w:ascii="Arial" w:cs="Arial" w:eastAsia="Arial" w:hAnsi="Arial"/>
                <w:sz w:val="14"/>
                <w:szCs w:val="14"/>
                <w:b w:val="1"/>
                <w:bCs w:val="1"/>
                <w:color w:val="auto"/>
              </w:rPr>
              <w:t>Change in Fair Value</w:t>
            </w:r>
          </w:p>
        </w:tc>
      </w:tr>
      <w:tr>
        <w:trPr>
          <w:trHeight w:val="155"/>
        </w:trPr>
        <w:tc>
          <w:tcPr>
            <w:tcW w:w="262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Australian Dollar</w:t>
            </w:r>
          </w:p>
        </w:tc>
        <w:tc>
          <w:tcPr>
            <w:tcW w:w="300" w:type="dxa"/>
            <w:vAlign w:val="bottom"/>
            <w:tcBorders>
              <w:top w:val="single" w:sz="8" w:color="CCECFF"/>
            </w:tcBorders>
            <w:shd w:val="clear" w:color="auto" w:fill="CCECFF"/>
          </w:tcPr>
          <w:p>
            <w:pPr>
              <w:ind w:left="180"/>
              <w:spacing w:after="0" w:line="155" w:lineRule="exact"/>
              <w:rPr>
                <w:sz w:val="20"/>
                <w:szCs w:val="20"/>
                <w:color w:val="auto"/>
              </w:rPr>
            </w:pPr>
            <w:r>
              <w:rPr>
                <w:rFonts w:ascii="Arial" w:cs="Arial" w:eastAsia="Arial" w:hAnsi="Arial"/>
                <w:sz w:val="14"/>
                <w:szCs w:val="14"/>
                <w:color w:val="auto"/>
              </w:rPr>
              <w:t>A</w:t>
            </w:r>
          </w:p>
        </w:tc>
        <w:tc>
          <w:tcPr>
            <w:tcW w:w="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13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14,900,000</w:t>
            </w:r>
          </w:p>
        </w:tc>
        <w:tc>
          <w:tcPr>
            <w:tcW w:w="28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2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11,485,010</w:t>
            </w:r>
          </w:p>
        </w:tc>
        <w:tc>
          <w:tcPr>
            <w:tcW w:w="28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auto"/>
            </w:tcBorders>
            <w:shd w:val="clear" w:color="auto" w:fill="CCEC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11,008,910</w:t>
            </w:r>
          </w:p>
        </w:tc>
        <w:tc>
          <w:tcPr>
            <w:tcW w:w="280" w:type="dxa"/>
            <w:vAlign w:val="bottom"/>
            <w:tcBorders>
              <w:top w:val="single" w:sz="8" w:color="CCECFF"/>
            </w:tcBorders>
            <w:shd w:val="clear" w:color="auto" w:fill="CCECFF"/>
          </w:tcPr>
          <w:p>
            <w:pPr>
              <w:spacing w:after="0"/>
              <w:rPr>
                <w:sz w:val="13"/>
                <w:szCs w:val="13"/>
                <w:color w:val="auto"/>
              </w:rPr>
            </w:pPr>
          </w:p>
        </w:tc>
        <w:tc>
          <w:tcPr>
            <w:tcW w:w="154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5"/>
              </w:rPr>
              <w:t>July 2, 2018</w:t>
            </w:r>
          </w:p>
        </w:tc>
        <w:tc>
          <w:tcPr>
            <w:tcW w:w="160" w:type="dxa"/>
            <w:vAlign w:val="bottom"/>
            <w:tcBorders>
              <w:top w:val="single" w:sz="8" w:color="CCECFF"/>
            </w:tcBorders>
            <w:shd w:val="clear" w:color="auto" w:fill="CCECFF"/>
          </w:tcPr>
          <w:p>
            <w:pPr>
              <w:spacing w:after="0"/>
              <w:rPr>
                <w:sz w:val="13"/>
                <w:szCs w:val="13"/>
                <w:color w:val="auto"/>
              </w:rPr>
            </w:pPr>
          </w:p>
        </w:tc>
        <w:tc>
          <w:tcPr>
            <w:tcW w:w="460" w:type="dxa"/>
            <w:vAlign w:val="bottom"/>
            <w:tcBorders>
              <w:top w:val="single" w:sz="8" w:color="auto"/>
            </w:tcBorders>
            <w:shd w:val="clear" w:color="auto" w:fill="CCECFF"/>
          </w:tcPr>
          <w:p>
            <w:pPr>
              <w:jc w:val="right"/>
              <w:ind w:right="30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(476,100)</w:t>
            </w:r>
          </w:p>
        </w:tc>
        <w:tc>
          <w:tcPr>
            <w:tcW w:w="100" w:type="dxa"/>
            <w:vAlign w:val="bottom"/>
            <w:tcBorders>
              <w:top w:val="single" w:sz="8" w:color="CCECFF"/>
            </w:tcBorders>
            <w:shd w:val="clear" w:color="auto" w:fill="CCECFF"/>
          </w:tcPr>
          <w:p>
            <w:pPr>
              <w:spacing w:after="0"/>
              <w:rPr>
                <w:sz w:val="13"/>
                <w:szCs w:val="13"/>
                <w:color w:val="auto"/>
              </w:rPr>
            </w:pPr>
          </w:p>
        </w:tc>
      </w:tr>
      <w:tr>
        <w:trPr>
          <w:trHeight w:val="162"/>
        </w:trPr>
        <w:tc>
          <w:tcPr>
            <w:tcW w:w="2620" w:type="dxa"/>
            <w:vAlign w:val="bottom"/>
          </w:tcPr>
          <w:p>
            <w:pPr>
              <w:spacing w:after="0"/>
              <w:rPr>
                <w:sz w:val="20"/>
                <w:szCs w:val="20"/>
                <w:color w:val="auto"/>
              </w:rPr>
            </w:pPr>
            <w:r>
              <w:rPr>
                <w:rFonts w:ascii="Arial" w:cs="Arial" w:eastAsia="Arial" w:hAnsi="Arial"/>
                <w:sz w:val="14"/>
                <w:szCs w:val="14"/>
                <w:color w:val="auto"/>
              </w:rPr>
              <w:t>Canadian Dollar</w:t>
            </w:r>
          </w:p>
        </w:tc>
        <w:tc>
          <w:tcPr>
            <w:tcW w:w="380" w:type="dxa"/>
            <w:vAlign w:val="bottom"/>
            <w:gridSpan w:val="2"/>
          </w:tcPr>
          <w:p>
            <w:pPr>
              <w:jc w:val="right"/>
              <w:spacing w:after="0"/>
              <w:rPr>
                <w:sz w:val="20"/>
                <w:szCs w:val="20"/>
                <w:color w:val="auto"/>
              </w:rPr>
            </w:pPr>
            <w:r>
              <w:rPr>
                <w:rFonts w:ascii="Arial" w:cs="Arial" w:eastAsia="Arial" w:hAnsi="Arial"/>
                <w:sz w:val="14"/>
                <w:szCs w:val="14"/>
                <w:color w:val="auto"/>
              </w:rPr>
              <w:t>C$</w:t>
            </w:r>
          </w:p>
        </w:tc>
        <w:tc>
          <w:tcPr>
            <w:tcW w:w="1320" w:type="dxa"/>
            <w:vAlign w:val="bottom"/>
          </w:tcPr>
          <w:p>
            <w:pPr>
              <w:jc w:val="right"/>
              <w:spacing w:after="0"/>
              <w:rPr>
                <w:sz w:val="20"/>
                <w:szCs w:val="20"/>
                <w:color w:val="auto"/>
              </w:rPr>
            </w:pPr>
            <w:r>
              <w:rPr>
                <w:rFonts w:ascii="Arial" w:cs="Arial" w:eastAsia="Arial" w:hAnsi="Arial"/>
                <w:sz w:val="14"/>
                <w:szCs w:val="14"/>
                <w:color w:val="auto"/>
              </w:rPr>
              <w:t>17,500,000</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12,407,500</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13,303,430</w:t>
            </w:r>
          </w:p>
        </w:tc>
        <w:tc>
          <w:tcPr>
            <w:tcW w:w="280" w:type="dxa"/>
            <w:vAlign w:val="bottom"/>
          </w:tcPr>
          <w:p>
            <w:pPr>
              <w:spacing w:after="0"/>
              <w:rPr>
                <w:sz w:val="14"/>
                <w:szCs w:val="14"/>
                <w:color w:val="auto"/>
              </w:rPr>
            </w:pPr>
          </w:p>
        </w:tc>
        <w:tc>
          <w:tcPr>
            <w:tcW w:w="1700" w:type="dxa"/>
            <w:vAlign w:val="bottom"/>
            <w:gridSpan w:val="2"/>
          </w:tcPr>
          <w:p>
            <w:pPr>
              <w:jc w:val="center"/>
              <w:ind w:right="180"/>
              <w:spacing w:after="0"/>
              <w:rPr>
                <w:sz w:val="20"/>
                <w:szCs w:val="20"/>
                <w:color w:val="auto"/>
              </w:rPr>
            </w:pPr>
            <w:r>
              <w:rPr>
                <w:rFonts w:ascii="Arial" w:cs="Arial" w:eastAsia="Arial" w:hAnsi="Arial"/>
                <w:sz w:val="14"/>
                <w:szCs w:val="14"/>
                <w:color w:val="auto"/>
                <w:w w:val="95"/>
              </w:rPr>
              <w:t>July 2, 2018</w:t>
            </w:r>
          </w:p>
        </w:tc>
        <w:tc>
          <w:tcPr>
            <w:tcW w:w="4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895,930</w:t>
            </w:r>
          </w:p>
        </w:tc>
        <w:tc>
          <w:tcPr>
            <w:tcW w:w="100" w:type="dxa"/>
            <w:vAlign w:val="bottom"/>
          </w:tcPr>
          <w:p>
            <w:pPr>
              <w:spacing w:after="0"/>
              <w:rPr>
                <w:sz w:val="14"/>
                <w:szCs w:val="14"/>
                <w:color w:val="auto"/>
              </w:rPr>
            </w:pPr>
          </w:p>
        </w:tc>
      </w:tr>
      <w:tr>
        <w:trPr>
          <w:trHeight w:val="162"/>
        </w:trPr>
        <w:tc>
          <w:tcPr>
            <w:tcW w:w="2620" w:type="dxa"/>
            <w:vAlign w:val="bottom"/>
            <w:shd w:val="clear" w:color="auto" w:fill="CCECFF"/>
          </w:tcPr>
          <w:p>
            <w:pPr>
              <w:spacing w:after="0"/>
              <w:rPr>
                <w:sz w:val="20"/>
                <w:szCs w:val="20"/>
                <w:color w:val="auto"/>
              </w:rPr>
            </w:pPr>
            <w:r>
              <w:rPr>
                <w:rFonts w:ascii="Arial" w:cs="Arial" w:eastAsia="Arial" w:hAnsi="Arial"/>
                <w:sz w:val="14"/>
                <w:szCs w:val="14"/>
                <w:color w:val="auto"/>
              </w:rPr>
              <w:t>Euro</w:t>
            </w:r>
          </w:p>
        </w:tc>
        <w:tc>
          <w:tcPr>
            <w:tcW w:w="38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7,200,000</w:t>
            </w:r>
          </w:p>
        </w:tc>
        <w:tc>
          <w:tcPr>
            <w:tcW w:w="280" w:type="dxa"/>
            <w:vAlign w:val="bottom"/>
            <w:shd w:val="clear" w:color="auto" w:fill="CCECFF"/>
          </w:tcPr>
          <w:p>
            <w:pPr>
              <w:spacing w:after="0"/>
              <w:rPr>
                <w:sz w:val="14"/>
                <w:szCs w:val="14"/>
                <w:color w:val="auto"/>
              </w:rPr>
            </w:pPr>
          </w:p>
        </w:tc>
        <w:tc>
          <w:tcPr>
            <w:tcW w:w="140" w:type="dxa"/>
            <w:vAlign w:val="bottom"/>
            <w:tcBorders>
              <w:bottom w:val="single" w:sz="8" w:color="auto"/>
            </w:tcBorders>
            <w:shd w:val="clear" w:color="auto" w:fill="CCECFF"/>
          </w:tcPr>
          <w:p>
            <w:pPr>
              <w:spacing w:after="0"/>
              <w:rPr>
                <w:sz w:val="14"/>
                <w:szCs w:val="14"/>
                <w:color w:val="auto"/>
              </w:rPr>
            </w:pPr>
          </w:p>
        </w:tc>
        <w:tc>
          <w:tcPr>
            <w:tcW w:w="12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7,480,800</w:t>
            </w:r>
          </w:p>
        </w:tc>
        <w:tc>
          <w:tcPr>
            <w:tcW w:w="280" w:type="dxa"/>
            <w:vAlign w:val="bottom"/>
            <w:shd w:val="clear" w:color="auto" w:fill="CCECFF"/>
          </w:tcPr>
          <w:p>
            <w:pPr>
              <w:spacing w:after="0"/>
              <w:rPr>
                <w:sz w:val="14"/>
                <w:szCs w:val="14"/>
                <w:color w:val="auto"/>
              </w:rPr>
            </w:pPr>
          </w:p>
        </w:tc>
        <w:tc>
          <w:tcPr>
            <w:tcW w:w="160" w:type="dxa"/>
            <w:vAlign w:val="bottom"/>
            <w:tcBorders>
              <w:bottom w:val="single" w:sz="8" w:color="auto"/>
            </w:tcBorders>
            <w:shd w:val="clear" w:color="auto" w:fill="CCECFF"/>
          </w:tcPr>
          <w:p>
            <w:pPr>
              <w:spacing w:after="0"/>
              <w:rPr>
                <w:sz w:val="14"/>
                <w:szCs w:val="14"/>
                <w:color w:val="auto"/>
              </w:rPr>
            </w:pPr>
          </w:p>
        </w:tc>
        <w:tc>
          <w:tcPr>
            <w:tcW w:w="12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8,406,403</w:t>
            </w:r>
          </w:p>
        </w:tc>
        <w:tc>
          <w:tcPr>
            <w:tcW w:w="280" w:type="dxa"/>
            <w:vAlign w:val="bottom"/>
            <w:shd w:val="clear" w:color="auto" w:fill="CCECFF"/>
          </w:tcPr>
          <w:p>
            <w:pPr>
              <w:spacing w:after="0"/>
              <w:rPr>
                <w:sz w:val="14"/>
                <w:szCs w:val="14"/>
                <w:color w:val="auto"/>
              </w:rPr>
            </w:pPr>
          </w:p>
        </w:tc>
        <w:tc>
          <w:tcPr>
            <w:tcW w:w="1700" w:type="dxa"/>
            <w:vAlign w:val="bottom"/>
            <w:gridSpan w:val="2"/>
            <w:shd w:val="clear" w:color="auto" w:fill="CCECFF"/>
          </w:tcPr>
          <w:p>
            <w:pPr>
              <w:jc w:val="center"/>
              <w:ind w:right="180"/>
              <w:spacing w:after="0"/>
              <w:rPr>
                <w:sz w:val="20"/>
                <w:szCs w:val="20"/>
                <w:color w:val="auto"/>
              </w:rPr>
            </w:pPr>
            <w:r>
              <w:rPr>
                <w:rFonts w:ascii="Arial" w:cs="Arial" w:eastAsia="Arial" w:hAnsi="Arial"/>
                <w:sz w:val="14"/>
                <w:szCs w:val="14"/>
                <w:color w:val="auto"/>
                <w:w w:val="95"/>
              </w:rPr>
              <w:t>July 2, 2018</w:t>
            </w:r>
          </w:p>
        </w:tc>
        <w:tc>
          <w:tcPr>
            <w:tcW w:w="460" w:type="dxa"/>
            <w:vAlign w:val="bottom"/>
            <w:tcBorders>
              <w:bottom w:val="single" w:sz="8" w:color="auto"/>
            </w:tcBorders>
            <w:shd w:val="clear" w:color="auto" w:fill="CCECFF"/>
          </w:tcPr>
          <w:p>
            <w:pPr>
              <w:spacing w:after="0"/>
              <w:rPr>
                <w:sz w:val="14"/>
                <w:szCs w:val="14"/>
                <w:color w:val="auto"/>
              </w:rPr>
            </w:pPr>
          </w:p>
        </w:tc>
        <w:tc>
          <w:tcPr>
            <w:tcW w:w="9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925,603</w:t>
            </w:r>
          </w:p>
        </w:tc>
        <w:tc>
          <w:tcPr>
            <w:tcW w:w="100" w:type="dxa"/>
            <w:vAlign w:val="bottom"/>
            <w:shd w:val="clear" w:color="auto" w:fill="CCECFF"/>
          </w:tcPr>
          <w:p>
            <w:pPr>
              <w:spacing w:after="0"/>
              <w:rPr>
                <w:sz w:val="14"/>
                <w:szCs w:val="14"/>
                <w:color w:val="auto"/>
              </w:rPr>
            </w:pPr>
          </w:p>
        </w:tc>
      </w:tr>
      <w:tr>
        <w:trPr>
          <w:trHeight w:val="156"/>
        </w:trPr>
        <w:tc>
          <w:tcPr>
            <w:tcW w:w="2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31,373,310</w:t>
            </w:r>
          </w:p>
        </w:tc>
        <w:tc>
          <w:tcPr>
            <w:tcW w:w="280" w:type="dxa"/>
            <w:vAlign w:val="bottom"/>
          </w:tcPr>
          <w:p>
            <w:pPr>
              <w:spacing w:after="0"/>
              <w:rPr>
                <w:sz w:val="13"/>
                <w:szCs w:val="13"/>
                <w:color w:val="auto"/>
              </w:rPr>
            </w:pPr>
          </w:p>
        </w:tc>
        <w:tc>
          <w:tcPr>
            <w:tcW w:w="1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32,718,743</w:t>
            </w:r>
          </w:p>
        </w:tc>
        <w:tc>
          <w:tcPr>
            <w:tcW w:w="2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Borders>
              <w:bottom w:val="single" w:sz="8" w:color="auto"/>
            </w:tcBorders>
          </w:tcPr>
          <w:p>
            <w:pPr>
              <w:jc w:val="right"/>
              <w:ind w:right="30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1,345,433</w:t>
            </w:r>
          </w:p>
        </w:tc>
        <w:tc>
          <w:tcPr>
            <w:tcW w:w="100" w:type="dxa"/>
            <w:vAlign w:val="bottom"/>
          </w:tcPr>
          <w:p>
            <w:pPr>
              <w:spacing w:after="0"/>
              <w:rPr>
                <w:sz w:val="13"/>
                <w:szCs w:val="13"/>
                <w:color w:val="auto"/>
              </w:rPr>
            </w:pPr>
          </w:p>
        </w:tc>
      </w:tr>
      <w:tr>
        <w:trPr>
          <w:trHeight w:val="20"/>
        </w:trPr>
        <w:tc>
          <w:tcPr>
            <w:tcW w:w="2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30" w:lineRule="exact"/>
        <w:rPr>
          <w:sz w:val="20"/>
          <w:szCs w:val="20"/>
          <w:color w:val="auto"/>
        </w:rPr>
      </w:pPr>
    </w:p>
    <w:p>
      <w:pPr>
        <w:ind w:right="100" w:firstLine="438"/>
        <w:spacing w:after="0" w:line="253" w:lineRule="auto"/>
        <w:rPr>
          <w:sz w:val="20"/>
          <w:szCs w:val="20"/>
          <w:color w:val="auto"/>
        </w:rPr>
      </w:pPr>
      <w:r>
        <w:rPr>
          <w:rFonts w:ascii="Arial" w:cs="Arial" w:eastAsia="Arial" w:hAnsi="Arial"/>
          <w:sz w:val="14"/>
          <w:szCs w:val="14"/>
          <w:color w:val="auto"/>
        </w:rPr>
        <w:t>As of September 30, 2017, we had outstanding non-U.S. dollar borrowings on our Credit Facility. Net change in fair value from foreign currency translation on outstanding borrowings is listed below:</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20" w:type="dxa"/>
            <w:vAlign w:val="bottom"/>
          </w:tcPr>
          <w:p>
            <w:pPr>
              <w:spacing w:after="0"/>
              <w:rPr>
                <w:sz w:val="20"/>
                <w:szCs w:val="20"/>
                <w:color w:val="auto"/>
              </w:rPr>
            </w:pPr>
            <w:r>
              <w:rPr>
                <w:rFonts w:ascii="Arial" w:cs="Arial" w:eastAsia="Arial" w:hAnsi="Arial"/>
                <w:sz w:val="14"/>
                <w:szCs w:val="14"/>
                <w:b w:val="1"/>
                <w:bCs w:val="1"/>
                <w:color w:val="auto"/>
              </w:rPr>
              <w:t>Foreign Currency</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 Borrowed</w:t>
            </w:r>
          </w:p>
        </w:tc>
        <w:tc>
          <w:tcPr>
            <w:tcW w:w="140" w:type="dxa"/>
            <w:vAlign w:val="bottom"/>
          </w:tcPr>
          <w:p>
            <w:pPr>
              <w:spacing w:after="0"/>
              <w:rPr>
                <w:sz w:val="14"/>
                <w:szCs w:val="14"/>
                <w:color w:val="auto"/>
              </w:rPr>
            </w:pPr>
          </w:p>
        </w:tc>
        <w:tc>
          <w:tcPr>
            <w:tcW w:w="1560" w:type="dxa"/>
            <w:vAlign w:val="bottom"/>
            <w:gridSpan w:val="2"/>
          </w:tcPr>
          <w:p>
            <w:pPr>
              <w:ind w:left="80"/>
              <w:spacing w:after="0"/>
              <w:rPr>
                <w:sz w:val="20"/>
                <w:szCs w:val="20"/>
                <w:color w:val="auto"/>
              </w:rPr>
            </w:pPr>
            <w:r>
              <w:rPr>
                <w:rFonts w:ascii="Arial" w:cs="Arial" w:eastAsia="Arial" w:hAnsi="Arial"/>
                <w:sz w:val="14"/>
                <w:szCs w:val="14"/>
                <w:b w:val="1"/>
                <w:bCs w:val="1"/>
                <w:color w:val="auto"/>
              </w:rPr>
              <w:t>Borrowing Cost</w:t>
            </w:r>
          </w:p>
        </w:tc>
        <w:tc>
          <w:tcPr>
            <w:tcW w:w="160" w:type="dxa"/>
            <w:vAlign w:val="bottom"/>
          </w:tcPr>
          <w:p>
            <w:pPr>
              <w:spacing w:after="0"/>
              <w:rPr>
                <w:sz w:val="14"/>
                <w:szCs w:val="14"/>
                <w:color w:val="auto"/>
              </w:rPr>
            </w:pPr>
          </w:p>
        </w:tc>
        <w:tc>
          <w:tcPr>
            <w:tcW w:w="1260" w:type="dxa"/>
            <w:vAlign w:val="bottom"/>
          </w:tcPr>
          <w:p>
            <w:pPr>
              <w:jc w:val="right"/>
              <w:ind w:right="208"/>
              <w:spacing w:after="0"/>
              <w:rPr>
                <w:sz w:val="20"/>
                <w:szCs w:val="20"/>
                <w:color w:val="auto"/>
              </w:rPr>
            </w:pPr>
            <w:r>
              <w:rPr>
                <w:rFonts w:ascii="Arial" w:cs="Arial" w:eastAsia="Arial" w:hAnsi="Arial"/>
                <w:sz w:val="14"/>
                <w:szCs w:val="14"/>
                <w:b w:val="1"/>
                <w:bCs w:val="1"/>
                <w:color w:val="auto"/>
              </w:rPr>
              <w:t>Current Value</w:t>
            </w:r>
          </w:p>
        </w:tc>
        <w:tc>
          <w:tcPr>
            <w:tcW w:w="280" w:type="dxa"/>
            <w:vAlign w:val="bottom"/>
          </w:tcPr>
          <w:p>
            <w:pPr>
              <w:spacing w:after="0"/>
              <w:rPr>
                <w:sz w:val="14"/>
                <w:szCs w:val="14"/>
                <w:color w:val="auto"/>
              </w:rPr>
            </w:pPr>
          </w:p>
        </w:tc>
        <w:tc>
          <w:tcPr>
            <w:tcW w:w="17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Reset Date</w:t>
            </w:r>
          </w:p>
        </w:tc>
        <w:tc>
          <w:tcPr>
            <w:tcW w:w="1540" w:type="dxa"/>
            <w:vAlign w:val="bottom"/>
            <w:gridSpan w:val="3"/>
          </w:tcPr>
          <w:p>
            <w:pPr>
              <w:ind w:left="60"/>
              <w:spacing w:after="0"/>
              <w:rPr>
                <w:sz w:val="20"/>
                <w:szCs w:val="20"/>
                <w:color w:val="auto"/>
              </w:rPr>
            </w:pPr>
            <w:r>
              <w:rPr>
                <w:rFonts w:ascii="Arial" w:cs="Arial" w:eastAsia="Arial" w:hAnsi="Arial"/>
                <w:sz w:val="14"/>
                <w:szCs w:val="14"/>
                <w:b w:val="1"/>
                <w:bCs w:val="1"/>
                <w:color w:val="auto"/>
              </w:rPr>
              <w:t>Change in Fair Value</w:t>
            </w:r>
          </w:p>
        </w:tc>
      </w:tr>
      <w:tr>
        <w:trPr>
          <w:trHeight w:val="155"/>
        </w:trPr>
        <w:tc>
          <w:tcPr>
            <w:tcW w:w="262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Canadian Dollar</w:t>
            </w:r>
          </w:p>
        </w:tc>
        <w:tc>
          <w:tcPr>
            <w:tcW w:w="300" w:type="dxa"/>
            <w:vAlign w:val="bottom"/>
            <w:tcBorders>
              <w:top w:val="single" w:sz="8" w:color="CCECFF"/>
            </w:tcBorders>
            <w:shd w:val="clear" w:color="auto" w:fill="CCECFF"/>
          </w:tcPr>
          <w:p>
            <w:pPr>
              <w:ind w:left="180"/>
              <w:spacing w:after="0" w:line="155" w:lineRule="exact"/>
              <w:rPr>
                <w:sz w:val="20"/>
                <w:szCs w:val="20"/>
                <w:color w:val="auto"/>
              </w:rPr>
            </w:pPr>
            <w:r>
              <w:rPr>
                <w:rFonts w:ascii="Arial" w:cs="Arial" w:eastAsia="Arial" w:hAnsi="Arial"/>
                <w:sz w:val="14"/>
                <w:szCs w:val="14"/>
                <w:color w:val="auto"/>
                <w:w w:val="98"/>
              </w:rPr>
              <w:t>C</w:t>
            </w:r>
          </w:p>
        </w:tc>
        <w:tc>
          <w:tcPr>
            <w:tcW w:w="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13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17,500,000</w:t>
            </w:r>
          </w:p>
        </w:tc>
        <w:tc>
          <w:tcPr>
            <w:tcW w:w="28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2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12,407,501</w:t>
            </w:r>
          </w:p>
        </w:tc>
        <w:tc>
          <w:tcPr>
            <w:tcW w:w="28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auto"/>
            </w:tcBorders>
            <w:shd w:val="clear" w:color="auto" w:fill="CCEC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13,992,720</w:t>
            </w:r>
          </w:p>
        </w:tc>
        <w:tc>
          <w:tcPr>
            <w:tcW w:w="280" w:type="dxa"/>
            <w:vAlign w:val="bottom"/>
            <w:tcBorders>
              <w:top w:val="single" w:sz="8" w:color="CCECFF"/>
            </w:tcBorders>
            <w:shd w:val="clear" w:color="auto" w:fill="CCECFF"/>
          </w:tcPr>
          <w:p>
            <w:pPr>
              <w:spacing w:after="0"/>
              <w:rPr>
                <w:sz w:val="13"/>
                <w:szCs w:val="13"/>
                <w:color w:val="auto"/>
              </w:rPr>
            </w:pPr>
          </w:p>
        </w:tc>
        <w:tc>
          <w:tcPr>
            <w:tcW w:w="154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1"/>
              </w:rPr>
              <w:t>October 2, 2017</w:t>
            </w:r>
          </w:p>
        </w:tc>
        <w:tc>
          <w:tcPr>
            <w:tcW w:w="160" w:type="dxa"/>
            <w:vAlign w:val="bottom"/>
            <w:tcBorders>
              <w:top w:val="single" w:sz="8" w:color="CCECFF"/>
            </w:tcBorders>
            <w:shd w:val="clear" w:color="auto" w:fill="CCECFF"/>
          </w:tcPr>
          <w:p>
            <w:pPr>
              <w:spacing w:after="0"/>
              <w:rPr>
                <w:sz w:val="13"/>
                <w:szCs w:val="13"/>
                <w:color w:val="auto"/>
              </w:rPr>
            </w:pPr>
          </w:p>
        </w:tc>
        <w:tc>
          <w:tcPr>
            <w:tcW w:w="460" w:type="dxa"/>
            <w:vAlign w:val="bottom"/>
            <w:tcBorders>
              <w:top w:val="single" w:sz="8" w:color="auto"/>
            </w:tcBorders>
            <w:shd w:val="clear" w:color="auto" w:fill="CCECFF"/>
          </w:tcPr>
          <w:p>
            <w:pPr>
              <w:jc w:val="right"/>
              <w:ind w:right="30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1,585,219</w:t>
            </w:r>
          </w:p>
        </w:tc>
        <w:tc>
          <w:tcPr>
            <w:tcW w:w="100" w:type="dxa"/>
            <w:vAlign w:val="bottom"/>
            <w:tcBorders>
              <w:top w:val="single" w:sz="8" w:color="CCECFF"/>
            </w:tcBorders>
            <w:shd w:val="clear" w:color="auto" w:fill="CCECFF"/>
          </w:tcPr>
          <w:p>
            <w:pPr>
              <w:spacing w:after="0"/>
              <w:rPr>
                <w:sz w:val="13"/>
                <w:szCs w:val="13"/>
                <w:color w:val="auto"/>
              </w:rPr>
            </w:pPr>
          </w:p>
        </w:tc>
      </w:tr>
      <w:tr>
        <w:trPr>
          <w:trHeight w:val="162"/>
        </w:trPr>
        <w:tc>
          <w:tcPr>
            <w:tcW w:w="2620" w:type="dxa"/>
            <w:vAlign w:val="bottom"/>
            <w:tcBorders>
              <w:bottom w:val="single" w:sz="8" w:color="CCECFF"/>
            </w:tcBorders>
          </w:tcPr>
          <w:p>
            <w:pPr>
              <w:spacing w:after="0"/>
              <w:rPr>
                <w:sz w:val="20"/>
                <w:szCs w:val="20"/>
                <w:color w:val="auto"/>
              </w:rPr>
            </w:pPr>
            <w:r>
              <w:rPr>
                <w:rFonts w:ascii="Arial" w:cs="Arial" w:eastAsia="Arial" w:hAnsi="Arial"/>
                <w:sz w:val="14"/>
                <w:szCs w:val="14"/>
                <w:color w:val="auto"/>
              </w:rPr>
              <w:t>Euro</w:t>
            </w:r>
          </w:p>
        </w:tc>
        <w:tc>
          <w:tcPr>
            <w:tcW w:w="380" w:type="dxa"/>
            <w:vAlign w:val="bottom"/>
            <w:tcBorders>
              <w:bottom w:val="single" w:sz="8" w:color="CCECFF"/>
            </w:tcBorders>
            <w:gridSpan w:val="2"/>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CCECFF"/>
            </w:tcBorders>
          </w:tcPr>
          <w:p>
            <w:pPr>
              <w:jc w:val="right"/>
              <w:spacing w:after="0"/>
              <w:rPr>
                <w:sz w:val="20"/>
                <w:szCs w:val="20"/>
                <w:color w:val="auto"/>
              </w:rPr>
            </w:pPr>
            <w:r>
              <w:rPr>
                <w:rFonts w:ascii="Arial" w:cs="Arial" w:eastAsia="Arial" w:hAnsi="Arial"/>
                <w:sz w:val="14"/>
                <w:szCs w:val="14"/>
                <w:color w:val="auto"/>
              </w:rPr>
              <w:t>12,200,000</w:t>
            </w:r>
          </w:p>
        </w:tc>
        <w:tc>
          <w:tcPr>
            <w:tcW w:w="280" w:type="dxa"/>
            <w:vAlign w:val="bottom"/>
            <w:tcBorders>
              <w:bottom w:val="single" w:sz="8" w:color="CCEC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12,675,800</w:t>
            </w:r>
          </w:p>
        </w:tc>
        <w:tc>
          <w:tcPr>
            <w:tcW w:w="280" w:type="dxa"/>
            <w:vAlign w:val="bottom"/>
            <w:tcBorders>
              <w:bottom w:val="single" w:sz="8" w:color="CCEC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14,422,852</w:t>
            </w:r>
          </w:p>
        </w:tc>
        <w:tc>
          <w:tcPr>
            <w:tcW w:w="280" w:type="dxa"/>
            <w:vAlign w:val="bottom"/>
            <w:tcBorders>
              <w:bottom w:val="single" w:sz="8" w:color="CCECFF"/>
            </w:tcBorders>
          </w:tcPr>
          <w:p>
            <w:pPr>
              <w:spacing w:after="0"/>
              <w:rPr>
                <w:sz w:val="14"/>
                <w:szCs w:val="14"/>
                <w:color w:val="auto"/>
              </w:rPr>
            </w:pPr>
          </w:p>
        </w:tc>
        <w:tc>
          <w:tcPr>
            <w:tcW w:w="1700" w:type="dxa"/>
            <w:vAlign w:val="bottom"/>
            <w:tcBorders>
              <w:bottom w:val="single" w:sz="8" w:color="CCECFF"/>
            </w:tcBorders>
            <w:gridSpan w:val="2"/>
          </w:tcPr>
          <w:p>
            <w:pPr>
              <w:jc w:val="center"/>
              <w:ind w:right="180"/>
              <w:spacing w:after="0"/>
              <w:rPr>
                <w:sz w:val="20"/>
                <w:szCs w:val="20"/>
                <w:color w:val="auto"/>
              </w:rPr>
            </w:pPr>
            <w:r>
              <w:rPr>
                <w:rFonts w:ascii="Arial" w:cs="Arial" w:eastAsia="Arial" w:hAnsi="Arial"/>
                <w:sz w:val="14"/>
                <w:szCs w:val="14"/>
                <w:color w:val="auto"/>
                <w:w w:val="91"/>
              </w:rPr>
              <w:t>October 2, 2017</w:t>
            </w:r>
          </w:p>
        </w:tc>
        <w:tc>
          <w:tcPr>
            <w:tcW w:w="4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1,747,052</w:t>
            </w:r>
          </w:p>
        </w:tc>
        <w:tc>
          <w:tcPr>
            <w:tcW w:w="100" w:type="dxa"/>
            <w:vAlign w:val="bottom"/>
            <w:tcBorders>
              <w:bottom w:val="single" w:sz="8" w:color="CCECFF"/>
            </w:tcBorders>
          </w:tcPr>
          <w:p>
            <w:pPr>
              <w:spacing w:after="0"/>
              <w:rPr>
                <w:sz w:val="14"/>
                <w:szCs w:val="14"/>
                <w:color w:val="auto"/>
              </w:rPr>
            </w:pPr>
          </w:p>
        </w:tc>
      </w:tr>
      <w:tr>
        <w:trPr>
          <w:trHeight w:val="155"/>
        </w:trPr>
        <w:tc>
          <w:tcPr>
            <w:tcW w:w="2620" w:type="dxa"/>
            <w:vAlign w:val="bottom"/>
            <w:tcBorders>
              <w:bottom w:val="single" w:sz="8" w:color="CCECFF"/>
            </w:tcBorders>
            <w:shd w:val="clear" w:color="auto" w:fill="CCECFF"/>
          </w:tcPr>
          <w:p>
            <w:pPr>
              <w:spacing w:after="0"/>
              <w:rPr>
                <w:sz w:val="13"/>
                <w:szCs w:val="13"/>
                <w:color w:val="auto"/>
              </w:rPr>
            </w:pPr>
          </w:p>
        </w:tc>
        <w:tc>
          <w:tcPr>
            <w:tcW w:w="300" w:type="dxa"/>
            <w:vAlign w:val="bottom"/>
            <w:tcBorders>
              <w:bottom w:val="single" w:sz="8" w:color="CCECFF"/>
            </w:tcBorders>
            <w:shd w:val="clear" w:color="auto" w:fill="CCECFF"/>
          </w:tcPr>
          <w:p>
            <w:pPr>
              <w:spacing w:after="0"/>
              <w:rPr>
                <w:sz w:val="13"/>
                <w:szCs w:val="13"/>
                <w:color w:val="auto"/>
              </w:rPr>
            </w:pPr>
          </w:p>
        </w:tc>
        <w:tc>
          <w:tcPr>
            <w:tcW w:w="80" w:type="dxa"/>
            <w:vAlign w:val="bottom"/>
            <w:tcBorders>
              <w:bottom w:val="single" w:sz="8" w:color="CCECFF"/>
            </w:tcBorders>
            <w:shd w:val="clear" w:color="auto" w:fill="CCECFF"/>
          </w:tcPr>
          <w:p>
            <w:pPr>
              <w:spacing w:after="0"/>
              <w:rPr>
                <w:sz w:val="13"/>
                <w:szCs w:val="13"/>
                <w:color w:val="auto"/>
              </w:rPr>
            </w:pPr>
          </w:p>
        </w:tc>
        <w:tc>
          <w:tcPr>
            <w:tcW w:w="1320" w:type="dxa"/>
            <w:vAlign w:val="bottom"/>
            <w:tcBorders>
              <w:bottom w:val="single" w:sz="8" w:color="CCECFF"/>
            </w:tcBorders>
            <w:shd w:val="clear" w:color="auto" w:fill="CCECFF"/>
          </w:tcPr>
          <w:p>
            <w:pPr>
              <w:spacing w:after="0"/>
              <w:rPr>
                <w:sz w:val="13"/>
                <w:szCs w:val="13"/>
                <w:color w:val="auto"/>
              </w:rPr>
            </w:pPr>
          </w:p>
        </w:tc>
        <w:tc>
          <w:tcPr>
            <w:tcW w:w="280" w:type="dxa"/>
            <w:vAlign w:val="bottom"/>
            <w:tcBorders>
              <w:bottom w:val="single" w:sz="8" w:color="CCECFF"/>
            </w:tcBorders>
            <w:shd w:val="clear" w:color="auto" w:fill="CCECFF"/>
          </w:tcPr>
          <w:p>
            <w:pPr>
              <w:spacing w:after="0"/>
              <w:rPr>
                <w:sz w:val="13"/>
                <w:szCs w:val="13"/>
                <w:color w:val="auto"/>
              </w:rPr>
            </w:pPr>
          </w:p>
        </w:tc>
        <w:tc>
          <w:tcPr>
            <w:tcW w:w="1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25,083,301</w:t>
            </w:r>
          </w:p>
        </w:tc>
        <w:tc>
          <w:tcPr>
            <w:tcW w:w="280" w:type="dxa"/>
            <w:vAlign w:val="bottom"/>
            <w:tcBorders>
              <w:bottom w:val="single" w:sz="8" w:color="CCECFF"/>
            </w:tcBorders>
            <w:shd w:val="clear" w:color="auto" w:fill="CCECFF"/>
          </w:tcPr>
          <w:p>
            <w:pPr>
              <w:spacing w:after="0"/>
              <w:rPr>
                <w:sz w:val="13"/>
                <w:szCs w:val="13"/>
                <w:color w:val="auto"/>
              </w:rPr>
            </w:pPr>
          </w:p>
        </w:tc>
        <w:tc>
          <w:tcPr>
            <w:tcW w:w="160" w:type="dxa"/>
            <w:vAlign w:val="bottom"/>
            <w:tcBorders>
              <w:bottom w:val="single" w:sz="8" w:color="auto"/>
            </w:tcBorders>
            <w:shd w:val="clear" w:color="auto" w:fill="CCEC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28,415,572</w:t>
            </w:r>
          </w:p>
        </w:tc>
        <w:tc>
          <w:tcPr>
            <w:tcW w:w="280" w:type="dxa"/>
            <w:vAlign w:val="bottom"/>
            <w:tcBorders>
              <w:bottom w:val="single" w:sz="8" w:color="CCECFF"/>
            </w:tcBorders>
            <w:shd w:val="clear" w:color="auto" w:fill="CCECFF"/>
          </w:tcPr>
          <w:p>
            <w:pPr>
              <w:spacing w:after="0"/>
              <w:rPr>
                <w:sz w:val="13"/>
                <w:szCs w:val="13"/>
                <w:color w:val="auto"/>
              </w:rPr>
            </w:pPr>
          </w:p>
        </w:tc>
        <w:tc>
          <w:tcPr>
            <w:tcW w:w="1540" w:type="dxa"/>
            <w:vAlign w:val="bottom"/>
            <w:tcBorders>
              <w:bottom w:val="single" w:sz="8" w:color="CCECFF"/>
            </w:tcBorders>
            <w:shd w:val="clear" w:color="auto" w:fill="CCECFF"/>
          </w:tcPr>
          <w:p>
            <w:pPr>
              <w:spacing w:after="0"/>
              <w:rPr>
                <w:sz w:val="13"/>
                <w:szCs w:val="13"/>
                <w:color w:val="auto"/>
              </w:rPr>
            </w:pPr>
          </w:p>
        </w:tc>
        <w:tc>
          <w:tcPr>
            <w:tcW w:w="160" w:type="dxa"/>
            <w:vAlign w:val="bottom"/>
            <w:tcBorders>
              <w:bottom w:val="single" w:sz="8" w:color="CCECFF"/>
            </w:tcBorders>
            <w:shd w:val="clear" w:color="auto" w:fill="CCECFF"/>
          </w:tcPr>
          <w:p>
            <w:pPr>
              <w:spacing w:after="0"/>
              <w:rPr>
                <w:sz w:val="13"/>
                <w:szCs w:val="13"/>
                <w:color w:val="auto"/>
              </w:rPr>
            </w:pPr>
          </w:p>
        </w:tc>
        <w:tc>
          <w:tcPr>
            <w:tcW w:w="460" w:type="dxa"/>
            <w:vAlign w:val="bottom"/>
            <w:tcBorders>
              <w:bottom w:val="single" w:sz="8" w:color="auto"/>
            </w:tcBorders>
            <w:shd w:val="clear" w:color="auto" w:fill="CCECFF"/>
          </w:tcPr>
          <w:p>
            <w:pPr>
              <w:jc w:val="right"/>
              <w:ind w:right="30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3,332,271</w:t>
            </w:r>
          </w:p>
        </w:tc>
        <w:tc>
          <w:tcPr>
            <w:tcW w:w="100" w:type="dxa"/>
            <w:vAlign w:val="bottom"/>
            <w:tcBorders>
              <w:bottom w:val="single" w:sz="8" w:color="CCECFF"/>
            </w:tcBorders>
            <w:shd w:val="clear" w:color="auto" w:fill="CCECFF"/>
          </w:tcPr>
          <w:p>
            <w:pPr>
              <w:spacing w:after="0"/>
              <w:rPr>
                <w:sz w:val="13"/>
                <w:szCs w:val="13"/>
                <w:color w:val="auto"/>
              </w:rPr>
            </w:pPr>
          </w:p>
        </w:tc>
      </w:tr>
      <w:tr>
        <w:trPr>
          <w:trHeight w:val="20"/>
        </w:trPr>
        <w:tc>
          <w:tcPr>
            <w:tcW w:w="2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line="221" w:lineRule="auto"/>
        <w:rPr>
          <w:sz w:val="20"/>
          <w:szCs w:val="20"/>
          <w:color w:val="auto"/>
        </w:rPr>
      </w:pPr>
      <w:r>
        <w:rPr>
          <w:rFonts w:ascii="Arial" w:cs="Arial" w:eastAsia="Arial" w:hAnsi="Arial"/>
          <w:sz w:val="14"/>
          <w:szCs w:val="14"/>
          <w:b w:val="1"/>
          <w:bCs w:val="1"/>
          <w:color w:val="auto"/>
        </w:rPr>
        <w:t>JUNE 30, 2018</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firstLine="438"/>
        <w:spacing w:after="0" w:line="242" w:lineRule="auto"/>
        <w:rPr>
          <w:sz w:val="20"/>
          <w:szCs w:val="20"/>
          <w:color w:val="auto"/>
        </w:rPr>
      </w:pPr>
      <w:r>
        <w:rPr>
          <w:rFonts w:ascii="Arial" w:cs="Arial" w:eastAsia="Arial" w:hAnsi="Arial"/>
          <w:sz w:val="13"/>
          <w:szCs w:val="13"/>
          <w:color w:val="auto"/>
        </w:rPr>
        <w:t>The carrying value of our consolidated financial liabilities approximates fair value. We have adopted the principles under ASC Subtopic 825-10, Financial Instruments, or ASC 825-10, which provides companies with an option to report selected financial assets and liabilities at fair value, and made an irrevocable election to apply ASC 825-10 to our Credit Facility and the 2023 Notes. We elected to use the fair value option for our Credit Facility and the 2023 Notes to align the measurement attributes of both our assets and liabilities while mitigating volatility in earnings from using different measurement attributes. Due to that election and in accordance with GAAP, we incurred expenses of zero and $10.9 million relating to amendment costs on the Credit Facility and debt issuance costs on the 2023 Notes during the three and nine months ended June 30, 2018. For the same periods in the prior year, we incurred expenses of $0.1 million for both periods relating to amendment costs on the Credit Facility.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Facility and the 2023 Notes are reported in our Consolidated Statements of Operations. We elected not to apply ASC 825-10 to any other financial assets or liabilities. For the three and nine months ended June 30, 2018, our Credit Facility and the 2023 Notes had a net change in unrealized (appreciation) depreciation of $1.9 million and $6.5 million, respectively. For the three and nine months ended June 30, 2017, our Credit Facility had a net change in unrealized appreciation of $1.9 million and $3.0 million, respectively. As of June 30, 2018 and September 30, 2017, the net unrealized depreciation (appreciation) on our Credit Facility and the 2023 Notes totaled $3.5 million and $(3.1) million, respectively. We use a nationally recognized independent valuation service to measure the fair value of our Credit Facility in a manner consistent with the valuation process that the board of directors uses to value our investments. Our 2023 Notes trade on the TASE and we use the closing price on the exchange to determine the fair value.</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 TRANSACTIONS WITH AFFILIATED COMPANIES</w:t>
      </w:r>
    </w:p>
    <w:p>
      <w:pPr>
        <w:spacing w:after="0" w:line="140" w:lineRule="exact"/>
        <w:rPr>
          <w:sz w:val="20"/>
          <w:szCs w:val="20"/>
          <w:color w:val="auto"/>
        </w:rPr>
      </w:pPr>
    </w:p>
    <w:p>
      <w:pPr>
        <w:ind w:right="420" w:firstLine="438"/>
        <w:spacing w:after="0" w:line="238" w:lineRule="auto"/>
        <w:rPr>
          <w:sz w:val="20"/>
          <w:szCs w:val="20"/>
          <w:color w:val="auto"/>
        </w:rPr>
      </w:pPr>
      <w:r>
        <w:rPr>
          <w:rFonts w:ascii="Arial" w:cs="Arial" w:eastAsia="Arial" w:hAnsi="Arial"/>
          <w:sz w:val="14"/>
          <w:szCs w:val="14"/>
          <w:color w:val="auto"/>
        </w:rPr>
        <w:t>An affiliated portfolio company is a company in which we have ownership of 5% or more of its voting securities. A portfolio company is generally presumed to be a non-controlled affiliate when we own at least 5% but 25% or less of its voting securities and a controlled affiliate when we own more than 25% of its voting securities. Transactions related to our funded investments with both controlled and non-controlled affiliates for the nine months ended June 30, 2018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86"/>
              </w:rPr>
              <w:t>Purchases of</w:t>
            </w:r>
          </w:p>
        </w:tc>
        <w:tc>
          <w:tcPr>
            <w:tcW w:w="100" w:type="dxa"/>
            <w:vAlign w:val="bottom"/>
          </w:tcPr>
          <w:p>
            <w:pPr>
              <w:spacing w:after="0"/>
              <w:rPr>
                <w:sz w:val="14"/>
                <w:szCs w:val="14"/>
                <w:color w:val="auto"/>
              </w:rPr>
            </w:pPr>
          </w:p>
        </w:tc>
        <w:tc>
          <w:tcPr>
            <w:tcW w:w="760" w:type="dxa"/>
            <w:vAlign w:val="bottom"/>
          </w:tcPr>
          <w:p>
            <w:pPr>
              <w:jc w:val="center"/>
              <w:ind w:right="48"/>
              <w:spacing w:after="0"/>
              <w:rPr>
                <w:sz w:val="20"/>
                <w:szCs w:val="20"/>
                <w:color w:val="auto"/>
              </w:rPr>
            </w:pPr>
            <w:r>
              <w:rPr>
                <w:rFonts w:ascii="Arial" w:cs="Arial" w:eastAsia="Arial" w:hAnsi="Arial"/>
                <w:sz w:val="14"/>
                <w:szCs w:val="14"/>
                <w:b w:val="1"/>
                <w:bCs w:val="1"/>
                <w:color w:val="auto"/>
                <w:w w:val="89"/>
              </w:rPr>
              <w:t>Sale of /</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Net Change</w:t>
            </w: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3"/>
              </w:rPr>
              <w:t>Net Realized</w:t>
            </w:r>
          </w:p>
        </w:tc>
        <w:tc>
          <w:tcPr>
            <w:tcW w:w="0" w:type="dxa"/>
            <w:vAlign w:val="bottom"/>
          </w:tcPr>
          <w:p>
            <w:pPr>
              <w:spacing w:after="0"/>
              <w:rPr>
                <w:sz w:val="1"/>
                <w:szCs w:val="1"/>
                <w:color w:val="auto"/>
              </w:rPr>
            </w:pPr>
          </w:p>
        </w:tc>
      </w:tr>
      <w:tr>
        <w:trPr>
          <w:trHeight w:val="148"/>
        </w:trPr>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6"/>
              </w:rPr>
              <w:t>Fair Value at</w:t>
            </w:r>
          </w:p>
        </w:tc>
        <w:tc>
          <w:tcPr>
            <w:tcW w:w="1060" w:type="dxa"/>
            <w:vAlign w:val="bottom"/>
            <w:gridSpan w:val="3"/>
            <w:vMerge w:val="continue"/>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Distributions</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Interest</w:t>
            </w:r>
          </w:p>
        </w:tc>
        <w:tc>
          <w:tcPr>
            <w:tcW w:w="100" w:type="dxa"/>
            <w:vAlign w:val="bottom"/>
          </w:tcPr>
          <w:p>
            <w:pPr>
              <w:spacing w:after="0"/>
              <w:rPr>
                <w:sz w:val="12"/>
                <w:szCs w:val="12"/>
                <w:color w:val="auto"/>
              </w:rPr>
            </w:pPr>
          </w:p>
        </w:tc>
        <w:tc>
          <w:tcPr>
            <w:tcW w:w="7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8"/>
              </w:rPr>
              <w:t>Dividend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Fair Value at</w:t>
            </w:r>
          </w:p>
        </w:tc>
        <w:tc>
          <w:tcPr>
            <w:tcW w:w="10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40" w:type="dxa"/>
            <w:vAlign w:val="bottom"/>
            <w:vMerge w:val="restart"/>
          </w:tcPr>
          <w:p>
            <w:pPr>
              <w:spacing w:after="0"/>
              <w:rPr>
                <w:sz w:val="20"/>
                <w:szCs w:val="20"/>
                <w:color w:val="auto"/>
              </w:rPr>
            </w:pPr>
            <w:r>
              <w:rPr>
                <w:rFonts w:ascii="Arial" w:cs="Arial" w:eastAsia="Arial" w:hAnsi="Arial"/>
                <w:sz w:val="14"/>
                <w:szCs w:val="14"/>
                <w:b w:val="1"/>
                <w:bCs w:val="1"/>
                <w:color w:val="auto"/>
              </w:rPr>
              <w:t>Name of Investment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 Advances to</w:t>
            </w:r>
          </w:p>
        </w:tc>
        <w:tc>
          <w:tcPr>
            <w:tcW w:w="100" w:type="dxa"/>
            <w:vAlign w:val="bottom"/>
          </w:tcPr>
          <w:p>
            <w:pPr>
              <w:spacing w:after="0"/>
              <w:rPr>
                <w:sz w:val="12"/>
                <w:szCs w:val="12"/>
                <w:color w:val="auto"/>
              </w:rPr>
            </w:pPr>
          </w:p>
        </w:tc>
        <w:tc>
          <w:tcPr>
            <w:tcW w:w="76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6"/>
              </w:rPr>
              <w:t>from</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3"/>
          </w:tcPr>
          <w:p>
            <w:pPr>
              <w:ind w:left="140"/>
              <w:spacing w:after="0" w:line="149" w:lineRule="exact"/>
              <w:rPr>
                <w:sz w:val="20"/>
                <w:szCs w:val="20"/>
                <w:color w:val="auto"/>
              </w:rPr>
            </w:pPr>
            <w:r>
              <w:rPr>
                <w:rFonts w:ascii="Arial" w:cs="Arial" w:eastAsia="Arial" w:hAnsi="Arial"/>
                <w:sz w:val="14"/>
                <w:szCs w:val="14"/>
                <w:b w:val="1"/>
                <w:bCs w:val="1"/>
                <w:color w:val="auto"/>
              </w:rPr>
              <w:t>in</w:t>
            </w:r>
          </w:p>
        </w:tc>
        <w:tc>
          <w:tcPr>
            <w:tcW w:w="8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Gains</w:t>
            </w:r>
          </w:p>
        </w:tc>
        <w:tc>
          <w:tcPr>
            <w:tcW w:w="0" w:type="dxa"/>
            <w:vAlign w:val="bottom"/>
          </w:tcPr>
          <w:p>
            <w:pPr>
              <w:spacing w:after="0"/>
              <w:rPr>
                <w:sz w:val="1"/>
                <w:szCs w:val="1"/>
                <w:color w:val="auto"/>
              </w:rPr>
            </w:pPr>
          </w:p>
        </w:tc>
      </w:tr>
      <w:tr>
        <w:trPr>
          <w:trHeight w:val="171"/>
        </w:trPr>
        <w:tc>
          <w:tcPr>
            <w:tcW w:w="1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September 30, 2017</w:t>
            </w:r>
          </w:p>
        </w:tc>
        <w:tc>
          <w:tcPr>
            <w:tcW w:w="100" w:type="dxa"/>
            <w:vAlign w:val="bottom"/>
          </w:tcPr>
          <w:p>
            <w:pPr>
              <w:spacing w:after="0"/>
              <w:rPr>
                <w:sz w:val="14"/>
                <w:szCs w:val="14"/>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Affiliates</w:t>
            </w:r>
          </w:p>
        </w:tc>
        <w:tc>
          <w:tcPr>
            <w:tcW w:w="100" w:type="dxa"/>
            <w:vAlign w:val="bottom"/>
          </w:tcPr>
          <w:p>
            <w:pPr>
              <w:spacing w:after="0"/>
              <w:rPr>
                <w:sz w:val="14"/>
                <w:szCs w:val="14"/>
                <w:color w:val="auto"/>
              </w:rPr>
            </w:pPr>
          </w:p>
        </w:tc>
        <w:tc>
          <w:tcPr>
            <w:tcW w:w="760" w:type="dxa"/>
            <w:vAlign w:val="bottom"/>
          </w:tcPr>
          <w:p>
            <w:pPr>
              <w:jc w:val="center"/>
              <w:ind w:right="48"/>
              <w:spacing w:after="0"/>
              <w:rPr>
                <w:sz w:val="20"/>
                <w:szCs w:val="20"/>
                <w:color w:val="auto"/>
              </w:rPr>
            </w:pPr>
            <w:r>
              <w:rPr>
                <w:rFonts w:ascii="Arial" w:cs="Arial" w:eastAsia="Arial" w:hAnsi="Arial"/>
                <w:sz w:val="14"/>
                <w:szCs w:val="14"/>
                <w:b w:val="1"/>
                <w:bCs w:val="1"/>
                <w:color w:val="auto"/>
                <w:w w:val="94"/>
              </w:rPr>
              <w:t>Affiliates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Income</w:t>
            </w:r>
          </w:p>
        </w:tc>
        <w:tc>
          <w:tcPr>
            <w:tcW w:w="100" w:type="dxa"/>
            <w:vAlign w:val="bottom"/>
          </w:tcPr>
          <w:p>
            <w:pPr>
              <w:spacing w:after="0"/>
              <w:rPr>
                <w:sz w:val="14"/>
                <w:szCs w:val="14"/>
                <w:color w:val="auto"/>
              </w:rPr>
            </w:pPr>
          </w:p>
        </w:tc>
        <w:tc>
          <w:tcPr>
            <w:tcW w:w="740" w:type="dxa"/>
            <w:vAlign w:val="bottom"/>
          </w:tcPr>
          <w:p>
            <w:pPr>
              <w:jc w:val="right"/>
              <w:ind w:right="128"/>
              <w:spacing w:after="0"/>
              <w:rPr>
                <w:sz w:val="20"/>
                <w:szCs w:val="20"/>
                <w:color w:val="auto"/>
              </w:rPr>
            </w:pPr>
            <w:r>
              <w:rPr>
                <w:rFonts w:ascii="Arial" w:cs="Arial" w:eastAsia="Arial" w:hAnsi="Arial"/>
                <w:sz w:val="14"/>
                <w:szCs w:val="14"/>
                <w:b w:val="1"/>
                <w:bCs w:val="1"/>
                <w:color w:val="auto"/>
              </w:rPr>
              <w:t>Income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4"/>
          </w:tcPr>
          <w:p>
            <w:pPr>
              <w:ind w:left="20"/>
              <w:spacing w:after="0"/>
              <w:rPr>
                <w:sz w:val="20"/>
                <w:szCs w:val="20"/>
                <w:color w:val="auto"/>
              </w:rPr>
            </w:pPr>
            <w:r>
              <w:rPr>
                <w:rFonts w:ascii="Arial" w:cs="Arial" w:eastAsia="Arial" w:hAnsi="Arial"/>
                <w:sz w:val="14"/>
                <w:szCs w:val="14"/>
                <w:b w:val="1"/>
                <w:bCs w:val="1"/>
                <w:color w:val="auto"/>
              </w:rPr>
              <w:t>Appreciation</w:t>
            </w:r>
          </w:p>
        </w:tc>
        <w:tc>
          <w:tcPr>
            <w:tcW w:w="8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June 30, 2018</w:t>
            </w:r>
          </w:p>
        </w:tc>
        <w:tc>
          <w:tcPr>
            <w:tcW w:w="12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(Losses)</w:t>
            </w:r>
          </w:p>
        </w:tc>
        <w:tc>
          <w:tcPr>
            <w:tcW w:w="0" w:type="dxa"/>
            <w:vAlign w:val="bottom"/>
          </w:tcPr>
          <w:p>
            <w:pPr>
              <w:spacing w:after="0"/>
              <w:rPr>
                <w:sz w:val="1"/>
                <w:szCs w:val="1"/>
                <w:color w:val="auto"/>
              </w:rPr>
            </w:pPr>
          </w:p>
        </w:tc>
      </w:tr>
      <w:tr>
        <w:trPr>
          <w:trHeight w:val="155"/>
        </w:trPr>
        <w:tc>
          <w:tcPr>
            <w:tcW w:w="194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Controlled Affiliates</w:t>
            </w:r>
          </w:p>
        </w:tc>
        <w:tc>
          <w:tcPr>
            <w:tcW w:w="10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spacing w:after="0"/>
              <w:rPr>
                <w:sz w:val="13"/>
                <w:szCs w:val="13"/>
                <w:color w:val="auto"/>
              </w:rPr>
            </w:pPr>
          </w:p>
        </w:tc>
        <w:tc>
          <w:tcPr>
            <w:tcW w:w="1360" w:type="dxa"/>
            <w:vAlign w:val="bottom"/>
            <w:tcBorders>
              <w:top w:val="single" w:sz="8" w:color="auto"/>
            </w:tcBorders>
            <w:shd w:val="clear" w:color="auto" w:fill="CCECFF"/>
          </w:tcPr>
          <w:p>
            <w:pPr>
              <w:spacing w:after="0"/>
              <w:rPr>
                <w:sz w:val="13"/>
                <w:szCs w:val="13"/>
                <w:color w:val="auto"/>
              </w:rPr>
            </w:pPr>
          </w:p>
        </w:tc>
        <w:tc>
          <w:tcPr>
            <w:tcW w:w="20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spacing w:after="0"/>
              <w:rPr>
                <w:sz w:val="13"/>
                <w:szCs w:val="13"/>
                <w:color w:val="auto"/>
              </w:rPr>
            </w:pPr>
          </w:p>
        </w:tc>
        <w:tc>
          <w:tcPr>
            <w:tcW w:w="740" w:type="dxa"/>
            <w:vAlign w:val="bottom"/>
            <w:tcBorders>
              <w:top w:val="single" w:sz="8" w:color="auto"/>
            </w:tcBorders>
            <w:shd w:val="clear" w:color="auto" w:fill="CCECFF"/>
          </w:tcPr>
          <w:p>
            <w:pPr>
              <w:spacing w:after="0"/>
              <w:rPr>
                <w:sz w:val="13"/>
                <w:szCs w:val="13"/>
                <w:color w:val="auto"/>
              </w:rPr>
            </w:pPr>
          </w:p>
        </w:tc>
        <w:tc>
          <w:tcPr>
            <w:tcW w:w="22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spacing w:after="0"/>
              <w:rPr>
                <w:sz w:val="13"/>
                <w:szCs w:val="13"/>
                <w:color w:val="auto"/>
              </w:rPr>
            </w:pPr>
          </w:p>
        </w:tc>
        <w:tc>
          <w:tcPr>
            <w:tcW w:w="760" w:type="dxa"/>
            <w:vAlign w:val="bottom"/>
            <w:tcBorders>
              <w:top w:val="single" w:sz="8" w:color="auto"/>
            </w:tcBorders>
            <w:shd w:val="clear" w:color="auto" w:fill="CCECFF"/>
          </w:tcPr>
          <w:p>
            <w:pPr>
              <w:spacing w:after="0"/>
              <w:rPr>
                <w:sz w:val="13"/>
                <w:szCs w:val="13"/>
                <w:color w:val="auto"/>
              </w:rPr>
            </w:pPr>
          </w:p>
        </w:tc>
        <w:tc>
          <w:tcPr>
            <w:tcW w:w="20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auto"/>
            </w:tcBorders>
            <w:shd w:val="clear" w:color="auto" w:fill="CCECFF"/>
          </w:tcPr>
          <w:p>
            <w:pPr>
              <w:spacing w:after="0"/>
              <w:rPr>
                <w:sz w:val="13"/>
                <w:szCs w:val="13"/>
                <w:color w:val="auto"/>
              </w:rPr>
            </w:pPr>
          </w:p>
        </w:tc>
        <w:tc>
          <w:tcPr>
            <w:tcW w:w="720" w:type="dxa"/>
            <w:vAlign w:val="bottom"/>
            <w:tcBorders>
              <w:top w:val="single" w:sz="8" w:color="auto"/>
            </w:tcBorders>
            <w:shd w:val="clear" w:color="auto" w:fill="CCECFF"/>
          </w:tcPr>
          <w:p>
            <w:pPr>
              <w:spacing w:after="0"/>
              <w:rPr>
                <w:sz w:val="13"/>
                <w:szCs w:val="13"/>
                <w:color w:val="auto"/>
              </w:rPr>
            </w:pPr>
          </w:p>
        </w:tc>
        <w:tc>
          <w:tcPr>
            <w:tcW w:w="22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spacing w:after="0"/>
              <w:rPr>
                <w:sz w:val="13"/>
                <w:szCs w:val="13"/>
                <w:color w:val="auto"/>
              </w:rPr>
            </w:pPr>
          </w:p>
        </w:tc>
        <w:tc>
          <w:tcPr>
            <w:tcW w:w="740" w:type="dxa"/>
            <w:vAlign w:val="bottom"/>
            <w:tcBorders>
              <w:top w:val="single" w:sz="8" w:color="auto"/>
            </w:tcBorders>
            <w:shd w:val="clear" w:color="auto" w:fill="CCECFF"/>
          </w:tcPr>
          <w:p>
            <w:pPr>
              <w:spacing w:after="0"/>
              <w:rPr>
                <w:sz w:val="13"/>
                <w:szCs w:val="13"/>
                <w:color w:val="auto"/>
              </w:rPr>
            </w:pPr>
          </w:p>
        </w:tc>
        <w:tc>
          <w:tcPr>
            <w:tcW w:w="12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spacing w:after="0"/>
              <w:rPr>
                <w:sz w:val="13"/>
                <w:szCs w:val="13"/>
                <w:color w:val="auto"/>
              </w:rPr>
            </w:pPr>
          </w:p>
        </w:tc>
        <w:tc>
          <w:tcPr>
            <w:tcW w:w="620" w:type="dxa"/>
            <w:vAlign w:val="bottom"/>
            <w:tcBorders>
              <w:top w:val="single" w:sz="8" w:color="auto"/>
            </w:tcBorders>
            <w:shd w:val="clear" w:color="auto" w:fill="CCECFF"/>
          </w:tcPr>
          <w:p>
            <w:pPr>
              <w:spacing w:after="0"/>
              <w:rPr>
                <w:sz w:val="13"/>
                <w:szCs w:val="13"/>
                <w:color w:val="auto"/>
              </w:rPr>
            </w:pPr>
          </w:p>
        </w:tc>
        <w:tc>
          <w:tcPr>
            <w:tcW w:w="12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spacing w:after="0"/>
              <w:rPr>
                <w:sz w:val="13"/>
                <w:szCs w:val="13"/>
                <w:color w:val="auto"/>
              </w:rPr>
            </w:pPr>
          </w:p>
        </w:tc>
        <w:tc>
          <w:tcPr>
            <w:tcW w:w="920" w:type="dxa"/>
            <w:vAlign w:val="bottom"/>
            <w:tcBorders>
              <w:top w:val="single" w:sz="8" w:color="auto"/>
            </w:tcBorders>
            <w:shd w:val="clear" w:color="auto" w:fill="CCECFF"/>
          </w:tcPr>
          <w:p>
            <w:pPr>
              <w:spacing w:after="0"/>
              <w:rPr>
                <w:sz w:val="13"/>
                <w:szCs w:val="13"/>
                <w:color w:val="auto"/>
              </w:rPr>
            </w:pPr>
          </w:p>
        </w:tc>
        <w:tc>
          <w:tcPr>
            <w:tcW w:w="12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spacing w:after="0"/>
              <w:rPr>
                <w:sz w:val="13"/>
                <w:szCs w:val="13"/>
                <w:color w:val="auto"/>
              </w:rPr>
            </w:pPr>
          </w:p>
        </w:tc>
        <w:tc>
          <w:tcPr>
            <w:tcW w:w="120" w:type="dxa"/>
            <w:vAlign w:val="bottom"/>
            <w:tcBorders>
              <w:top w:val="single" w:sz="8" w:color="auto"/>
            </w:tcBorders>
            <w:shd w:val="clear" w:color="auto" w:fill="CCECFF"/>
          </w:tcPr>
          <w:p>
            <w:pPr>
              <w:spacing w:after="0"/>
              <w:rPr>
                <w:sz w:val="13"/>
                <w:szCs w:val="13"/>
                <w:color w:val="auto"/>
              </w:rPr>
            </w:pPr>
          </w:p>
        </w:tc>
        <w:tc>
          <w:tcPr>
            <w:tcW w:w="760" w:type="dxa"/>
            <w:vAlign w:val="bottom"/>
            <w:tcBorders>
              <w:top w:val="single" w:sz="8" w:color="auto"/>
            </w:tcBorders>
            <w:shd w:val="clear" w:color="auto" w:fill="CCECFF"/>
          </w:tcPr>
          <w:p>
            <w:pPr>
              <w:spacing w:after="0"/>
              <w:rPr>
                <w:sz w:val="13"/>
                <w:szCs w:val="13"/>
                <w:color w:val="auto"/>
              </w:rPr>
            </w:pP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940" w:type="dxa"/>
            <w:vAlign w:val="bottom"/>
          </w:tcPr>
          <w:p>
            <w:pPr>
              <w:spacing w:after="0" w:line="157" w:lineRule="exact"/>
              <w:rPr>
                <w:sz w:val="20"/>
                <w:szCs w:val="20"/>
                <w:color w:val="auto"/>
              </w:rPr>
            </w:pPr>
            <w:r>
              <w:rPr>
                <w:rFonts w:ascii="Arial" w:cs="Arial" w:eastAsia="Arial" w:hAnsi="Arial"/>
                <w:sz w:val="14"/>
                <w:szCs w:val="14"/>
                <w:color w:val="auto"/>
              </w:rPr>
              <w:t>PennantPark Senior Secured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940" w:type="dxa"/>
            <w:vAlign w:val="bottom"/>
          </w:tcPr>
          <w:p>
            <w:pPr>
              <w:ind w:left="140"/>
              <w:spacing w:after="0"/>
              <w:rPr>
                <w:sz w:val="20"/>
                <w:szCs w:val="20"/>
                <w:color w:val="auto"/>
              </w:rPr>
            </w:pPr>
            <w:r>
              <w:rPr>
                <w:rFonts w:ascii="Arial" w:cs="Arial" w:eastAsia="Arial" w:hAnsi="Arial"/>
                <w:sz w:val="14"/>
                <w:szCs w:val="14"/>
                <w:color w:val="auto"/>
              </w:rPr>
              <w:t>Loan Fund I LLC *</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43,525,143</w:t>
            </w:r>
          </w:p>
        </w:tc>
        <w:tc>
          <w:tcPr>
            <w:tcW w:w="20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75,125,000</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ind w:left="600"/>
              <w:spacing w:after="0"/>
              <w:rPr>
                <w:sz w:val="20"/>
                <w:szCs w:val="20"/>
                <w:color w:val="auto"/>
              </w:rPr>
            </w:pPr>
            <w:r>
              <w:rPr>
                <w:rFonts w:ascii="Arial" w:cs="Arial" w:eastAsia="Arial" w:hAnsi="Arial"/>
                <w:sz w:val="14"/>
                <w:szCs w:val="14"/>
                <w:color w:val="auto"/>
                <w:w w:val="99"/>
              </w:rPr>
              <w:t>—</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2,985,061</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1,400,000</w:t>
            </w:r>
          </w:p>
        </w:tc>
        <w:tc>
          <w:tcPr>
            <w:tcW w:w="440" w:type="dxa"/>
            <w:vAlign w:val="bottom"/>
            <w:gridSpan w:val="3"/>
          </w:tcPr>
          <w:p>
            <w:pPr>
              <w:ind w:left="220"/>
              <w:spacing w:after="0"/>
              <w:rPr>
                <w:sz w:val="20"/>
                <w:szCs w:val="20"/>
                <w:color w:val="auto"/>
              </w:rPr>
            </w:pPr>
            <w:r>
              <w:rPr>
                <w:rFonts w:ascii="Arial" w:cs="Arial" w:eastAsia="Arial" w:hAnsi="Arial"/>
                <w:sz w:val="14"/>
                <w:szCs w:val="14"/>
                <w:color w:val="auto"/>
              </w:rPr>
              <w:t>$</w:t>
            </w:r>
          </w:p>
        </w:tc>
        <w:tc>
          <w:tcPr>
            <w:tcW w:w="620" w:type="dxa"/>
            <w:vAlign w:val="bottom"/>
          </w:tcPr>
          <w:p>
            <w:pPr>
              <w:ind w:left="140"/>
              <w:spacing w:after="0"/>
              <w:rPr>
                <w:sz w:val="20"/>
                <w:szCs w:val="20"/>
                <w:color w:val="auto"/>
              </w:rPr>
            </w:pPr>
            <w:r>
              <w:rPr>
                <w:rFonts w:ascii="Arial" w:cs="Arial" w:eastAsia="Arial" w:hAnsi="Arial"/>
                <w:sz w:val="14"/>
                <w:szCs w:val="14"/>
                <w:color w:val="auto"/>
                <w:w w:val="90"/>
              </w:rPr>
              <w:t>936,329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119,586,472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1940" w:type="dxa"/>
            <w:vAlign w:val="bottom"/>
            <w:tcBorders>
              <w:top w:val="single" w:sz="8" w:color="CCECFF"/>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Total Controlled Affiliates</w:t>
            </w: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36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43,525,143</w:t>
            </w:r>
          </w:p>
        </w:tc>
        <w:tc>
          <w:tcPr>
            <w:tcW w:w="20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auto"/>
              <w:bottom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75,125,000</w:t>
            </w:r>
          </w:p>
        </w:tc>
        <w:tc>
          <w:tcPr>
            <w:tcW w:w="22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CFF"/>
          </w:tcPr>
          <w:p>
            <w:pPr>
              <w:ind w:left="600"/>
              <w:spacing w:after="0" w:line="155" w:lineRule="exact"/>
              <w:rPr>
                <w:sz w:val="20"/>
                <w:szCs w:val="20"/>
                <w:color w:val="auto"/>
              </w:rPr>
            </w:pPr>
            <w:r>
              <w:rPr>
                <w:rFonts w:ascii="Arial" w:cs="Arial" w:eastAsia="Arial" w:hAnsi="Arial"/>
                <w:sz w:val="14"/>
                <w:szCs w:val="14"/>
                <w:color w:val="auto"/>
                <w:w w:val="99"/>
              </w:rPr>
              <w:t>—</w:t>
            </w:r>
          </w:p>
        </w:tc>
        <w:tc>
          <w:tcPr>
            <w:tcW w:w="200" w:type="dxa"/>
            <w:vAlign w:val="bottom"/>
            <w:tcBorders>
              <w:top w:val="single" w:sz="8" w:color="CCECFF"/>
              <w:bottom w:val="single" w:sz="8" w:color="CCECFF"/>
            </w:tcBorders>
            <w:shd w:val="clear" w:color="auto" w:fill="CCECFF"/>
          </w:tcPr>
          <w:p>
            <w:pPr>
              <w:spacing w:after="0"/>
              <w:rPr>
                <w:sz w:val="13"/>
                <w:szCs w:val="13"/>
                <w:color w:val="auto"/>
              </w:rPr>
            </w:pPr>
          </w:p>
        </w:tc>
        <w:tc>
          <w:tcPr>
            <w:tcW w:w="1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2,985,061</w:t>
            </w:r>
          </w:p>
        </w:tc>
        <w:tc>
          <w:tcPr>
            <w:tcW w:w="22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1,400,000</w:t>
            </w:r>
          </w:p>
        </w:tc>
        <w:tc>
          <w:tcPr>
            <w:tcW w:w="12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220" w:type="dxa"/>
            <w:vAlign w:val="bottom"/>
            <w:tcBorders>
              <w:top w:val="single" w:sz="8" w:color="auto"/>
              <w:bottom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CCECFF"/>
          </w:tcPr>
          <w:p>
            <w:pPr>
              <w:ind w:left="140"/>
              <w:spacing w:after="0" w:line="155" w:lineRule="exact"/>
              <w:rPr>
                <w:sz w:val="20"/>
                <w:szCs w:val="20"/>
                <w:color w:val="auto"/>
              </w:rPr>
            </w:pPr>
            <w:r>
              <w:rPr>
                <w:rFonts w:ascii="Arial" w:cs="Arial" w:eastAsia="Arial" w:hAnsi="Arial"/>
                <w:sz w:val="14"/>
                <w:szCs w:val="14"/>
                <w:color w:val="auto"/>
                <w:w w:val="90"/>
              </w:rPr>
              <w:t>936,329</w:t>
            </w:r>
          </w:p>
        </w:tc>
        <w:tc>
          <w:tcPr>
            <w:tcW w:w="12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119,586,472</w:t>
            </w:r>
          </w:p>
        </w:tc>
        <w:tc>
          <w:tcPr>
            <w:tcW w:w="12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1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CFF"/>
          </w:tcPr>
          <w:p>
            <w:pPr>
              <w:ind w:left="600"/>
              <w:spacing w:after="0" w:line="155" w:lineRule="exact"/>
              <w:rPr>
                <w:sz w:val="20"/>
                <w:szCs w:val="20"/>
                <w:color w:val="auto"/>
              </w:rPr>
            </w:pPr>
            <w:r>
              <w:rPr>
                <w:rFonts w:ascii="Arial" w:cs="Arial" w:eastAsia="Arial" w:hAnsi="Arial"/>
                <w:sz w:val="14"/>
                <w:szCs w:val="14"/>
                <w:color w:val="auto"/>
                <w:w w:val="99"/>
              </w:rPr>
              <w:t>—</w:t>
            </w:r>
          </w:p>
        </w:tc>
        <w:tc>
          <w:tcPr>
            <w:tcW w:w="120" w:type="dxa"/>
            <w:vAlign w:val="bottom"/>
            <w:tcBorders>
              <w:top w:val="single" w:sz="8" w:color="CCECFF"/>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380" w:right="20" w:hanging="372"/>
        <w:spacing w:after="0" w:line="233" w:lineRule="auto"/>
        <w:tabs>
          <w:tab w:leader="none" w:pos="380" w:val="left"/>
        </w:tabs>
        <w:numPr>
          <w:ilvl w:val="0"/>
          <w:numId w:val="15"/>
        </w:numPr>
        <w:rPr>
          <w:rFonts w:ascii="Arial" w:cs="Arial" w:eastAsia="Arial" w:hAnsi="Arial"/>
          <w:sz w:val="12"/>
          <w:szCs w:val="12"/>
          <w:color w:val="auto"/>
        </w:rPr>
      </w:pPr>
      <w:r>
        <w:rPr>
          <w:rFonts w:ascii="Arial" w:cs="Arial" w:eastAsia="Arial" w:hAnsi="Arial"/>
          <w:sz w:val="14"/>
          <w:szCs w:val="14"/>
          <w:color w:val="auto"/>
        </w:rPr>
        <w:t>We and Kemper are the members of PSSL, a joint venture formed as a Delaware limited liability company that is not consolidated by us for financial reporting purposes. The members of PSSL make investments in the PSSL in the form of first lien secured debt and equity interests, and all portfolio and other material decision regarding PSSL must be submitted to PSSL’s board of directors or investment committee, both of which are comprised of two members appointed by each of us and Kemper. Because management of PSSL is shared equally between us and Kemper, we do not believe we control PSSL for purposes of the 1940 Act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-393065</wp:posOffset>
            </wp:positionV>
            <wp:extent cx="18599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 CHANGE IN NET ASSETS FROM OPERATIONS PER COMMON SHARE</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following information sets forth the computation of basic and diluted per share net increase in net assets resulting from operations: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60" w:type="dxa"/>
            <w:vAlign w:val="bottom"/>
            <w:gridSpan w:val="4"/>
          </w:tcPr>
          <w:p>
            <w:pPr>
              <w:jc w:val="right"/>
              <w:ind w:right="348"/>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60" w:type="dxa"/>
            <w:vAlign w:val="bottom"/>
            <w:gridSpan w:val="5"/>
          </w:tcPr>
          <w:p>
            <w:pPr>
              <w:ind w:left="200"/>
              <w:spacing w:after="0"/>
              <w:rPr>
                <w:sz w:val="20"/>
                <w:szCs w:val="20"/>
                <w:color w:val="auto"/>
              </w:rPr>
            </w:pPr>
            <w:r>
              <w:rPr>
                <w:rFonts w:ascii="Arial" w:cs="Arial" w:eastAsia="Arial" w:hAnsi="Arial"/>
                <w:sz w:val="14"/>
                <w:szCs w:val="14"/>
                <w:b w:val="1"/>
                <w:bCs w:val="1"/>
                <w:color w:val="auto"/>
              </w:rPr>
              <w:t>Nine Months Ended June 30,</w:t>
            </w:r>
          </w:p>
        </w:tc>
      </w:tr>
      <w:tr>
        <w:trPr>
          <w:trHeight w:val="155"/>
        </w:trPr>
        <w:tc>
          <w:tcPr>
            <w:tcW w:w="5480" w:type="dxa"/>
            <w:vAlign w:val="bottom"/>
            <w:tcBorders>
              <w:bottom w:val="single" w:sz="8" w:color="CCEC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88"/>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CCEC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408"/>
              <w:spacing w:after="0" w:line="155"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CEC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ind w:left="200"/>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CCEC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28"/>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CFF"/>
            </w:tcBorders>
          </w:tcPr>
          <w:p>
            <w:pPr>
              <w:spacing w:after="0"/>
              <w:rPr>
                <w:sz w:val="13"/>
                <w:szCs w:val="13"/>
                <w:color w:val="auto"/>
              </w:rPr>
            </w:pPr>
          </w:p>
        </w:tc>
      </w:tr>
      <w:tr>
        <w:trPr>
          <w:trHeight w:val="155"/>
        </w:trPr>
        <w:tc>
          <w:tcPr>
            <w:tcW w:w="548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Numerator for net increase in net assets resulting from operations</w:t>
            </w:r>
          </w:p>
        </w:tc>
        <w:tc>
          <w:tcPr>
            <w:tcW w:w="240" w:type="dxa"/>
            <w:vAlign w:val="bottom"/>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4,968,387</w:t>
            </w:r>
          </w:p>
        </w:tc>
        <w:tc>
          <w:tcPr>
            <w:tcW w:w="240" w:type="dxa"/>
            <w:vAlign w:val="bottom"/>
            <w:shd w:val="clear" w:color="auto" w:fill="CCECFF"/>
          </w:tcPr>
          <w:p>
            <w:pPr>
              <w:spacing w:after="0"/>
              <w:rPr>
                <w:sz w:val="13"/>
                <w:szCs w:val="13"/>
                <w:color w:val="auto"/>
              </w:rPr>
            </w:pPr>
          </w:p>
        </w:tc>
        <w:tc>
          <w:tcPr>
            <w:tcW w:w="280" w:type="dxa"/>
            <w:vAlign w:val="bottom"/>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9,341,849</w:t>
            </w:r>
          </w:p>
        </w:tc>
        <w:tc>
          <w:tcPr>
            <w:tcW w:w="240" w:type="dxa"/>
            <w:vAlign w:val="bottom"/>
            <w:shd w:val="clear" w:color="auto" w:fill="CCECFF"/>
          </w:tcPr>
          <w:p>
            <w:pPr>
              <w:spacing w:after="0"/>
              <w:rPr>
                <w:sz w:val="13"/>
                <w:szCs w:val="13"/>
                <w:color w:val="auto"/>
              </w:rPr>
            </w:pPr>
          </w:p>
        </w:tc>
        <w:tc>
          <w:tcPr>
            <w:tcW w:w="260" w:type="dxa"/>
            <w:vAlign w:val="bottom"/>
            <w:shd w:val="clear" w:color="auto" w:fill="CCECFF"/>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22,476,929</w:t>
            </w:r>
          </w:p>
        </w:tc>
        <w:tc>
          <w:tcPr>
            <w:tcW w:w="240" w:type="dxa"/>
            <w:vAlign w:val="bottom"/>
            <w:shd w:val="clear" w:color="auto" w:fill="CCECFF"/>
          </w:tcPr>
          <w:p>
            <w:pPr>
              <w:spacing w:after="0"/>
              <w:rPr>
                <w:sz w:val="13"/>
                <w:szCs w:val="13"/>
                <w:color w:val="auto"/>
              </w:rPr>
            </w:pPr>
          </w:p>
        </w:tc>
        <w:tc>
          <w:tcPr>
            <w:tcW w:w="280" w:type="dxa"/>
            <w:vAlign w:val="bottom"/>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25,473,903</w:t>
            </w:r>
          </w:p>
        </w:tc>
        <w:tc>
          <w:tcPr>
            <w:tcW w:w="100" w:type="dxa"/>
            <w:vAlign w:val="bottom"/>
            <w:shd w:val="clear" w:color="auto" w:fill="CCECFF"/>
          </w:tcPr>
          <w:p>
            <w:pPr>
              <w:spacing w:after="0"/>
              <w:rPr>
                <w:sz w:val="13"/>
                <w:szCs w:val="13"/>
                <w:color w:val="auto"/>
              </w:rPr>
            </w:pPr>
          </w:p>
        </w:tc>
      </w:tr>
      <w:tr>
        <w:trPr>
          <w:trHeight w:val="162"/>
        </w:trPr>
        <w:tc>
          <w:tcPr>
            <w:tcW w:w="5480" w:type="dxa"/>
            <w:vAlign w:val="bottom"/>
          </w:tcPr>
          <w:p>
            <w:pPr>
              <w:spacing w:after="0"/>
              <w:rPr>
                <w:sz w:val="20"/>
                <w:szCs w:val="20"/>
                <w:color w:val="auto"/>
              </w:rPr>
            </w:pPr>
            <w:r>
              <w:rPr>
                <w:rFonts w:ascii="Arial" w:cs="Arial" w:eastAsia="Arial" w:hAnsi="Arial"/>
                <w:sz w:val="14"/>
                <w:szCs w:val="14"/>
                <w:color w:val="auto"/>
              </w:rPr>
              <w:t>Denominator for basic and diluted weighted average shares</w:t>
            </w: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38,772,074</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32,480,074</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38,139,678</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29,531,356</w:t>
            </w:r>
          </w:p>
        </w:tc>
        <w:tc>
          <w:tcPr>
            <w:tcW w:w="100" w:type="dxa"/>
            <w:vAlign w:val="bottom"/>
          </w:tcPr>
          <w:p>
            <w:pPr>
              <w:spacing w:after="0"/>
              <w:rPr>
                <w:sz w:val="14"/>
                <w:szCs w:val="14"/>
                <w:color w:val="auto"/>
              </w:rPr>
            </w:pPr>
          </w:p>
        </w:tc>
      </w:tr>
      <w:tr>
        <w:trPr>
          <w:trHeight w:val="162"/>
        </w:trPr>
        <w:tc>
          <w:tcPr>
            <w:tcW w:w="5480" w:type="dxa"/>
            <w:vAlign w:val="bottom"/>
            <w:shd w:val="clear" w:color="auto" w:fill="CCECFF"/>
          </w:tcPr>
          <w:p>
            <w:pPr>
              <w:spacing w:after="0"/>
              <w:rPr>
                <w:sz w:val="20"/>
                <w:szCs w:val="20"/>
                <w:color w:val="auto"/>
              </w:rPr>
            </w:pPr>
            <w:r>
              <w:rPr>
                <w:rFonts w:ascii="Arial" w:cs="Arial" w:eastAsia="Arial" w:hAnsi="Arial"/>
                <w:sz w:val="14"/>
                <w:szCs w:val="14"/>
                <w:color w:val="auto"/>
              </w:rPr>
              <w:t>Basic and diluted net increase in net assets per share resulting from operations</w:t>
            </w:r>
          </w:p>
        </w:tc>
        <w:tc>
          <w:tcPr>
            <w:tcW w:w="240" w:type="dxa"/>
            <w:vAlign w:val="bottom"/>
            <w:shd w:val="clear" w:color="auto" w:fill="CCECFF"/>
          </w:tcPr>
          <w:p>
            <w:pPr>
              <w:jc w:val="right"/>
              <w:ind w:right="88"/>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0.13</w:t>
            </w:r>
          </w:p>
        </w:tc>
        <w:tc>
          <w:tcPr>
            <w:tcW w:w="240" w:type="dxa"/>
            <w:vAlign w:val="bottom"/>
            <w:shd w:val="clear" w:color="auto" w:fill="CCECFF"/>
          </w:tcPr>
          <w:p>
            <w:pPr>
              <w:spacing w:after="0"/>
              <w:rPr>
                <w:sz w:val="14"/>
                <w:szCs w:val="14"/>
                <w:color w:val="auto"/>
              </w:rPr>
            </w:pPr>
          </w:p>
        </w:tc>
        <w:tc>
          <w:tcPr>
            <w:tcW w:w="280" w:type="dxa"/>
            <w:vAlign w:val="bottom"/>
            <w:shd w:val="clear" w:color="auto" w:fill="CCECFF"/>
          </w:tcPr>
          <w:p>
            <w:pPr>
              <w:jc w:val="right"/>
              <w:ind w:right="12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0.29</w:t>
            </w:r>
          </w:p>
        </w:tc>
        <w:tc>
          <w:tcPr>
            <w:tcW w:w="500" w:type="dxa"/>
            <w:vAlign w:val="bottom"/>
            <w:gridSpan w:val="2"/>
            <w:shd w:val="clear" w:color="auto" w:fill="CCEC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0.59</w:t>
            </w:r>
          </w:p>
        </w:tc>
        <w:tc>
          <w:tcPr>
            <w:tcW w:w="240" w:type="dxa"/>
            <w:vAlign w:val="bottom"/>
            <w:shd w:val="clear" w:color="auto" w:fill="CCECFF"/>
          </w:tcPr>
          <w:p>
            <w:pPr>
              <w:spacing w:after="0"/>
              <w:rPr>
                <w:sz w:val="14"/>
                <w:szCs w:val="14"/>
                <w:color w:val="auto"/>
              </w:rPr>
            </w:pPr>
          </w:p>
        </w:tc>
        <w:tc>
          <w:tcPr>
            <w:tcW w:w="280" w:type="dxa"/>
            <w:vAlign w:val="bottom"/>
            <w:shd w:val="clear" w:color="auto" w:fill="CCECFF"/>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0.86</w:t>
            </w:r>
          </w:p>
        </w:tc>
        <w:tc>
          <w:tcPr>
            <w:tcW w:w="100" w:type="dxa"/>
            <w:vAlign w:val="bottom"/>
            <w:shd w:val="clear" w:color="auto" w:fill="CCECFF"/>
          </w:tcPr>
          <w:p>
            <w:pPr>
              <w:spacing w:after="0"/>
              <w:rPr>
                <w:sz w:val="14"/>
                <w:szCs w:val="14"/>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 CASH AND CASH EQUIVALENTS</w:t>
      </w:r>
    </w:p>
    <w:p>
      <w:pPr>
        <w:spacing w:after="0" w:line="140" w:lineRule="exact"/>
        <w:rPr>
          <w:sz w:val="20"/>
          <w:szCs w:val="20"/>
          <w:color w:val="auto"/>
        </w:rPr>
      </w:pPr>
    </w:p>
    <w:p>
      <w:pPr>
        <w:ind w:right="100" w:firstLine="438"/>
        <w:spacing w:after="0" w:line="245" w:lineRule="auto"/>
        <w:rPr>
          <w:sz w:val="20"/>
          <w:szCs w:val="20"/>
          <w:color w:val="auto"/>
        </w:rPr>
      </w:pPr>
      <w:r>
        <w:rPr>
          <w:rFonts w:ascii="Arial" w:cs="Arial" w:eastAsia="Arial" w:hAnsi="Arial"/>
          <w:sz w:val="13"/>
          <w:szCs w:val="13"/>
          <w:color w:val="auto"/>
        </w:rPr>
        <w:t>Cash equivalents represent cash in money market funds pending investment in longer-term portfolio holdings.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quarter-end. We may accomplish this in several ways, including purchasing U.S. Treasury Bills and closing out positions on a net cash basis after quarter-end, temporarily drawing down on the Credit Facility, or utilizing repurchase agreements or other balance sheet transactions as are deemed appropriate for this purpose. These amounts are excluded from average adjusted gross assets for purposes of computing the Investment Adviser’s management fee. U.S. Treasury Bills with maturities greater than 60 days from the time of purchase are valued consistent with our valuation policy. As of June 30, 2018 and September 30, 2017, cash and cash equivalents consisted of money market funds in the amounts of $31.2 million and $18.9 million at fair value, respectively.</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line="221" w:lineRule="auto"/>
        <w:rPr>
          <w:sz w:val="20"/>
          <w:szCs w:val="20"/>
          <w:color w:val="auto"/>
        </w:rPr>
      </w:pPr>
      <w:r>
        <w:rPr>
          <w:rFonts w:ascii="Arial" w:cs="Arial" w:eastAsia="Arial" w:hAnsi="Arial"/>
          <w:sz w:val="14"/>
          <w:szCs w:val="14"/>
          <w:b w:val="1"/>
          <w:bCs w:val="1"/>
          <w:color w:val="auto"/>
        </w:rPr>
        <w:t>JUNE 30, 2018</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40" w:type="dxa"/>
            <w:vAlign w:val="bottom"/>
          </w:tcPr>
          <w:p>
            <w:pPr>
              <w:spacing w:after="0"/>
              <w:rPr>
                <w:sz w:val="20"/>
                <w:szCs w:val="20"/>
                <w:color w:val="auto"/>
              </w:rPr>
            </w:pPr>
            <w:r>
              <w:rPr>
                <w:rFonts w:ascii="Arial" w:cs="Arial" w:eastAsia="Arial" w:hAnsi="Arial"/>
                <w:sz w:val="14"/>
                <w:szCs w:val="14"/>
                <w:b w:val="1"/>
                <w:bCs w:val="1"/>
                <w:color w:val="auto"/>
              </w:rPr>
              <w:t>9. FINANCIAL HIGHLIGHTS</w:t>
            </w:r>
          </w:p>
        </w:tc>
        <w:tc>
          <w:tcPr>
            <w:tcW w:w="2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5440" w:type="dxa"/>
            <w:vAlign w:val="bottom"/>
          </w:tcPr>
          <w:p>
            <w:pPr>
              <w:ind w:left="500"/>
              <w:spacing w:after="0"/>
              <w:rPr>
                <w:sz w:val="20"/>
                <w:szCs w:val="20"/>
                <w:color w:val="auto"/>
              </w:rPr>
            </w:pPr>
            <w:r>
              <w:rPr>
                <w:rFonts w:ascii="Arial" w:cs="Arial" w:eastAsia="Arial" w:hAnsi="Arial"/>
                <w:sz w:val="14"/>
                <w:szCs w:val="14"/>
                <w:color w:val="auto"/>
              </w:rPr>
              <w:t>Below are the financial highlights:</w:t>
            </w:r>
          </w:p>
        </w:tc>
        <w:tc>
          <w:tcPr>
            <w:tcW w:w="2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54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0" w:type="dxa"/>
            <w:vAlign w:val="bottom"/>
            <w:gridSpan w:val="6"/>
          </w:tcPr>
          <w:p>
            <w:pPr>
              <w:jc w:val="right"/>
              <w:ind w:right="960"/>
              <w:spacing w:after="0"/>
              <w:rPr>
                <w:sz w:val="20"/>
                <w:szCs w:val="20"/>
                <w:color w:val="auto"/>
              </w:rPr>
            </w:pPr>
            <w:r>
              <w:rPr>
                <w:rFonts w:ascii="Arial" w:cs="Arial" w:eastAsia="Arial" w:hAnsi="Arial"/>
                <w:sz w:val="14"/>
                <w:szCs w:val="14"/>
                <w:b w:val="1"/>
                <w:bCs w:val="1"/>
                <w:color w:val="auto"/>
              </w:rPr>
              <w:t>Nine Months Ended June 30,</w:t>
            </w:r>
          </w:p>
        </w:tc>
        <w:tc>
          <w:tcPr>
            <w:tcW w:w="0" w:type="dxa"/>
            <w:vAlign w:val="bottom"/>
          </w:tcPr>
          <w:p>
            <w:pPr>
              <w:spacing w:after="0"/>
              <w:rPr>
                <w:sz w:val="1"/>
                <w:szCs w:val="1"/>
                <w:color w:val="auto"/>
              </w:rPr>
            </w:pPr>
          </w:p>
        </w:tc>
      </w:tr>
      <w:tr>
        <w:trPr>
          <w:trHeight w:val="156"/>
        </w:trPr>
        <w:tc>
          <w:tcPr>
            <w:tcW w:w="5440" w:type="dxa"/>
            <w:vAlign w:val="bottom"/>
            <w:tcBorders>
              <w:bottom w:val="single" w:sz="8" w:color="CCECFF"/>
            </w:tcBorders>
          </w:tcPr>
          <w:p>
            <w:pPr>
              <w:spacing w:after="0"/>
              <w:rPr>
                <w:sz w:val="13"/>
                <w:szCs w:val="13"/>
                <w:color w:val="auto"/>
              </w:rPr>
            </w:pPr>
          </w:p>
        </w:tc>
        <w:tc>
          <w:tcPr>
            <w:tcW w:w="2240" w:type="dxa"/>
            <w:vAlign w:val="bottom"/>
            <w:tcBorders>
              <w:bottom w:val="single" w:sz="8" w:color="CCEC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bottom w:val="single" w:sz="8" w:color="CCECFF"/>
            </w:tcBorders>
          </w:tcPr>
          <w:p>
            <w:pPr>
              <w:spacing w:after="0"/>
              <w:rPr>
                <w:sz w:val="13"/>
                <w:szCs w:val="13"/>
                <w:color w:val="auto"/>
              </w:rPr>
            </w:pPr>
          </w:p>
        </w:tc>
        <w:tc>
          <w:tcPr>
            <w:tcW w:w="100" w:type="dxa"/>
            <w:vAlign w:val="bottom"/>
            <w:tcBorders>
              <w:top w:val="single" w:sz="8" w:color="auto"/>
              <w:bottom w:val="single" w:sz="8" w:color="CCEC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44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Per Share Data:</w:t>
            </w:r>
          </w:p>
        </w:tc>
        <w:tc>
          <w:tcPr>
            <w:tcW w:w="2240" w:type="dxa"/>
            <w:vAlign w:val="bottom"/>
            <w:shd w:val="clear" w:color="auto" w:fill="CCECFF"/>
          </w:tcPr>
          <w:p>
            <w:pPr>
              <w:spacing w:after="0"/>
              <w:rPr>
                <w:sz w:val="13"/>
                <w:szCs w:val="13"/>
                <w:color w:val="auto"/>
              </w:rPr>
            </w:pPr>
          </w:p>
        </w:tc>
        <w:tc>
          <w:tcPr>
            <w:tcW w:w="360" w:type="dxa"/>
            <w:vAlign w:val="bottom"/>
            <w:shd w:val="clear" w:color="auto" w:fill="CCECFF"/>
          </w:tcPr>
          <w:p>
            <w:pPr>
              <w:spacing w:after="0"/>
              <w:rPr>
                <w:sz w:val="13"/>
                <w:szCs w:val="13"/>
                <w:color w:val="auto"/>
              </w:rPr>
            </w:pPr>
          </w:p>
        </w:tc>
        <w:tc>
          <w:tcPr>
            <w:tcW w:w="120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340" w:type="dxa"/>
            <w:vAlign w:val="bottom"/>
            <w:shd w:val="clear" w:color="auto" w:fill="CCECFF"/>
          </w:tcPr>
          <w:p>
            <w:pPr>
              <w:spacing w:after="0"/>
              <w:rPr>
                <w:sz w:val="13"/>
                <w:szCs w:val="13"/>
                <w:color w:val="auto"/>
              </w:rPr>
            </w:pPr>
          </w:p>
        </w:tc>
        <w:tc>
          <w:tcPr>
            <w:tcW w:w="120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440" w:type="dxa"/>
            <w:vAlign w:val="bottom"/>
          </w:tcPr>
          <w:p>
            <w:pPr>
              <w:spacing w:after="0"/>
              <w:rPr>
                <w:sz w:val="20"/>
                <w:szCs w:val="20"/>
                <w:color w:val="auto"/>
              </w:rPr>
            </w:pPr>
            <w:r>
              <w:rPr>
                <w:rFonts w:ascii="Arial" w:cs="Arial" w:eastAsia="Arial" w:hAnsi="Arial"/>
                <w:sz w:val="14"/>
                <w:szCs w:val="14"/>
                <w:color w:val="auto"/>
              </w:rPr>
              <w:t>Net asset value, beginning of period</w:t>
            </w:r>
          </w:p>
        </w:tc>
        <w:tc>
          <w:tcPr>
            <w:tcW w:w="260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14.10</w:t>
            </w:r>
          </w:p>
        </w:tc>
        <w:tc>
          <w:tcPr>
            <w:tcW w:w="220" w:type="dxa"/>
            <w:vAlign w:val="bottom"/>
          </w:tcPr>
          <w:p>
            <w:pPr>
              <w:spacing w:after="0"/>
              <w:rPr>
                <w:sz w:val="14"/>
                <w:szCs w:val="14"/>
                <w:color w:val="auto"/>
              </w:rPr>
            </w:pPr>
          </w:p>
        </w:tc>
        <w:tc>
          <w:tcPr>
            <w:tcW w:w="440" w:type="dxa"/>
            <w:vAlign w:val="bottom"/>
            <w:gridSpan w:val="2"/>
          </w:tcPr>
          <w:p>
            <w:pPr>
              <w:jc w:val="right"/>
              <w:ind w:right="229"/>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14.06</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4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Net investment income </w:t>
            </w:r>
            <w:r>
              <w:rPr>
                <w:rFonts w:ascii="Arial" w:cs="Arial" w:eastAsia="Arial" w:hAnsi="Arial"/>
                <w:sz w:val="12"/>
                <w:szCs w:val="12"/>
                <w:color w:val="auto"/>
              </w:rPr>
              <w:t>(1)</w:t>
            </w:r>
          </w:p>
        </w:tc>
        <w:tc>
          <w:tcPr>
            <w:tcW w:w="224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0.51</w:t>
            </w:r>
          </w:p>
        </w:tc>
        <w:tc>
          <w:tcPr>
            <w:tcW w:w="2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0.78</w:t>
            </w:r>
          </w:p>
        </w:tc>
        <w:tc>
          <w:tcPr>
            <w:tcW w:w="14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40" w:type="dxa"/>
            <w:vAlign w:val="bottom"/>
            <w:tcBorders>
              <w:bottom w:val="single" w:sz="8" w:color="CCECFF"/>
            </w:tcBorders>
          </w:tcPr>
          <w:p>
            <w:pPr>
              <w:spacing w:after="0"/>
              <w:rPr>
                <w:sz w:val="20"/>
                <w:szCs w:val="20"/>
                <w:color w:val="auto"/>
              </w:rPr>
            </w:pPr>
            <w:r>
              <w:rPr>
                <w:rFonts w:ascii="Arial" w:cs="Arial" w:eastAsia="Arial" w:hAnsi="Arial"/>
                <w:sz w:val="14"/>
                <w:szCs w:val="14"/>
                <w:color w:val="auto"/>
              </w:rPr>
              <w:t xml:space="preserve">Net change in realized and unrealized gain </w:t>
            </w:r>
            <w:r>
              <w:rPr>
                <w:rFonts w:ascii="Arial" w:cs="Arial" w:eastAsia="Arial" w:hAnsi="Arial"/>
                <w:sz w:val="12"/>
                <w:szCs w:val="12"/>
                <w:color w:val="auto"/>
              </w:rPr>
              <w:t>(1)</w:t>
            </w:r>
          </w:p>
        </w:tc>
        <w:tc>
          <w:tcPr>
            <w:tcW w:w="2240" w:type="dxa"/>
            <w:vAlign w:val="bottom"/>
            <w:tcBorders>
              <w:bottom w:val="single" w:sz="8" w:color="CCEC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0.08</w:t>
            </w:r>
          </w:p>
        </w:tc>
        <w:tc>
          <w:tcPr>
            <w:tcW w:w="220" w:type="dxa"/>
            <w:vAlign w:val="bottom"/>
            <w:tcBorders>
              <w:bottom w:val="single" w:sz="8" w:color="CCECFF"/>
            </w:tcBorders>
          </w:tcPr>
          <w:p>
            <w:pPr>
              <w:spacing w:after="0"/>
              <w:rPr>
                <w:sz w:val="14"/>
                <w:szCs w:val="14"/>
                <w:color w:val="auto"/>
              </w:rPr>
            </w:pPr>
          </w:p>
        </w:tc>
        <w:tc>
          <w:tcPr>
            <w:tcW w:w="100" w:type="dxa"/>
            <w:vAlign w:val="bottom"/>
            <w:tcBorders>
              <w:bottom w:val="single" w:sz="8" w:color="CCEC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0.08</w:t>
            </w:r>
          </w:p>
        </w:tc>
        <w:tc>
          <w:tcPr>
            <w:tcW w:w="14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44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 xml:space="preserve">Net increase in net assets resulting from operations </w:t>
            </w:r>
            <w:r>
              <w:rPr>
                <w:rFonts w:ascii="Arial" w:cs="Arial" w:eastAsia="Arial" w:hAnsi="Arial"/>
                <w:sz w:val="12"/>
                <w:szCs w:val="12"/>
                <w:color w:val="auto"/>
              </w:rPr>
              <w:t>(1)</w:t>
            </w:r>
          </w:p>
        </w:tc>
        <w:tc>
          <w:tcPr>
            <w:tcW w:w="2240" w:type="dxa"/>
            <w:vAlign w:val="bottom"/>
            <w:shd w:val="clear" w:color="auto" w:fill="CCECFF"/>
          </w:tcPr>
          <w:p>
            <w:pPr>
              <w:spacing w:after="0"/>
              <w:rPr>
                <w:sz w:val="13"/>
                <w:szCs w:val="13"/>
                <w:color w:val="auto"/>
              </w:rPr>
            </w:pPr>
          </w:p>
        </w:tc>
        <w:tc>
          <w:tcPr>
            <w:tcW w:w="360" w:type="dxa"/>
            <w:vAlign w:val="bottom"/>
            <w:shd w:val="clear" w:color="auto" w:fill="CCECFF"/>
          </w:tcPr>
          <w:p>
            <w:pPr>
              <w:spacing w:after="0"/>
              <w:rPr>
                <w:sz w:val="13"/>
                <w:szCs w:val="13"/>
                <w:color w:val="auto"/>
              </w:rPr>
            </w:pPr>
          </w:p>
        </w:tc>
        <w:tc>
          <w:tcPr>
            <w:tcW w:w="120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0.59</w:t>
            </w:r>
          </w:p>
        </w:tc>
        <w:tc>
          <w:tcPr>
            <w:tcW w:w="2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340" w:type="dxa"/>
            <w:vAlign w:val="bottom"/>
            <w:shd w:val="clear" w:color="auto" w:fill="CCECFF"/>
          </w:tcPr>
          <w:p>
            <w:pPr>
              <w:spacing w:after="0"/>
              <w:rPr>
                <w:sz w:val="13"/>
                <w:szCs w:val="13"/>
                <w:color w:val="auto"/>
              </w:rPr>
            </w:pPr>
          </w:p>
        </w:tc>
        <w:tc>
          <w:tcPr>
            <w:tcW w:w="120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0.86</w:t>
            </w:r>
          </w:p>
        </w:tc>
        <w:tc>
          <w:tcPr>
            <w:tcW w:w="14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440" w:type="dxa"/>
            <w:vAlign w:val="bottom"/>
          </w:tcPr>
          <w:p>
            <w:pPr>
              <w:spacing w:after="0"/>
              <w:rPr>
                <w:sz w:val="20"/>
                <w:szCs w:val="20"/>
                <w:color w:val="auto"/>
              </w:rPr>
            </w:pPr>
            <w:r>
              <w:rPr>
                <w:rFonts w:ascii="Arial" w:cs="Arial" w:eastAsia="Arial" w:hAnsi="Arial"/>
                <w:sz w:val="14"/>
                <w:szCs w:val="14"/>
                <w:color w:val="auto"/>
              </w:rPr>
              <w:t xml:space="preserve">Distributions to stockholders </w:t>
            </w:r>
            <w:r>
              <w:rPr>
                <w:rFonts w:ascii="Arial" w:cs="Arial" w:eastAsia="Arial" w:hAnsi="Arial"/>
                <w:sz w:val="12"/>
                <w:szCs w:val="12"/>
                <w:color w:val="auto"/>
              </w:rPr>
              <w:t>(1), (2)</w:t>
            </w:r>
          </w:p>
        </w:tc>
        <w:tc>
          <w:tcPr>
            <w:tcW w:w="2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4"/>
                <w:szCs w:val="14"/>
                <w:color w:val="auto"/>
              </w:rPr>
              <w:t>(0.86)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4"/>
                <w:szCs w:val="14"/>
                <w:color w:val="auto"/>
              </w:rPr>
              <w:t>(0.87)</w:t>
            </w:r>
          </w:p>
        </w:tc>
        <w:tc>
          <w:tcPr>
            <w:tcW w:w="0" w:type="dxa"/>
            <w:vAlign w:val="bottom"/>
          </w:tcPr>
          <w:p>
            <w:pPr>
              <w:spacing w:after="0"/>
              <w:rPr>
                <w:sz w:val="1"/>
                <w:szCs w:val="1"/>
                <w:color w:val="auto"/>
              </w:rPr>
            </w:pPr>
          </w:p>
        </w:tc>
      </w:tr>
      <w:tr>
        <w:trPr>
          <w:trHeight w:val="162"/>
        </w:trPr>
        <w:tc>
          <w:tcPr>
            <w:tcW w:w="5440" w:type="dxa"/>
            <w:vAlign w:val="bottom"/>
            <w:shd w:val="clear" w:color="auto" w:fill="CCECFF"/>
          </w:tcPr>
          <w:p>
            <w:pPr>
              <w:spacing w:after="0"/>
              <w:rPr>
                <w:sz w:val="20"/>
                <w:szCs w:val="20"/>
                <w:color w:val="auto"/>
              </w:rPr>
            </w:pPr>
            <w:r>
              <w:rPr>
                <w:rFonts w:ascii="Arial" w:cs="Arial" w:eastAsia="Arial" w:hAnsi="Arial"/>
                <w:sz w:val="14"/>
                <w:szCs w:val="14"/>
                <w:color w:val="auto"/>
              </w:rPr>
              <w:t>(Dilutive) effect of common stock issuance</w:t>
            </w:r>
          </w:p>
        </w:tc>
        <w:tc>
          <w:tcPr>
            <w:tcW w:w="224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420" w:type="dxa"/>
            <w:vAlign w:val="bottom"/>
            <w:gridSpan w:val="2"/>
            <w:shd w:val="clear" w:color="auto" w:fill="CCECFF"/>
          </w:tcPr>
          <w:p>
            <w:pPr>
              <w:jc w:val="right"/>
              <w:ind w:right="160"/>
              <w:spacing w:after="0"/>
              <w:rPr>
                <w:sz w:val="20"/>
                <w:szCs w:val="20"/>
                <w:color w:val="auto"/>
              </w:rPr>
            </w:pPr>
            <w:r>
              <w:rPr>
                <w:rFonts w:ascii="Arial" w:cs="Arial" w:eastAsia="Arial" w:hAnsi="Arial"/>
                <w:sz w:val="14"/>
                <w:szCs w:val="14"/>
                <w:color w:val="auto"/>
              </w:rPr>
              <w:t>(0.01)</w:t>
            </w:r>
          </w:p>
        </w:tc>
        <w:tc>
          <w:tcPr>
            <w:tcW w:w="10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34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5"/>
        </w:trPr>
        <w:tc>
          <w:tcPr>
            <w:tcW w:w="5440" w:type="dxa"/>
            <w:vAlign w:val="bottom"/>
            <w:tcBorders>
              <w:bottom w:val="single" w:sz="8" w:color="CCECFF"/>
            </w:tcBorders>
          </w:tcPr>
          <w:p>
            <w:pPr>
              <w:spacing w:after="0" w:line="155" w:lineRule="exact"/>
              <w:rPr>
                <w:sz w:val="20"/>
                <w:szCs w:val="20"/>
                <w:color w:val="auto"/>
              </w:rPr>
            </w:pPr>
            <w:r>
              <w:rPr>
                <w:rFonts w:ascii="Arial" w:cs="Arial" w:eastAsia="Arial" w:hAnsi="Arial"/>
                <w:sz w:val="14"/>
                <w:szCs w:val="14"/>
                <w:color w:val="auto"/>
              </w:rPr>
              <w:t>Net asset value, end of period</w:t>
            </w:r>
          </w:p>
        </w:tc>
        <w:tc>
          <w:tcPr>
            <w:tcW w:w="2240" w:type="dxa"/>
            <w:vAlign w:val="bottom"/>
            <w:tcBorders>
              <w:bottom w:val="single" w:sz="8" w:color="CCECFF"/>
            </w:tcBorders>
          </w:tcPr>
          <w:p>
            <w:pPr>
              <w:spacing w:after="0"/>
              <w:rPr>
                <w:sz w:val="17"/>
                <w:szCs w:val="17"/>
                <w:color w:val="auto"/>
              </w:rPr>
            </w:pPr>
          </w:p>
        </w:tc>
        <w:tc>
          <w:tcPr>
            <w:tcW w:w="360" w:type="dxa"/>
            <w:vAlign w:val="bottom"/>
            <w:tcBorders>
              <w:top w:val="single" w:sz="8" w:color="auto"/>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13.82</w:t>
            </w:r>
          </w:p>
        </w:tc>
        <w:tc>
          <w:tcPr>
            <w:tcW w:w="220" w:type="dxa"/>
            <w:vAlign w:val="bottom"/>
            <w:tcBorders>
              <w:bottom w:val="single" w:sz="8" w:color="CCECFF"/>
            </w:tcBorders>
          </w:tcPr>
          <w:p>
            <w:pPr>
              <w:spacing w:after="0"/>
              <w:rPr>
                <w:sz w:val="17"/>
                <w:szCs w:val="17"/>
                <w:color w:val="auto"/>
              </w:rPr>
            </w:pPr>
          </w:p>
        </w:tc>
        <w:tc>
          <w:tcPr>
            <w:tcW w:w="100" w:type="dxa"/>
            <w:vAlign w:val="bottom"/>
            <w:tcBorders>
              <w:bottom w:val="single" w:sz="8" w:color="CCECFF"/>
            </w:tcBorders>
          </w:tcPr>
          <w:p>
            <w:pPr>
              <w:spacing w:after="0"/>
              <w:rPr>
                <w:sz w:val="17"/>
                <w:szCs w:val="17"/>
                <w:color w:val="auto"/>
              </w:rPr>
            </w:pPr>
          </w:p>
        </w:tc>
        <w:tc>
          <w:tcPr>
            <w:tcW w:w="340" w:type="dxa"/>
            <w:vAlign w:val="bottom"/>
            <w:tcBorders>
              <w:top w:val="single" w:sz="8" w:color="auto"/>
              <w:bottom w:val="single" w:sz="8" w:color="auto"/>
            </w:tcBorders>
          </w:tcPr>
          <w:p>
            <w:pPr>
              <w:jc w:val="right"/>
              <w:ind w:right="229"/>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14.05</w:t>
            </w:r>
          </w:p>
        </w:tc>
        <w:tc>
          <w:tcPr>
            <w:tcW w:w="140" w:type="dxa"/>
            <w:vAlign w:val="bottom"/>
            <w:tcBorders>
              <w:bottom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5440" w:type="dxa"/>
            <w:vAlign w:val="bottom"/>
            <w:tcBorders>
              <w:bottom w:val="single" w:sz="8" w:color="CCECFF"/>
            </w:tcBorders>
            <w:shd w:val="clear" w:color="auto" w:fill="CCECFF"/>
          </w:tcPr>
          <w:p>
            <w:pPr>
              <w:spacing w:after="0" w:line="143" w:lineRule="exact"/>
              <w:rPr>
                <w:sz w:val="20"/>
                <w:szCs w:val="20"/>
                <w:color w:val="auto"/>
              </w:rPr>
            </w:pPr>
            <w:r>
              <w:rPr>
                <w:rFonts w:ascii="Arial" w:cs="Arial" w:eastAsia="Arial" w:hAnsi="Arial"/>
                <w:sz w:val="14"/>
                <w:szCs w:val="14"/>
                <w:color w:val="auto"/>
              </w:rPr>
              <w:t>Per share market value, end of period</w:t>
            </w:r>
          </w:p>
        </w:tc>
        <w:tc>
          <w:tcPr>
            <w:tcW w:w="2240" w:type="dxa"/>
            <w:vAlign w:val="bottom"/>
            <w:tcBorders>
              <w:bottom w:val="single" w:sz="8" w:color="CCECFF"/>
            </w:tcBorders>
            <w:shd w:val="clear" w:color="auto" w:fill="CCECFF"/>
          </w:tcPr>
          <w:p>
            <w:pPr>
              <w:spacing w:after="0"/>
              <w:rPr>
                <w:sz w:val="12"/>
                <w:szCs w:val="12"/>
                <w:color w:val="auto"/>
              </w:rPr>
            </w:pPr>
          </w:p>
        </w:tc>
        <w:tc>
          <w:tcPr>
            <w:tcW w:w="360" w:type="dxa"/>
            <w:vAlign w:val="bottom"/>
            <w:tcBorders>
              <w:bottom w:val="single" w:sz="8" w:color="auto"/>
            </w:tcBorders>
            <w:shd w:val="clear" w:color="auto" w:fill="CCECFF"/>
          </w:tcPr>
          <w:p>
            <w:pPr>
              <w:jc w:val="right"/>
              <w:ind w:right="208"/>
              <w:spacing w:after="0" w:line="143"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13.66</w:t>
            </w:r>
          </w:p>
        </w:tc>
        <w:tc>
          <w:tcPr>
            <w:tcW w:w="220" w:type="dxa"/>
            <w:vAlign w:val="bottom"/>
            <w:tcBorders>
              <w:bottom w:val="single" w:sz="8" w:color="CCECFF"/>
            </w:tcBorders>
            <w:shd w:val="clear" w:color="auto" w:fill="CCECFF"/>
          </w:tcPr>
          <w:p>
            <w:pPr>
              <w:spacing w:after="0"/>
              <w:rPr>
                <w:sz w:val="12"/>
                <w:szCs w:val="12"/>
                <w:color w:val="auto"/>
              </w:rPr>
            </w:pPr>
          </w:p>
        </w:tc>
        <w:tc>
          <w:tcPr>
            <w:tcW w:w="100" w:type="dxa"/>
            <w:vAlign w:val="bottom"/>
            <w:tcBorders>
              <w:bottom w:val="single" w:sz="8" w:color="CCECFF"/>
            </w:tcBorders>
            <w:shd w:val="clear" w:color="auto" w:fill="CCECFF"/>
          </w:tcPr>
          <w:p>
            <w:pPr>
              <w:spacing w:after="0"/>
              <w:rPr>
                <w:sz w:val="12"/>
                <w:szCs w:val="12"/>
                <w:color w:val="auto"/>
              </w:rPr>
            </w:pPr>
          </w:p>
        </w:tc>
        <w:tc>
          <w:tcPr>
            <w:tcW w:w="340" w:type="dxa"/>
            <w:vAlign w:val="bottom"/>
            <w:tcBorders>
              <w:bottom w:val="single" w:sz="8" w:color="auto"/>
            </w:tcBorders>
            <w:shd w:val="clear" w:color="auto" w:fill="CCECFF"/>
          </w:tcPr>
          <w:p>
            <w:pPr>
              <w:jc w:val="right"/>
              <w:ind w:right="229"/>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14.11</w:t>
            </w:r>
          </w:p>
        </w:tc>
        <w:tc>
          <w:tcPr>
            <w:tcW w:w="14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Arial" w:cs="Arial" w:eastAsia="Arial" w:hAnsi="Arial"/>
                <w:sz w:val="14"/>
                <w:szCs w:val="14"/>
                <w:color w:val="auto"/>
              </w:rPr>
              <w:t xml:space="preserve">Total return* </w:t>
            </w:r>
            <w:r>
              <w:rPr>
                <w:rFonts w:ascii="Arial" w:cs="Arial" w:eastAsia="Arial" w:hAnsi="Arial"/>
                <w:sz w:val="12"/>
                <w:szCs w:val="12"/>
                <w:color w:val="auto"/>
              </w:rPr>
              <w:t>(3)</w:t>
            </w:r>
          </w:p>
        </w:tc>
        <w:tc>
          <w:tcPr>
            <w:tcW w:w="2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440" w:type="dxa"/>
            <w:vAlign w:val="bottom"/>
            <w:vMerge w:val="continue"/>
          </w:tcPr>
          <w:p>
            <w:pPr>
              <w:spacing w:after="0"/>
              <w:rPr>
                <w:sz w:val="12"/>
                <w:szCs w:val="12"/>
                <w:color w:val="auto"/>
              </w:rPr>
            </w:pPr>
          </w:p>
        </w:tc>
        <w:tc>
          <w:tcPr>
            <w:tcW w:w="2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20" w:type="dxa"/>
            <w:vAlign w:val="bottom"/>
            <w:gridSpan w:val="2"/>
          </w:tcPr>
          <w:p>
            <w:pPr>
              <w:jc w:val="right"/>
              <w:ind w:right="100"/>
              <w:spacing w:after="0" w:line="143" w:lineRule="exact"/>
              <w:rPr>
                <w:sz w:val="20"/>
                <w:szCs w:val="20"/>
                <w:color w:val="auto"/>
              </w:rPr>
            </w:pPr>
            <w:r>
              <w:rPr>
                <w:rFonts w:ascii="Arial" w:cs="Arial" w:eastAsia="Arial" w:hAnsi="Arial"/>
                <w:sz w:val="14"/>
                <w:szCs w:val="14"/>
                <w:color w:val="auto"/>
              </w:rPr>
              <w:t>0.29%</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40" w:type="dxa"/>
            <w:vAlign w:val="bottom"/>
            <w:gridSpan w:val="2"/>
          </w:tcPr>
          <w:p>
            <w:pPr>
              <w:jc w:val="right"/>
              <w:ind w:right="20"/>
              <w:spacing w:after="0" w:line="143" w:lineRule="exact"/>
              <w:rPr>
                <w:sz w:val="20"/>
                <w:szCs w:val="20"/>
                <w:color w:val="auto"/>
              </w:rPr>
            </w:pPr>
            <w:r>
              <w:rPr>
                <w:rFonts w:ascii="Arial" w:cs="Arial" w:eastAsia="Arial" w:hAnsi="Arial"/>
                <w:sz w:val="14"/>
                <w:szCs w:val="14"/>
                <w:color w:val="auto"/>
              </w:rPr>
              <w:t>13.42%</w:t>
            </w:r>
          </w:p>
        </w:tc>
        <w:tc>
          <w:tcPr>
            <w:tcW w:w="0" w:type="dxa"/>
            <w:vAlign w:val="bottom"/>
          </w:tcPr>
          <w:p>
            <w:pPr>
              <w:spacing w:after="0"/>
              <w:rPr>
                <w:sz w:val="1"/>
                <w:szCs w:val="1"/>
                <w:color w:val="auto"/>
              </w:rPr>
            </w:pPr>
          </w:p>
        </w:tc>
      </w:tr>
      <w:tr>
        <w:trPr>
          <w:trHeight w:val="162"/>
        </w:trPr>
        <w:tc>
          <w:tcPr>
            <w:tcW w:w="5440" w:type="dxa"/>
            <w:vAlign w:val="bottom"/>
            <w:tcBorders>
              <w:bottom w:val="single" w:sz="8" w:color="CCECFF"/>
            </w:tcBorders>
            <w:shd w:val="clear" w:color="auto" w:fill="CCECFF"/>
          </w:tcPr>
          <w:p>
            <w:pPr>
              <w:spacing w:after="0"/>
              <w:rPr>
                <w:sz w:val="20"/>
                <w:szCs w:val="20"/>
                <w:color w:val="auto"/>
              </w:rPr>
            </w:pPr>
            <w:r>
              <w:rPr>
                <w:rFonts w:ascii="Arial" w:cs="Arial" w:eastAsia="Arial" w:hAnsi="Arial"/>
                <w:sz w:val="14"/>
                <w:szCs w:val="14"/>
                <w:color w:val="auto"/>
              </w:rPr>
              <w:t>Shares outstanding at end of period</w:t>
            </w:r>
          </w:p>
        </w:tc>
        <w:tc>
          <w:tcPr>
            <w:tcW w:w="2240" w:type="dxa"/>
            <w:vAlign w:val="bottom"/>
            <w:tcBorders>
              <w:bottom w:val="single" w:sz="8" w:color="CCECFF"/>
            </w:tcBorders>
            <w:shd w:val="clear" w:color="auto" w:fill="CCECFF"/>
          </w:tcPr>
          <w:p>
            <w:pPr>
              <w:spacing w:after="0"/>
              <w:rPr>
                <w:sz w:val="14"/>
                <w:szCs w:val="14"/>
                <w:color w:val="auto"/>
              </w:rPr>
            </w:pPr>
          </w:p>
        </w:tc>
        <w:tc>
          <w:tcPr>
            <w:tcW w:w="360" w:type="dxa"/>
            <w:vAlign w:val="bottom"/>
            <w:tcBorders>
              <w:bottom w:val="single" w:sz="8" w:color="auto"/>
            </w:tcBorders>
            <w:shd w:val="clear" w:color="auto" w:fill="CCECFF"/>
          </w:tcPr>
          <w:p>
            <w:pPr>
              <w:spacing w:after="0"/>
              <w:rPr>
                <w:sz w:val="14"/>
                <w:szCs w:val="14"/>
                <w:color w:val="auto"/>
              </w:rPr>
            </w:pPr>
          </w:p>
        </w:tc>
        <w:tc>
          <w:tcPr>
            <w:tcW w:w="12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38,772,074</w:t>
            </w:r>
          </w:p>
        </w:tc>
        <w:tc>
          <w:tcPr>
            <w:tcW w:w="220" w:type="dxa"/>
            <w:vAlign w:val="bottom"/>
            <w:tcBorders>
              <w:bottom w:val="single" w:sz="8" w:color="CCECFF"/>
            </w:tcBorders>
            <w:shd w:val="clear" w:color="auto" w:fill="CCECFF"/>
          </w:tcPr>
          <w:p>
            <w:pPr>
              <w:spacing w:after="0"/>
              <w:rPr>
                <w:sz w:val="14"/>
                <w:szCs w:val="14"/>
                <w:color w:val="auto"/>
              </w:rPr>
            </w:pPr>
          </w:p>
        </w:tc>
        <w:tc>
          <w:tcPr>
            <w:tcW w:w="100" w:type="dxa"/>
            <w:vAlign w:val="bottom"/>
            <w:tcBorders>
              <w:bottom w:val="single" w:sz="8" w:color="CCECFF"/>
            </w:tcBorders>
            <w:shd w:val="clear" w:color="auto" w:fill="CCECFF"/>
          </w:tcPr>
          <w:p>
            <w:pPr>
              <w:spacing w:after="0"/>
              <w:rPr>
                <w:sz w:val="14"/>
                <w:szCs w:val="14"/>
                <w:color w:val="auto"/>
              </w:rPr>
            </w:pPr>
          </w:p>
        </w:tc>
        <w:tc>
          <w:tcPr>
            <w:tcW w:w="340" w:type="dxa"/>
            <w:vAlign w:val="bottom"/>
            <w:tcBorders>
              <w:bottom w:val="single" w:sz="8" w:color="auto"/>
            </w:tcBorders>
            <w:shd w:val="clear" w:color="auto" w:fill="CCECFF"/>
          </w:tcPr>
          <w:p>
            <w:pPr>
              <w:spacing w:after="0"/>
              <w:rPr>
                <w:sz w:val="14"/>
                <w:szCs w:val="14"/>
                <w:color w:val="auto"/>
              </w:rPr>
            </w:pPr>
          </w:p>
        </w:tc>
        <w:tc>
          <w:tcPr>
            <w:tcW w:w="12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32,480,074</w:t>
            </w:r>
          </w:p>
        </w:tc>
        <w:tc>
          <w:tcPr>
            <w:tcW w:w="140" w:type="dxa"/>
            <w:vAlign w:val="bottom"/>
            <w:tcBorders>
              <w:bottom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Arial" w:cs="Arial" w:eastAsia="Arial" w:hAnsi="Arial"/>
                <w:sz w:val="14"/>
                <w:szCs w:val="14"/>
                <w:b w:val="1"/>
                <w:bCs w:val="1"/>
                <w:color w:val="auto"/>
              </w:rPr>
              <w:t>Ratios** / Supplemental Data:</w:t>
            </w:r>
          </w:p>
        </w:tc>
        <w:tc>
          <w:tcPr>
            <w:tcW w:w="2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440" w:type="dxa"/>
            <w:vAlign w:val="bottom"/>
            <w:vMerge w:val="continue"/>
          </w:tcPr>
          <w:p>
            <w:pPr>
              <w:spacing w:after="0"/>
              <w:rPr>
                <w:sz w:val="12"/>
                <w:szCs w:val="12"/>
                <w:color w:val="auto"/>
              </w:rPr>
            </w:pPr>
          </w:p>
        </w:tc>
        <w:tc>
          <w:tcPr>
            <w:tcW w:w="2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44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Ratio of operating expenses to average net assets </w:t>
            </w:r>
            <w:r>
              <w:rPr>
                <w:rFonts w:ascii="Arial" w:cs="Arial" w:eastAsia="Arial" w:hAnsi="Arial"/>
                <w:sz w:val="12"/>
                <w:szCs w:val="12"/>
                <w:color w:val="auto"/>
              </w:rPr>
              <w:t>(4)</w:t>
            </w:r>
          </w:p>
        </w:tc>
        <w:tc>
          <w:tcPr>
            <w:tcW w:w="224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420" w:type="dxa"/>
            <w:vAlign w:val="bottom"/>
            <w:gridSpan w:val="2"/>
            <w:shd w:val="clear" w:color="auto" w:fill="CCECFF"/>
          </w:tcPr>
          <w:p>
            <w:pPr>
              <w:jc w:val="right"/>
              <w:ind w:right="100"/>
              <w:spacing w:after="0"/>
              <w:rPr>
                <w:sz w:val="20"/>
                <w:szCs w:val="20"/>
                <w:color w:val="auto"/>
              </w:rPr>
            </w:pPr>
            <w:r>
              <w:rPr>
                <w:rFonts w:ascii="Arial" w:cs="Arial" w:eastAsia="Arial" w:hAnsi="Arial"/>
                <w:sz w:val="14"/>
                <w:szCs w:val="14"/>
                <w:color w:val="auto"/>
              </w:rPr>
              <w:t>2.69%</w:t>
            </w:r>
          </w:p>
        </w:tc>
        <w:tc>
          <w:tcPr>
            <w:tcW w:w="10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34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3.74%</w:t>
            </w:r>
          </w:p>
        </w:tc>
        <w:tc>
          <w:tcPr>
            <w:tcW w:w="0" w:type="dxa"/>
            <w:vAlign w:val="bottom"/>
          </w:tcPr>
          <w:p>
            <w:pPr>
              <w:spacing w:after="0"/>
              <w:rPr>
                <w:sz w:val="1"/>
                <w:szCs w:val="1"/>
                <w:color w:val="auto"/>
              </w:rPr>
            </w:pPr>
          </w:p>
        </w:tc>
      </w:tr>
      <w:tr>
        <w:trPr>
          <w:trHeight w:val="162"/>
        </w:trPr>
        <w:tc>
          <w:tcPr>
            <w:tcW w:w="5440" w:type="dxa"/>
            <w:vAlign w:val="bottom"/>
          </w:tcPr>
          <w:p>
            <w:pPr>
              <w:spacing w:after="0"/>
              <w:rPr>
                <w:sz w:val="20"/>
                <w:szCs w:val="20"/>
                <w:color w:val="auto"/>
              </w:rPr>
            </w:pPr>
            <w:r>
              <w:rPr>
                <w:rFonts w:ascii="Arial" w:cs="Arial" w:eastAsia="Arial" w:hAnsi="Arial"/>
                <w:sz w:val="14"/>
                <w:szCs w:val="14"/>
                <w:color w:val="auto"/>
              </w:rPr>
              <w:t xml:space="preserve">Ratio of debt related expenses to average net assets </w:t>
            </w:r>
            <w:r>
              <w:rPr>
                <w:rFonts w:ascii="Arial" w:cs="Arial" w:eastAsia="Arial" w:hAnsi="Arial"/>
                <w:sz w:val="12"/>
                <w:szCs w:val="12"/>
                <w:color w:val="auto"/>
              </w:rPr>
              <w:t>(5)</w:t>
            </w:r>
          </w:p>
        </w:tc>
        <w:tc>
          <w:tcPr>
            <w:tcW w:w="2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4"/>
                <w:szCs w:val="14"/>
                <w:color w:val="auto"/>
              </w:rPr>
              <w:t>4.54%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4"/>
                <w:szCs w:val="14"/>
                <w:color w:val="auto"/>
              </w:rPr>
              <w:t>2.01%</w:t>
            </w:r>
          </w:p>
        </w:tc>
        <w:tc>
          <w:tcPr>
            <w:tcW w:w="0" w:type="dxa"/>
            <w:vAlign w:val="bottom"/>
          </w:tcPr>
          <w:p>
            <w:pPr>
              <w:spacing w:after="0"/>
              <w:rPr>
                <w:sz w:val="1"/>
                <w:szCs w:val="1"/>
                <w:color w:val="auto"/>
              </w:rPr>
            </w:pPr>
          </w:p>
        </w:tc>
      </w:tr>
      <w:tr>
        <w:trPr>
          <w:trHeight w:val="20"/>
        </w:trPr>
        <w:tc>
          <w:tcPr>
            <w:tcW w:w="5440" w:type="dxa"/>
            <w:vAlign w:val="bottom"/>
            <w:vMerge w:val="restart"/>
            <w:shd w:val="clear" w:color="auto" w:fill="CCECFF"/>
          </w:tcPr>
          <w:p>
            <w:pPr>
              <w:spacing w:after="0"/>
              <w:rPr>
                <w:sz w:val="20"/>
                <w:szCs w:val="20"/>
                <w:color w:val="auto"/>
              </w:rPr>
            </w:pPr>
            <w:r>
              <w:rPr>
                <w:rFonts w:ascii="Arial" w:cs="Arial" w:eastAsia="Arial" w:hAnsi="Arial"/>
                <w:sz w:val="14"/>
                <w:szCs w:val="14"/>
                <w:color w:val="auto"/>
              </w:rPr>
              <w:t xml:space="preserve">Ratio of total expenses to average net assets </w:t>
            </w:r>
            <w:r>
              <w:rPr>
                <w:rFonts w:ascii="Arial" w:cs="Arial" w:eastAsia="Arial" w:hAnsi="Arial"/>
                <w:sz w:val="12"/>
                <w:szCs w:val="12"/>
                <w:color w:val="auto"/>
              </w:rPr>
              <w:t>(5)</w:t>
            </w:r>
          </w:p>
        </w:tc>
        <w:tc>
          <w:tcPr>
            <w:tcW w:w="2240" w:type="dxa"/>
            <w:vAlign w:val="bottom"/>
            <w:shd w:val="clear" w:color="auto" w:fill="CCEC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shd w:val="clear" w:color="auto" w:fill="CCECFF"/>
          </w:tcPr>
          <w:p>
            <w:pPr>
              <w:spacing w:after="0" w:line="20" w:lineRule="exact"/>
              <w:rPr>
                <w:sz w:val="1"/>
                <w:szCs w:val="1"/>
                <w:color w:val="auto"/>
              </w:rPr>
            </w:pPr>
          </w:p>
        </w:tc>
        <w:tc>
          <w:tcPr>
            <w:tcW w:w="100" w:type="dxa"/>
            <w:vAlign w:val="bottom"/>
            <w:shd w:val="clear" w:color="auto" w:fill="CCEC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440" w:type="dxa"/>
            <w:vAlign w:val="bottom"/>
            <w:vMerge w:val="continue"/>
            <w:shd w:val="clear" w:color="auto" w:fill="CCECFF"/>
          </w:tcPr>
          <w:p>
            <w:pPr>
              <w:spacing w:after="0"/>
              <w:rPr>
                <w:sz w:val="13"/>
                <w:szCs w:val="13"/>
                <w:color w:val="auto"/>
              </w:rPr>
            </w:pPr>
          </w:p>
        </w:tc>
        <w:tc>
          <w:tcPr>
            <w:tcW w:w="2240" w:type="dxa"/>
            <w:vAlign w:val="bottom"/>
            <w:shd w:val="clear" w:color="auto" w:fill="CCECFF"/>
          </w:tcPr>
          <w:p>
            <w:pPr>
              <w:spacing w:after="0"/>
              <w:rPr>
                <w:sz w:val="13"/>
                <w:szCs w:val="13"/>
                <w:color w:val="auto"/>
              </w:rPr>
            </w:pPr>
          </w:p>
        </w:tc>
        <w:tc>
          <w:tcPr>
            <w:tcW w:w="360" w:type="dxa"/>
            <w:vAlign w:val="bottom"/>
            <w:shd w:val="clear" w:color="auto" w:fill="CCECFF"/>
          </w:tcPr>
          <w:p>
            <w:pPr>
              <w:spacing w:after="0"/>
              <w:rPr>
                <w:sz w:val="13"/>
                <w:szCs w:val="13"/>
                <w:color w:val="auto"/>
              </w:rPr>
            </w:pPr>
          </w:p>
        </w:tc>
        <w:tc>
          <w:tcPr>
            <w:tcW w:w="1420" w:type="dxa"/>
            <w:vAlign w:val="bottom"/>
            <w:gridSpan w:val="2"/>
            <w:shd w:val="clear" w:color="auto" w:fill="CCECFF"/>
          </w:tcPr>
          <w:p>
            <w:pPr>
              <w:jc w:val="right"/>
              <w:ind w:right="100"/>
              <w:spacing w:after="0" w:line="155" w:lineRule="exact"/>
              <w:rPr>
                <w:sz w:val="20"/>
                <w:szCs w:val="20"/>
                <w:color w:val="auto"/>
              </w:rPr>
            </w:pPr>
            <w:r>
              <w:rPr>
                <w:rFonts w:ascii="Arial" w:cs="Arial" w:eastAsia="Arial" w:hAnsi="Arial"/>
                <w:sz w:val="14"/>
                <w:szCs w:val="14"/>
                <w:color w:val="auto"/>
              </w:rPr>
              <w:t>7.23%</w:t>
            </w:r>
          </w:p>
        </w:tc>
        <w:tc>
          <w:tcPr>
            <w:tcW w:w="100" w:type="dxa"/>
            <w:vAlign w:val="bottom"/>
            <w:shd w:val="clear" w:color="auto" w:fill="CCECFF"/>
          </w:tcPr>
          <w:p>
            <w:pPr>
              <w:spacing w:after="0"/>
              <w:rPr>
                <w:sz w:val="13"/>
                <w:szCs w:val="13"/>
                <w:color w:val="auto"/>
              </w:rPr>
            </w:pPr>
          </w:p>
        </w:tc>
        <w:tc>
          <w:tcPr>
            <w:tcW w:w="340" w:type="dxa"/>
            <w:vAlign w:val="bottom"/>
            <w:shd w:val="clear" w:color="auto" w:fill="CCECFF"/>
          </w:tcPr>
          <w:p>
            <w:pPr>
              <w:spacing w:after="0"/>
              <w:rPr>
                <w:sz w:val="13"/>
                <w:szCs w:val="13"/>
                <w:color w:val="auto"/>
              </w:rPr>
            </w:pPr>
          </w:p>
        </w:tc>
        <w:tc>
          <w:tcPr>
            <w:tcW w:w="1340" w:type="dxa"/>
            <w:vAlign w:val="bottom"/>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5.75%</w:t>
            </w:r>
          </w:p>
        </w:tc>
        <w:tc>
          <w:tcPr>
            <w:tcW w:w="0" w:type="dxa"/>
            <w:vAlign w:val="bottom"/>
          </w:tcPr>
          <w:p>
            <w:pPr>
              <w:spacing w:after="0"/>
              <w:rPr>
                <w:sz w:val="1"/>
                <w:szCs w:val="1"/>
                <w:color w:val="auto"/>
              </w:rPr>
            </w:pPr>
          </w:p>
        </w:tc>
      </w:tr>
      <w:tr>
        <w:trPr>
          <w:trHeight w:val="162"/>
        </w:trPr>
        <w:tc>
          <w:tcPr>
            <w:tcW w:w="5440" w:type="dxa"/>
            <w:vAlign w:val="bottom"/>
          </w:tcPr>
          <w:p>
            <w:pPr>
              <w:spacing w:after="0"/>
              <w:rPr>
                <w:sz w:val="20"/>
                <w:szCs w:val="20"/>
                <w:color w:val="auto"/>
              </w:rPr>
            </w:pPr>
            <w:r>
              <w:rPr>
                <w:rFonts w:ascii="Arial" w:cs="Arial" w:eastAsia="Arial" w:hAnsi="Arial"/>
                <w:sz w:val="14"/>
                <w:szCs w:val="14"/>
                <w:color w:val="auto"/>
              </w:rPr>
              <w:t xml:space="preserve">Ratio of net investment income to average net assets </w:t>
            </w:r>
            <w:r>
              <w:rPr>
                <w:rFonts w:ascii="Arial" w:cs="Arial" w:eastAsia="Arial" w:hAnsi="Arial"/>
                <w:sz w:val="12"/>
                <w:szCs w:val="12"/>
                <w:color w:val="auto"/>
              </w:rPr>
              <w:t>(5)</w:t>
            </w:r>
          </w:p>
        </w:tc>
        <w:tc>
          <w:tcPr>
            <w:tcW w:w="2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4"/>
                <w:szCs w:val="14"/>
                <w:color w:val="auto"/>
              </w:rPr>
              <w:t>5.52%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4"/>
                <w:szCs w:val="14"/>
                <w:color w:val="auto"/>
              </w:rPr>
              <w:t>7.38%</w:t>
            </w:r>
          </w:p>
        </w:tc>
        <w:tc>
          <w:tcPr>
            <w:tcW w:w="0" w:type="dxa"/>
            <w:vAlign w:val="bottom"/>
          </w:tcPr>
          <w:p>
            <w:pPr>
              <w:spacing w:after="0"/>
              <w:rPr>
                <w:sz w:val="1"/>
                <w:szCs w:val="1"/>
                <w:color w:val="auto"/>
              </w:rPr>
            </w:pPr>
          </w:p>
        </w:tc>
      </w:tr>
      <w:tr>
        <w:trPr>
          <w:trHeight w:val="162"/>
        </w:trPr>
        <w:tc>
          <w:tcPr>
            <w:tcW w:w="5440" w:type="dxa"/>
            <w:vAlign w:val="bottom"/>
            <w:shd w:val="clear" w:color="auto" w:fill="CCECFF"/>
          </w:tcPr>
          <w:p>
            <w:pPr>
              <w:spacing w:after="0"/>
              <w:rPr>
                <w:sz w:val="20"/>
                <w:szCs w:val="20"/>
                <w:color w:val="auto"/>
              </w:rPr>
            </w:pPr>
            <w:r>
              <w:rPr>
                <w:rFonts w:ascii="Arial" w:cs="Arial" w:eastAsia="Arial" w:hAnsi="Arial"/>
                <w:sz w:val="14"/>
                <w:szCs w:val="14"/>
                <w:color w:val="auto"/>
              </w:rPr>
              <w:t>Net assets at end of period</w:t>
            </w:r>
          </w:p>
        </w:tc>
        <w:tc>
          <w:tcPr>
            <w:tcW w:w="2600" w:type="dxa"/>
            <w:vAlign w:val="bottom"/>
            <w:gridSpan w:val="2"/>
            <w:shd w:val="clear" w:color="auto" w:fill="CCECFF"/>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535,878,316</w:t>
            </w:r>
          </w:p>
        </w:tc>
        <w:tc>
          <w:tcPr>
            <w:tcW w:w="220" w:type="dxa"/>
            <w:vAlign w:val="bottom"/>
            <w:shd w:val="clear" w:color="auto" w:fill="CCECFF"/>
          </w:tcPr>
          <w:p>
            <w:pPr>
              <w:spacing w:after="0"/>
              <w:rPr>
                <w:sz w:val="14"/>
                <w:szCs w:val="14"/>
                <w:color w:val="auto"/>
              </w:rPr>
            </w:pPr>
          </w:p>
        </w:tc>
        <w:tc>
          <w:tcPr>
            <w:tcW w:w="440" w:type="dxa"/>
            <w:vAlign w:val="bottom"/>
            <w:gridSpan w:val="2"/>
            <w:shd w:val="clear" w:color="auto" w:fill="CCECFF"/>
          </w:tcPr>
          <w:p>
            <w:pPr>
              <w:jc w:val="right"/>
              <w:ind w:right="229"/>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456,311,718</w:t>
            </w:r>
          </w:p>
        </w:tc>
        <w:tc>
          <w:tcPr>
            <w:tcW w:w="14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440" w:type="dxa"/>
            <w:vAlign w:val="bottom"/>
            <w:tcBorders>
              <w:bottom w:val="single" w:sz="8" w:color="CCECFF"/>
            </w:tcBorders>
          </w:tcPr>
          <w:p>
            <w:pPr>
              <w:spacing w:after="0" w:line="155" w:lineRule="exact"/>
              <w:rPr>
                <w:sz w:val="20"/>
                <w:szCs w:val="20"/>
                <w:color w:val="auto"/>
              </w:rPr>
            </w:pPr>
            <w:r>
              <w:rPr>
                <w:rFonts w:ascii="Arial" w:cs="Arial" w:eastAsia="Arial" w:hAnsi="Arial"/>
                <w:sz w:val="14"/>
                <w:szCs w:val="14"/>
                <w:color w:val="auto"/>
              </w:rPr>
              <w:t>Weighted average debt outstanding</w:t>
            </w:r>
          </w:p>
        </w:tc>
        <w:tc>
          <w:tcPr>
            <w:tcW w:w="2240" w:type="dxa"/>
            <w:vAlign w:val="bottom"/>
            <w:tcBorders>
              <w:bottom w:val="single" w:sz="8" w:color="CCECFF"/>
            </w:tcBorders>
          </w:tcPr>
          <w:p>
            <w:pPr>
              <w:spacing w:after="0"/>
              <w:rPr>
                <w:sz w:val="13"/>
                <w:szCs w:val="13"/>
                <w:color w:val="auto"/>
              </w:rPr>
            </w:pPr>
          </w:p>
        </w:tc>
        <w:tc>
          <w:tcPr>
            <w:tcW w:w="360" w:type="dxa"/>
            <w:vAlign w:val="bottom"/>
            <w:tcBorders>
              <w:top w:val="single" w:sz="8" w:color="auto"/>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332,567,763</w:t>
            </w:r>
          </w:p>
        </w:tc>
        <w:tc>
          <w:tcPr>
            <w:tcW w:w="220" w:type="dxa"/>
            <w:vAlign w:val="bottom"/>
            <w:tcBorders>
              <w:bottom w:val="single" w:sz="8" w:color="CCECFF"/>
            </w:tcBorders>
          </w:tcPr>
          <w:p>
            <w:pPr>
              <w:spacing w:after="0"/>
              <w:rPr>
                <w:sz w:val="13"/>
                <w:szCs w:val="13"/>
                <w:color w:val="auto"/>
              </w:rPr>
            </w:pPr>
          </w:p>
        </w:tc>
        <w:tc>
          <w:tcPr>
            <w:tcW w:w="100" w:type="dxa"/>
            <w:vAlign w:val="bottom"/>
            <w:tcBorders>
              <w:bottom w:val="single" w:sz="8" w:color="CCECFF"/>
            </w:tcBorders>
          </w:tcPr>
          <w:p>
            <w:pPr>
              <w:spacing w:after="0"/>
              <w:rPr>
                <w:sz w:val="13"/>
                <w:szCs w:val="13"/>
                <w:color w:val="auto"/>
              </w:rPr>
            </w:pPr>
          </w:p>
        </w:tc>
        <w:tc>
          <w:tcPr>
            <w:tcW w:w="340" w:type="dxa"/>
            <w:vAlign w:val="bottom"/>
            <w:tcBorders>
              <w:top w:val="single" w:sz="8" w:color="auto"/>
              <w:bottom w:val="single" w:sz="8" w:color="auto"/>
            </w:tcBorders>
          </w:tcPr>
          <w:p>
            <w:pPr>
              <w:jc w:val="right"/>
              <w:ind w:right="229"/>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277,085,083</w:t>
            </w:r>
          </w:p>
        </w:tc>
        <w:tc>
          <w:tcPr>
            <w:tcW w:w="14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44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 xml:space="preserve">Weighted average debt per share </w:t>
            </w:r>
            <w:r>
              <w:rPr>
                <w:rFonts w:ascii="Arial" w:cs="Arial" w:eastAsia="Arial" w:hAnsi="Arial"/>
                <w:sz w:val="12"/>
                <w:szCs w:val="12"/>
                <w:color w:val="auto"/>
              </w:rPr>
              <w:t>(1)</w:t>
            </w:r>
          </w:p>
        </w:tc>
        <w:tc>
          <w:tcPr>
            <w:tcW w:w="2240" w:type="dxa"/>
            <w:vAlign w:val="bottom"/>
            <w:shd w:val="clear" w:color="auto" w:fill="CCECFF"/>
          </w:tcPr>
          <w:p>
            <w:pPr>
              <w:spacing w:after="0"/>
              <w:rPr>
                <w:sz w:val="13"/>
                <w:szCs w:val="13"/>
                <w:color w:val="auto"/>
              </w:rPr>
            </w:pPr>
          </w:p>
        </w:tc>
        <w:tc>
          <w:tcPr>
            <w:tcW w:w="360" w:type="dxa"/>
            <w:vAlign w:val="bottom"/>
            <w:shd w:val="clear" w:color="auto" w:fill="CCECFF"/>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8.72</w:t>
            </w:r>
          </w:p>
        </w:tc>
        <w:tc>
          <w:tcPr>
            <w:tcW w:w="2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340" w:type="dxa"/>
            <w:vAlign w:val="bottom"/>
            <w:shd w:val="clear" w:color="auto" w:fill="CCECFF"/>
          </w:tcPr>
          <w:p>
            <w:pPr>
              <w:jc w:val="right"/>
              <w:ind w:right="229"/>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9.38</w:t>
            </w:r>
          </w:p>
        </w:tc>
        <w:tc>
          <w:tcPr>
            <w:tcW w:w="14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440" w:type="dxa"/>
            <w:vAlign w:val="bottom"/>
          </w:tcPr>
          <w:p>
            <w:pPr>
              <w:spacing w:after="0"/>
              <w:rPr>
                <w:sz w:val="20"/>
                <w:szCs w:val="20"/>
                <w:color w:val="auto"/>
              </w:rPr>
            </w:pPr>
            <w:r>
              <w:rPr>
                <w:rFonts w:ascii="Arial" w:cs="Arial" w:eastAsia="Arial" w:hAnsi="Arial"/>
                <w:sz w:val="14"/>
                <w:szCs w:val="14"/>
                <w:color w:val="auto"/>
              </w:rPr>
              <w:t xml:space="preserve">Asset coverage per unit </w:t>
            </w:r>
            <w:r>
              <w:rPr>
                <w:rFonts w:ascii="Arial" w:cs="Arial" w:eastAsia="Arial" w:hAnsi="Arial"/>
                <w:sz w:val="12"/>
                <w:szCs w:val="12"/>
                <w:color w:val="auto"/>
              </w:rPr>
              <w:t>(6)</w:t>
            </w:r>
          </w:p>
        </w:tc>
        <w:tc>
          <w:tcPr>
            <w:tcW w:w="260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2,371</w:t>
            </w:r>
          </w:p>
        </w:tc>
        <w:tc>
          <w:tcPr>
            <w:tcW w:w="220" w:type="dxa"/>
            <w:vAlign w:val="bottom"/>
          </w:tcPr>
          <w:p>
            <w:pPr>
              <w:spacing w:after="0"/>
              <w:rPr>
                <w:sz w:val="14"/>
                <w:szCs w:val="14"/>
                <w:color w:val="auto"/>
              </w:rPr>
            </w:pPr>
          </w:p>
        </w:tc>
        <w:tc>
          <w:tcPr>
            <w:tcW w:w="440" w:type="dxa"/>
            <w:vAlign w:val="bottom"/>
            <w:gridSpan w:val="2"/>
          </w:tcPr>
          <w:p>
            <w:pPr>
              <w:jc w:val="right"/>
              <w:ind w:right="229"/>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2,554</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40" w:type="dxa"/>
            <w:vAlign w:val="bottom"/>
            <w:shd w:val="clear" w:color="auto" w:fill="CCECFF"/>
          </w:tcPr>
          <w:p>
            <w:pPr>
              <w:spacing w:after="0"/>
              <w:rPr>
                <w:sz w:val="20"/>
                <w:szCs w:val="20"/>
                <w:color w:val="auto"/>
              </w:rPr>
            </w:pPr>
            <w:r>
              <w:rPr>
                <w:rFonts w:ascii="Arial" w:cs="Arial" w:eastAsia="Arial" w:hAnsi="Arial"/>
                <w:sz w:val="14"/>
                <w:szCs w:val="14"/>
                <w:color w:val="auto"/>
              </w:rPr>
              <w:t>Portfolio turnover ratio</w:t>
            </w:r>
          </w:p>
        </w:tc>
        <w:tc>
          <w:tcPr>
            <w:tcW w:w="224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420" w:type="dxa"/>
            <w:vAlign w:val="bottom"/>
            <w:gridSpan w:val="2"/>
            <w:shd w:val="clear" w:color="auto" w:fill="CCECFF"/>
          </w:tcPr>
          <w:p>
            <w:pPr>
              <w:jc w:val="right"/>
              <w:ind w:right="100"/>
              <w:spacing w:after="0"/>
              <w:rPr>
                <w:sz w:val="20"/>
                <w:szCs w:val="20"/>
                <w:color w:val="auto"/>
              </w:rPr>
            </w:pPr>
            <w:r>
              <w:rPr>
                <w:rFonts w:ascii="Arial" w:cs="Arial" w:eastAsia="Arial" w:hAnsi="Arial"/>
                <w:sz w:val="14"/>
                <w:szCs w:val="14"/>
                <w:color w:val="auto"/>
              </w:rPr>
              <w:t>47.57%</w:t>
            </w:r>
          </w:p>
        </w:tc>
        <w:tc>
          <w:tcPr>
            <w:tcW w:w="10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34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62.21%</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right="8240" w:firstLine="8"/>
        <w:spacing w:after="0" w:line="248" w:lineRule="auto"/>
        <w:tabs>
          <w:tab w:leader="none" w:pos="364" w:val="left"/>
        </w:tabs>
        <w:numPr>
          <w:ilvl w:val="0"/>
          <w:numId w:val="16"/>
        </w:numPr>
        <w:rPr>
          <w:rFonts w:ascii="Arial" w:cs="Arial" w:eastAsia="Arial" w:hAnsi="Arial"/>
          <w:sz w:val="13"/>
          <w:szCs w:val="13"/>
          <w:color w:val="auto"/>
        </w:rPr>
      </w:pPr>
      <w:r>
        <w:rPr>
          <w:rFonts w:ascii="Arial" w:cs="Arial" w:eastAsia="Arial" w:hAnsi="Arial"/>
          <w:sz w:val="13"/>
          <w:szCs w:val="13"/>
          <w:color w:val="auto"/>
        </w:rPr>
        <w:t>Not annualized for periods less than one year. ** Annualized for periods less than one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-192405</wp:posOffset>
            </wp:positionV>
            <wp:extent cx="185991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ind w:left="380" w:hanging="372"/>
        <w:spacing w:after="0" w:line="221" w:lineRule="auto"/>
        <w:tabs>
          <w:tab w:leader="none" w:pos="380" w:val="left"/>
        </w:tabs>
        <w:numPr>
          <w:ilvl w:val="0"/>
          <w:numId w:val="17"/>
        </w:numPr>
        <w:rPr>
          <w:rFonts w:ascii="Arial" w:cs="Arial" w:eastAsia="Arial" w:hAnsi="Arial"/>
          <w:sz w:val="12"/>
          <w:szCs w:val="12"/>
          <w:color w:val="auto"/>
        </w:rPr>
      </w:pPr>
      <w:r>
        <w:rPr>
          <w:rFonts w:ascii="Arial" w:cs="Arial" w:eastAsia="Arial" w:hAnsi="Arial"/>
          <w:sz w:val="14"/>
          <w:szCs w:val="14"/>
          <w:color w:val="auto"/>
        </w:rPr>
        <w:t>Based on the weighted average shares outstanding for the respective periods.</w:t>
      </w:r>
    </w:p>
    <w:p>
      <w:pPr>
        <w:ind w:left="380" w:right="340" w:hanging="372"/>
        <w:spacing w:after="0" w:line="221" w:lineRule="auto"/>
        <w:tabs>
          <w:tab w:leader="none" w:pos="380" w:val="left"/>
        </w:tabs>
        <w:numPr>
          <w:ilvl w:val="0"/>
          <w:numId w:val="17"/>
        </w:numPr>
        <w:rPr>
          <w:rFonts w:ascii="Arial" w:cs="Arial" w:eastAsia="Arial" w:hAnsi="Arial"/>
          <w:sz w:val="12"/>
          <w:szCs w:val="12"/>
          <w:color w:val="auto"/>
        </w:rPr>
      </w:pPr>
      <w:r>
        <w:rPr>
          <w:rFonts w:ascii="Arial" w:cs="Arial" w:eastAsia="Arial" w:hAnsi="Arial"/>
          <w:sz w:val="14"/>
          <w:szCs w:val="14"/>
          <w:color w:val="auto"/>
        </w:rPr>
        <w:t>The tax status of distributions is calculated in accordance with income tax regulations, which may differ from amounts determined under GAAP, and reported on Form 1099-DIV each calendar year.</w:t>
      </w:r>
    </w:p>
    <w:p>
      <w:pPr>
        <w:ind w:left="360" w:right="440" w:hanging="352"/>
        <w:spacing w:after="0" w:line="221" w:lineRule="auto"/>
        <w:tabs>
          <w:tab w:leader="none" w:pos="360" w:val="left"/>
        </w:tabs>
        <w:numPr>
          <w:ilvl w:val="0"/>
          <w:numId w:val="17"/>
        </w:numPr>
        <w:rPr>
          <w:rFonts w:ascii="Arial" w:cs="Arial" w:eastAsia="Arial" w:hAnsi="Arial"/>
          <w:sz w:val="12"/>
          <w:szCs w:val="12"/>
          <w:color w:val="auto"/>
        </w:rPr>
      </w:pPr>
      <w:r>
        <w:rPr>
          <w:rFonts w:ascii="Arial" w:cs="Arial" w:eastAsia="Arial" w:hAnsi="Arial"/>
          <w:sz w:val="14"/>
          <w:szCs w:val="14"/>
          <w:color w:val="auto"/>
        </w:rPr>
        <w:t>Based on the change in market price per share during the period and takes into account distributions, if any, reinvested in accordance with our dividend reinvestment plan, which was terminated on November 22, 2017.</w:t>
      </w:r>
    </w:p>
    <w:p>
      <w:pPr>
        <w:ind w:left="360" w:hanging="352"/>
        <w:spacing w:after="0" w:line="221" w:lineRule="auto"/>
        <w:tabs>
          <w:tab w:leader="none" w:pos="360" w:val="left"/>
        </w:tabs>
        <w:numPr>
          <w:ilvl w:val="0"/>
          <w:numId w:val="17"/>
        </w:numPr>
        <w:rPr>
          <w:rFonts w:ascii="Arial" w:cs="Arial" w:eastAsia="Arial" w:hAnsi="Arial"/>
          <w:sz w:val="12"/>
          <w:szCs w:val="12"/>
          <w:color w:val="auto"/>
        </w:rPr>
      </w:pPr>
      <w:r>
        <w:rPr>
          <w:rFonts w:ascii="Arial" w:cs="Arial" w:eastAsia="Arial" w:hAnsi="Arial"/>
          <w:sz w:val="14"/>
          <w:szCs w:val="14"/>
          <w:color w:val="auto"/>
        </w:rPr>
        <w:t>Excludes debt related costs.</w:t>
      </w:r>
    </w:p>
    <w:p>
      <w:pPr>
        <w:ind w:left="360" w:hanging="352"/>
        <w:spacing w:after="0" w:line="221" w:lineRule="auto"/>
        <w:tabs>
          <w:tab w:leader="none" w:pos="360" w:val="left"/>
        </w:tabs>
        <w:numPr>
          <w:ilvl w:val="0"/>
          <w:numId w:val="17"/>
        </w:numPr>
        <w:rPr>
          <w:rFonts w:ascii="Arial" w:cs="Arial" w:eastAsia="Arial" w:hAnsi="Arial"/>
          <w:sz w:val="12"/>
          <w:szCs w:val="12"/>
          <w:color w:val="auto"/>
        </w:rPr>
      </w:pPr>
      <w:r>
        <w:rPr>
          <w:rFonts w:ascii="Arial" w:cs="Arial" w:eastAsia="Arial" w:hAnsi="Arial"/>
          <w:sz w:val="14"/>
          <w:szCs w:val="14"/>
          <w:color w:val="auto"/>
        </w:rPr>
        <w:t>Credit Facility amendment and debt issuance costs, if any, are not annualized.</w:t>
      </w:r>
    </w:p>
    <w:p>
      <w:pPr>
        <w:ind w:left="380" w:right="80" w:hanging="372"/>
        <w:spacing w:after="0" w:line="271" w:lineRule="auto"/>
        <w:tabs>
          <w:tab w:leader="none" w:pos="380" w:val="left"/>
        </w:tabs>
        <w:numPr>
          <w:ilvl w:val="0"/>
          <w:numId w:val="17"/>
        </w:numPr>
        <w:rPr>
          <w:rFonts w:ascii="Arial" w:cs="Arial" w:eastAsia="Arial" w:hAnsi="Arial"/>
          <w:sz w:val="11"/>
          <w:szCs w:val="11"/>
          <w:color w:val="auto"/>
        </w:rPr>
      </w:pPr>
      <w:r>
        <w:rPr>
          <w:rFonts w:ascii="Arial" w:cs="Arial" w:eastAsia="Arial" w:hAnsi="Arial"/>
          <w:sz w:val="13"/>
          <w:szCs w:val="13"/>
          <w:color w:val="auto"/>
        </w:rPr>
        <w:t>The asset coverage ratio for a class of senior securities representing indebtedness is calculated on our consolidated total assets, less all liabilities and indebtedness not represented by senior securities, divided by the senior securities representing indebtedness. This asset coverage ratio is multiplied by $1,000 to determine the asset coverage per unit.</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DEBT</w:t>
      </w:r>
    </w:p>
    <w:p>
      <w:pPr>
        <w:spacing w:after="0" w:line="140" w:lineRule="exact"/>
        <w:rPr>
          <w:sz w:val="20"/>
          <w:szCs w:val="20"/>
          <w:color w:val="auto"/>
        </w:rPr>
      </w:pPr>
    </w:p>
    <w:p>
      <w:pPr>
        <w:jc w:val="both"/>
        <w:ind w:right="360" w:firstLine="438"/>
        <w:spacing w:after="0" w:line="238" w:lineRule="auto"/>
        <w:rPr>
          <w:sz w:val="20"/>
          <w:szCs w:val="20"/>
          <w:color w:val="auto"/>
        </w:rPr>
      </w:pPr>
      <w:r>
        <w:rPr>
          <w:rFonts w:ascii="Arial" w:cs="Arial" w:eastAsia="Arial" w:hAnsi="Arial"/>
          <w:sz w:val="14"/>
          <w:szCs w:val="14"/>
          <w:color w:val="auto"/>
        </w:rPr>
        <w:t>The annualized weighted average cost of debt for the nine months ended June 30, 2018 and 2017, inclusive of the fee on the undrawn commitment of 0.375% on the Credit Facility, amendment costs and debt issuance costs, was 7.26% and 3.02%, respectively. As of June 30, 2018, in accordance with the 1940 Act, with certain limited exceptions, we are only allowed to borrow amounts such that we are in compliance with a 200% asset coverage ratio requirement after such borrowing.</w:t>
      </w:r>
    </w:p>
    <w:p>
      <w:pPr>
        <w:spacing w:after="0" w:line="115" w:lineRule="exact"/>
        <w:rPr>
          <w:sz w:val="20"/>
          <w:szCs w:val="20"/>
          <w:color w:val="auto"/>
        </w:rPr>
      </w:pPr>
    </w:p>
    <w:p>
      <w:pPr>
        <w:ind w:right="140" w:firstLine="438"/>
        <w:spacing w:after="0" w:line="233" w:lineRule="auto"/>
        <w:rPr>
          <w:sz w:val="20"/>
          <w:szCs w:val="20"/>
          <w:color w:val="auto"/>
        </w:rPr>
      </w:pPr>
      <w:r>
        <w:rPr>
          <w:rFonts w:ascii="Arial" w:cs="Arial" w:eastAsia="Arial" w:hAnsi="Arial"/>
          <w:sz w:val="14"/>
          <w:szCs w:val="14"/>
          <w:color w:val="auto"/>
        </w:rPr>
        <w:t>On April 5, 2018, our board of directors approved the application of the modified asset coverage requirements set forth in Section 61(a)(2) of the 1940 Act, as amended by the Consolidated Appropriations Act of 2018 (which includes the Small Business Credit Availability Act). As a result, the asset coverage requirements applicable to us for senior securities will be reduced from 200% to 150%, effective as of April 5, 2019, subject to compliance with certain disclosure requirements. As of June 30, 2018 and September 30, 2017, our asset coverage ratio, as computed in accordance with the 1940 Act, was 237% and 278%,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Credit Facility</w:t>
      </w:r>
    </w:p>
    <w:p>
      <w:pPr>
        <w:spacing w:after="0" w:line="136" w:lineRule="exact"/>
        <w:rPr>
          <w:sz w:val="20"/>
          <w:szCs w:val="20"/>
          <w:color w:val="auto"/>
        </w:rPr>
      </w:pPr>
    </w:p>
    <w:p>
      <w:pPr>
        <w:ind w:right="20" w:firstLine="438"/>
        <w:spacing w:after="0" w:line="255" w:lineRule="auto"/>
        <w:rPr>
          <w:sz w:val="20"/>
          <w:szCs w:val="20"/>
          <w:color w:val="auto"/>
        </w:rPr>
      </w:pPr>
      <w:r>
        <w:rPr>
          <w:rFonts w:ascii="Arial" w:cs="Arial" w:eastAsia="Arial" w:hAnsi="Arial"/>
          <w:sz w:val="13"/>
          <w:szCs w:val="13"/>
          <w:color w:val="auto"/>
        </w:rPr>
        <w:t>Funding I’s multi-currency Credit Facility with affiliates of SunTrust Bank, or the Lenders, was $405 million as of June 30, 2018, subject to satisfaction of certain conditions and the regulatory restrictions that the 1940 Act imposes on us as a BDC, has an interest rate spread above LIBOR of 200 basis points, a maturity date of November 2022 and a revolving period that ends in November 2020. As of June 30, 2018 and September 30, 2017, Funding I had $255.7 million and $253.8 million of outstanding borrowings under the Credit Facility, respectively. The Credit Facility had a weighted average interest rate of 4.01% and 3.18%, exclusive of the fee on undrawn commitments as of June 30, 2018 and September 30, 2017, respectively.</w:t>
      </w:r>
    </w:p>
    <w:p>
      <w:pPr>
        <w:spacing w:after="0" w:line="107" w:lineRule="exact"/>
        <w:rPr>
          <w:sz w:val="20"/>
          <w:szCs w:val="20"/>
          <w:color w:val="auto"/>
        </w:rPr>
      </w:pPr>
    </w:p>
    <w:p>
      <w:pPr>
        <w:jc w:val="both"/>
        <w:ind w:right="580" w:firstLine="438"/>
        <w:spacing w:after="0" w:line="264" w:lineRule="auto"/>
        <w:rPr>
          <w:sz w:val="20"/>
          <w:szCs w:val="20"/>
          <w:color w:val="auto"/>
        </w:rPr>
      </w:pPr>
      <w:r>
        <w:rPr>
          <w:rFonts w:ascii="Arial" w:cs="Arial" w:eastAsia="Arial" w:hAnsi="Arial"/>
          <w:sz w:val="13"/>
          <w:szCs w:val="13"/>
          <w:color w:val="auto"/>
        </w:rPr>
        <w:t>During the revolving period, the Credit Facility bears interest at LIBOR plus 200 basis points and, after the revolving period, the rate sets to LIBOR plus 425 basis points for the remaining two years, maturing in November 2022. The Credit Facility is secured by all of the assets of Funding I.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101" w:lineRule="exact"/>
        <w:rPr>
          <w:sz w:val="20"/>
          <w:szCs w:val="20"/>
          <w:color w:val="auto"/>
        </w:rPr>
      </w:pPr>
    </w:p>
    <w:p>
      <w:pPr>
        <w:ind w:right="40" w:firstLine="438"/>
        <w:spacing w:after="0" w:line="255" w:lineRule="auto"/>
        <w:rPr>
          <w:sz w:val="20"/>
          <w:szCs w:val="20"/>
          <w:color w:val="auto"/>
        </w:rPr>
      </w:pPr>
      <w:r>
        <w:rPr>
          <w:rFonts w:ascii="Arial" w:cs="Arial" w:eastAsia="Arial" w:hAnsi="Arial"/>
          <w:sz w:val="13"/>
          <w:szCs w:val="13"/>
          <w:color w:val="auto"/>
        </w:rPr>
        <w:t>The Credit Facility contains covenants, including, but not limited to, restrictions of loan size,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For instance, we must maintain at least $25 million in equity and must maintain an interest coverage ratio of at least 125%. The Credit Facility compliance reporting is prepared on a basis of accounting other than GAAP. As of June 30, 2018, we were in compliance with the covenants relating to our Credit Facility.</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jc w:val="center"/>
        <w:ind w:right="-59"/>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ind w:right="-59"/>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59"/>
        <w:spacing w:after="0" w:line="221" w:lineRule="auto"/>
        <w:rPr>
          <w:sz w:val="20"/>
          <w:szCs w:val="20"/>
          <w:color w:val="auto"/>
        </w:rPr>
      </w:pPr>
      <w:r>
        <w:rPr>
          <w:rFonts w:ascii="Arial" w:cs="Arial" w:eastAsia="Arial" w:hAnsi="Arial"/>
          <w:sz w:val="14"/>
          <w:szCs w:val="14"/>
          <w:b w:val="1"/>
          <w:bCs w:val="1"/>
          <w:color w:val="auto"/>
        </w:rPr>
        <w:t>JUNE 30, 2018</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right="320" w:firstLine="438"/>
        <w:spacing w:after="0" w:line="253" w:lineRule="auto"/>
        <w:rPr>
          <w:sz w:val="20"/>
          <w:szCs w:val="20"/>
          <w:color w:val="auto"/>
        </w:rPr>
      </w:pPr>
      <w:r>
        <w:rPr>
          <w:rFonts w:ascii="Arial" w:cs="Arial" w:eastAsia="Arial" w:hAnsi="Arial"/>
          <w:sz w:val="14"/>
          <w:szCs w:val="14"/>
          <w:color w:val="auto"/>
        </w:rPr>
        <w:t>We own 100% of the equity interest in Funding I and treat the indebtedness of Funding I as our leverage. Our Investment Adviser serves as collateral manager to Funding I under the Credit Facility.</w:t>
      </w:r>
    </w:p>
    <w:p>
      <w:pPr>
        <w:spacing w:after="0" w:line="106" w:lineRule="exact"/>
        <w:rPr>
          <w:sz w:val="20"/>
          <w:szCs w:val="20"/>
          <w:color w:val="auto"/>
        </w:rPr>
      </w:pPr>
    </w:p>
    <w:p>
      <w:pPr>
        <w:ind w:right="20" w:firstLine="438"/>
        <w:spacing w:after="0" w:line="233" w:lineRule="auto"/>
        <w:rPr>
          <w:sz w:val="20"/>
          <w:szCs w:val="20"/>
          <w:color w:val="auto"/>
        </w:rPr>
      </w:pPr>
      <w:r>
        <w:rPr>
          <w:rFonts w:ascii="Arial" w:cs="Arial" w:eastAsia="Arial" w:hAnsi="Arial"/>
          <w:sz w:val="14"/>
          <w:szCs w:val="14"/>
          <w:color w:val="auto"/>
        </w:rPr>
        <w:t>Our interest in Funding I (other than the management fee) is subordinate in priority of payment to every other obligation of Funding I and is subject to certain payment restrictions set forth in the Credit Facility. We may receive cash distributions on our equity interests in Funding I only after it has made all required payments of (1) cash interest and, if applicable, principal to the Lenders, (2) administrative expenses and (3) claims of other unsecured creditors of Funding I. The Investment Adviser has irrevocably directed that any management fee owed with respect to such services is to be paid to the Company so long as the Investment Adviser remains the collateral manager.</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2023 Notes</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In November 2017, we issued $138.6 million of our 2023 Notes pursuant to a deed of trust between the Company and Mishmeret Trust Company, Ltd. as trustee.</w:t>
      </w:r>
    </w:p>
    <w:p>
      <w:pPr>
        <w:spacing w:after="0" w:line="136" w:lineRule="exact"/>
        <w:rPr>
          <w:sz w:val="20"/>
          <w:szCs w:val="20"/>
          <w:color w:val="auto"/>
        </w:rPr>
      </w:pPr>
    </w:p>
    <w:p>
      <w:pPr>
        <w:ind w:right="180" w:firstLine="438"/>
        <w:spacing w:after="0" w:line="233" w:lineRule="auto"/>
        <w:rPr>
          <w:sz w:val="20"/>
          <w:szCs w:val="20"/>
          <w:color w:val="auto"/>
        </w:rPr>
      </w:pPr>
      <w:r>
        <w:rPr>
          <w:rFonts w:ascii="Arial" w:cs="Arial" w:eastAsia="Arial" w:hAnsi="Arial"/>
          <w:sz w:val="14"/>
          <w:szCs w:val="14"/>
          <w:color w:val="auto"/>
        </w:rPr>
        <w:t>The 2023 Notes pay interest at a rate of 3.83% per year. Interest on the 2023 Notes is payable semi-annually in arrears on June 15 and December 15 of each year, commencing June 15, 2018. The principal on the 2023 Notes is payable in four annual installments as follows: 15% of the original principal amount on December 15, 2020, 15% of the original principal amount on December 15, 2021, 15% of the original principal amount on December 15, 2022 and 55% of the original principal amount on December 15, 2023.</w:t>
      </w:r>
    </w:p>
    <w:p>
      <w:pPr>
        <w:spacing w:after="0" w:line="117" w:lineRule="exact"/>
        <w:rPr>
          <w:sz w:val="20"/>
          <w:szCs w:val="20"/>
          <w:color w:val="auto"/>
        </w:rPr>
      </w:pPr>
    </w:p>
    <w:p>
      <w:pPr>
        <w:jc w:val="both"/>
        <w:ind w:firstLine="438"/>
        <w:spacing w:after="0" w:line="255" w:lineRule="auto"/>
        <w:rPr>
          <w:sz w:val="20"/>
          <w:szCs w:val="20"/>
          <w:color w:val="auto"/>
        </w:rPr>
      </w:pPr>
      <w:r>
        <w:rPr>
          <w:rFonts w:ascii="Arial" w:cs="Arial" w:eastAsia="Arial" w:hAnsi="Arial"/>
          <w:sz w:val="13"/>
          <w:szCs w:val="13"/>
          <w:color w:val="auto"/>
        </w:rPr>
        <w:t>The 2023 Notes are general, unsecured obligations, rank equal in right of payment with all of PennantPark Floating Rate Capital Ltd.’s existing and future unsecured indebtedness and are generally redeemable at our option. The deed of trust governing the 2023 Notes includes certain customary covenants, including minimum equity requirements, and events of default. Please refer to the deed of trust filed as Exhibit (d)(8) to our post-effective amendment filed on December 13, 2017 for more information. The 2023 Notes are rated ilAA- by S&amp;P Global Ratings Maalot Ltd. and are listed for trading on the TASE. In connection with this offering, we have dual listed our common stock on the TASE.</w:t>
      </w:r>
    </w:p>
    <w:p>
      <w:pPr>
        <w:spacing w:after="0" w:line="107" w:lineRule="exact"/>
        <w:rPr>
          <w:sz w:val="20"/>
          <w:szCs w:val="20"/>
          <w:color w:val="auto"/>
        </w:rPr>
      </w:pPr>
    </w:p>
    <w:p>
      <w:pPr>
        <w:ind w:right="300" w:firstLine="438"/>
        <w:spacing w:after="0" w:line="253" w:lineRule="auto"/>
        <w:rPr>
          <w:sz w:val="20"/>
          <w:szCs w:val="20"/>
          <w:color w:val="auto"/>
        </w:rPr>
      </w:pPr>
      <w:r>
        <w:rPr>
          <w:rFonts w:ascii="Arial" w:cs="Arial" w:eastAsia="Arial" w:hAnsi="Arial"/>
          <w:sz w:val="14"/>
          <w:szCs w:val="14"/>
          <w:color w:val="auto"/>
        </w:rPr>
        <w:t>The 2023 Notes have not been and will not be registered under the Securities Act and may not be offered or sold in the United States absent registration under the Securities Act or in transactions exempt from, or not subject to, such registration requirements.</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11. COMMITMENTS AND CONTINGENCIES</w:t>
      </w:r>
    </w:p>
    <w:p>
      <w:pPr>
        <w:spacing w:after="0" w:line="140" w:lineRule="exact"/>
        <w:rPr>
          <w:sz w:val="20"/>
          <w:szCs w:val="20"/>
          <w:color w:val="auto"/>
        </w:rPr>
      </w:pPr>
    </w:p>
    <w:p>
      <w:pPr>
        <w:ind w:right="40" w:firstLine="438"/>
        <w:spacing w:after="0" w:line="229" w:lineRule="auto"/>
        <w:rPr>
          <w:sz w:val="20"/>
          <w:szCs w:val="20"/>
          <w:color w:val="auto"/>
        </w:rPr>
      </w:pPr>
      <w:r>
        <w:rPr>
          <w:rFonts w:ascii="Arial" w:cs="Arial" w:eastAsia="Arial" w:hAnsi="Arial"/>
          <w:sz w:val="14"/>
          <w:szCs w:val="14"/>
          <w:color w:val="auto"/>
        </w:rPr>
        <w:t>From time to time, we, the Investment Adviser or the Administrator may be a party to legal proceedings,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and equity investments, if any, are disclosed in the Consolidated Schedules of Investments. As of June 30, 2018 and September 30, 2017, we had $60.0 million and $30.6 million, respectively, in commitments to fund investments. Additionally, as described in Note 4, the Company had commitments of up to $65.6 million and $44.6 million to PSSL as of June 30, 2018 and September 30, 2017, respectively, that may be contributed primarily for the purpose of funding new investments approved by the PSSL board of directors or investment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27" w:name="page28"/>
    <w:bookmarkEnd w:id="27"/>
    <w:p>
      <w:pPr>
        <w:jc w:val="center"/>
        <w:ind w:right="-19"/>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289" w:lineRule="exact"/>
        <w:rPr>
          <w:sz w:val="20"/>
          <w:szCs w:val="20"/>
          <w:color w:val="auto"/>
        </w:rPr>
      </w:pPr>
    </w:p>
    <w:p>
      <w:pPr>
        <w:ind w:right="5120"/>
        <w:spacing w:after="0" w:line="442" w:lineRule="auto"/>
        <w:rPr>
          <w:sz w:val="20"/>
          <w:szCs w:val="20"/>
          <w:color w:val="auto"/>
        </w:rPr>
      </w:pPr>
      <w:r>
        <w:rPr>
          <w:rFonts w:ascii="Arial" w:cs="Arial" w:eastAsia="Arial" w:hAnsi="Arial"/>
          <w:sz w:val="14"/>
          <w:szCs w:val="14"/>
          <w:color w:val="auto"/>
        </w:rPr>
        <w:t xml:space="preserve">To the Board of Directors and Stockholders of PennantPark Floating Rate Capital Ltd. and its Subsidiaries </w:t>
      </w:r>
      <w:r>
        <w:rPr>
          <w:rFonts w:ascii="Arial" w:cs="Arial" w:eastAsia="Arial" w:hAnsi="Arial"/>
          <w:sz w:val="14"/>
          <w:szCs w:val="14"/>
          <w:b w:val="1"/>
          <w:bCs w:val="1"/>
          <w:color w:val="auto"/>
        </w:rPr>
        <w:t>Results of Review of Interim Financial Statements</w:t>
      </w:r>
    </w:p>
    <w:p>
      <w:pPr>
        <w:spacing w:after="0" w:line="1" w:lineRule="exact"/>
        <w:rPr>
          <w:sz w:val="20"/>
          <w:szCs w:val="20"/>
          <w:color w:val="auto"/>
        </w:rPr>
      </w:pPr>
    </w:p>
    <w:p>
      <w:pPr>
        <w:ind w:right="220"/>
        <w:spacing w:after="0" w:line="251" w:lineRule="auto"/>
        <w:rPr>
          <w:sz w:val="20"/>
          <w:szCs w:val="20"/>
          <w:color w:val="auto"/>
        </w:rPr>
      </w:pPr>
      <w:r>
        <w:rPr>
          <w:rFonts w:ascii="Arial" w:cs="Arial" w:eastAsia="Arial" w:hAnsi="Arial"/>
          <w:sz w:val="13"/>
          <w:szCs w:val="13"/>
          <w:color w:val="auto"/>
        </w:rPr>
        <w:t>We have reviewed the accompanying consolidated statement of assets and liabilities of PennantPark Floating Rate Capital Ltd. and its Subsidiaries (collectively referred to as the “Company”), including the consolidated schedule of investments, as of June 30, 2018, the related consolidated statements of operations for the three-month and nine-month periods ended June 30, 2018 and 2017, the related consolidated statements of changes in net assets and cash flows for the nine-month periods ended June 30, 2018 and 2017 and the related notes to the consolidated financial statements (collectively, the interim financial statements). Based on our reviews, we are not aware of any material modifications that should be made to the condensed financial statements referred to above for them to be in conformity with accounting principles generally accepted in the United States of America.</w:t>
      </w:r>
    </w:p>
    <w:p>
      <w:pPr>
        <w:spacing w:after="0" w:line="109" w:lineRule="exact"/>
        <w:rPr>
          <w:sz w:val="20"/>
          <w:szCs w:val="20"/>
          <w:color w:val="auto"/>
        </w:rPr>
      </w:pPr>
    </w:p>
    <w:p>
      <w:pPr>
        <w:spacing w:after="0" w:line="231" w:lineRule="auto"/>
        <w:rPr>
          <w:sz w:val="20"/>
          <w:szCs w:val="20"/>
          <w:color w:val="auto"/>
        </w:rPr>
      </w:pPr>
      <w:r>
        <w:rPr>
          <w:rFonts w:ascii="Arial" w:cs="Arial" w:eastAsia="Arial" w:hAnsi="Arial"/>
          <w:sz w:val="14"/>
          <w:szCs w:val="14"/>
          <w:color w:val="auto"/>
        </w:rPr>
        <w:t>We have previously audited, in accordance with the standards of the Public Company Accounting Oversight Board (United States) (PCAOB), the consolidated statement of assets and liabilities of the Company, including the consolidated schedule of investments, as of September 30, 2017, and the related consolidated statement of operations, changes in net assets, and cash flows for the year then ended (not presented herein); and in our report dated November 30, 2017, we expressed an unqualified opinion on those financial statements. In our opinion, the information set forth in the accompanying consolidated statements of assets and liabilities as of September 30, 2017, is fairly stated, in all material respects, in relation to the balance sheet from which it has been derived.</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for Review Results</w:t>
      </w:r>
    </w:p>
    <w:p>
      <w:pPr>
        <w:spacing w:after="0" w:line="140" w:lineRule="exact"/>
        <w:rPr>
          <w:sz w:val="20"/>
          <w:szCs w:val="20"/>
          <w:color w:val="auto"/>
        </w:rPr>
      </w:pPr>
    </w:p>
    <w:p>
      <w:pPr>
        <w:ind w:right="40"/>
        <w:spacing w:after="0" w:line="231" w:lineRule="auto"/>
        <w:rPr>
          <w:sz w:val="20"/>
          <w:szCs w:val="20"/>
          <w:color w:val="auto"/>
        </w:rPr>
      </w:pPr>
      <w:r>
        <w:rPr>
          <w:rFonts w:ascii="Arial" w:cs="Arial" w:eastAsia="Arial" w:hAnsi="Arial"/>
          <w:sz w:val="14"/>
          <w:szCs w:val="14"/>
          <w:color w:val="auto"/>
        </w:rPr>
        <w:t>These interim financial statements are the responsibility of the Company’s management. We conducted our reviews in accordance with the standards of the PCAOB. A review of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/s/ RSM US LLP</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New York, New York</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August 8, 2018</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28" w:name="page29"/>
    <w:bookmarkEnd w:id="28"/>
    <w:p>
      <w:pPr>
        <w:spacing w:after="0"/>
        <w:tabs>
          <w:tab w:leader="none" w:pos="740" w:val="left"/>
        </w:tabs>
        <w:rPr>
          <w:sz w:val="20"/>
          <w:szCs w:val="20"/>
          <w:color w:val="auto"/>
        </w:rPr>
      </w:pPr>
      <w:r>
        <w:rPr>
          <w:rFonts w:ascii="Arial" w:cs="Arial" w:eastAsia="Arial" w:hAnsi="Arial"/>
          <w:sz w:val="14"/>
          <w:szCs w:val="14"/>
          <w:b w:val="1"/>
          <w:bCs w:val="1"/>
          <w:color w:val="auto"/>
        </w:rPr>
        <w:t>Item 2.</w:t>
      </w:r>
      <w:r>
        <w:rPr>
          <w:sz w:val="20"/>
          <w:szCs w:val="20"/>
          <w:color w:val="auto"/>
        </w:rPr>
        <w:tab/>
      </w:r>
      <w:r>
        <w:rPr>
          <w:rFonts w:ascii="Arial" w:cs="Arial" w:eastAsia="Arial" w:hAnsi="Arial"/>
          <w:sz w:val="14"/>
          <w:szCs w:val="14"/>
          <w:b w:val="1"/>
          <w:bCs w:val="1"/>
          <w:color w:val="auto"/>
        </w:rPr>
        <w:t>MANAGEMENT’S DISCUSSION AND ANALYSIS OF FINANCIAL CONDITION AND RESULTS OF OPERATIONS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FORWARD-LOOKING STATEMENTS</w:t>
      </w:r>
    </w:p>
    <w:p>
      <w:pPr>
        <w:spacing w:after="0" w:line="140" w:lineRule="exact"/>
        <w:rPr>
          <w:sz w:val="20"/>
          <w:szCs w:val="20"/>
          <w:color w:val="auto"/>
        </w:rPr>
      </w:pPr>
    </w:p>
    <w:p>
      <w:pPr>
        <w:jc w:val="both"/>
        <w:ind w:right="100" w:firstLine="496"/>
        <w:spacing w:after="0" w:line="233" w:lineRule="auto"/>
        <w:rPr>
          <w:sz w:val="20"/>
          <w:szCs w:val="20"/>
          <w:color w:val="auto"/>
        </w:rPr>
      </w:pPr>
      <w:r>
        <w:rPr>
          <w:rFonts w:ascii="Arial" w:cs="Arial" w:eastAsia="Arial" w:hAnsi="Arial"/>
          <w:sz w:val="14"/>
          <w:szCs w:val="14"/>
          <w:color w:val="auto"/>
        </w:rPr>
        <w:t>This Report, including Management’s Discussion and Analysis of Financial Condition and Results of Operations, contains statements that constitute forward-looking statements, which relate to us and our consolidated subsidiaries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in this Report involve risks and uncertainties, including statements as to:</w:t>
      </w:r>
    </w:p>
    <w:p>
      <w:pPr>
        <w:spacing w:after="0" w:line="117" w:lineRule="exact"/>
        <w:rPr>
          <w:sz w:val="20"/>
          <w:szCs w:val="20"/>
          <w:color w:val="auto"/>
        </w:rPr>
      </w:pPr>
    </w:p>
    <w:p>
      <w:pPr>
        <w:ind w:left="920" w:hanging="372"/>
        <w:spacing w:after="0"/>
        <w:tabs>
          <w:tab w:leader="none" w:pos="9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our future operating results;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our business prospects and the prospects of our prospective portfolio companies;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dependence of our future success on the general economy and its impact on the industries in which we invest;</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impact of a protracted decline in the liquidity of credit markets on our business;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impact of investments that we expect to make;</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impact of fluctuations in interest rates and foreign exchange rates on our business and our portfolio companies;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our contractual arrangements and relationships with third parties;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valuation of our investments in portfolio companies, particularly those having no liquid trading market;</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ability of our prospective portfolio companies to achieve their objectives;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our expected financings and investments and ability to fund capital commitments to PSSL;</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adequacy of our cash resources and working capital;</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timing of cash flows, if any, from the operations of our prospective portfolio companies;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impact of price and volume fluctuations in the stock market;</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ability of our Investment Adviser to locate suitable investments for us and to monitor and administer our investments;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impact of future legislation and regulation on our business and our portfolio companies; and</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impact of European sovereign debt, Brexit and other world economic and political issues.</w:t>
      </w:r>
    </w:p>
    <w:p>
      <w:pPr>
        <w:spacing w:after="0" w:line="136" w:lineRule="exact"/>
        <w:rPr>
          <w:sz w:val="20"/>
          <w:szCs w:val="20"/>
          <w:color w:val="auto"/>
        </w:rPr>
      </w:pPr>
    </w:p>
    <w:p>
      <w:pPr>
        <w:ind w:right="140" w:firstLine="438"/>
        <w:spacing w:after="0" w:line="253" w:lineRule="auto"/>
        <w:rPr>
          <w:sz w:val="20"/>
          <w:szCs w:val="20"/>
          <w:color w:val="auto"/>
        </w:rPr>
      </w:pPr>
      <w:r>
        <w:rPr>
          <w:rFonts w:ascii="Arial" w:cs="Arial" w:eastAsia="Arial" w:hAnsi="Arial"/>
          <w:sz w:val="14"/>
          <w:szCs w:val="14"/>
          <w:color w:val="auto"/>
        </w:rPr>
        <w:t>We use words such as “anticipates,” “believes,” “expects,” “intends,” “seeks,” “plans,” “estimates” and similar expressions to identify forward-looking statements. You should not place undue influence on the forward-looking statements as our actual results could differ materially from those projected in the forward-looking statements for any reason.</w:t>
      </w:r>
    </w:p>
    <w:p>
      <w:pPr>
        <w:spacing w:after="0" w:line="106" w:lineRule="exact"/>
        <w:rPr>
          <w:sz w:val="20"/>
          <w:szCs w:val="20"/>
          <w:color w:val="auto"/>
        </w:rPr>
      </w:pPr>
    </w:p>
    <w:p>
      <w:pPr>
        <w:jc w:val="both"/>
        <w:ind w:right="40" w:firstLine="438"/>
        <w:spacing w:after="0" w:line="233" w:lineRule="auto"/>
        <w:rPr>
          <w:sz w:val="20"/>
          <w:szCs w:val="20"/>
          <w:color w:val="auto"/>
        </w:rPr>
      </w:pPr>
      <w:r>
        <w:rPr>
          <w:rFonts w:ascii="Arial" w:cs="Arial" w:eastAsia="Arial" w:hAnsi="Arial"/>
          <w:sz w:val="14"/>
          <w:szCs w:val="14"/>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Report should not be regarded as a representation by us that our plans and objectives will be achieved.</w:t>
      </w:r>
    </w:p>
    <w:p>
      <w:pPr>
        <w:spacing w:after="0" w:line="117" w:lineRule="exact"/>
        <w:rPr>
          <w:sz w:val="20"/>
          <w:szCs w:val="20"/>
          <w:color w:val="auto"/>
        </w:rPr>
      </w:pPr>
    </w:p>
    <w:p>
      <w:pPr>
        <w:ind w:right="80" w:firstLine="438"/>
        <w:spacing w:after="0" w:line="233" w:lineRule="auto"/>
        <w:rPr>
          <w:sz w:val="20"/>
          <w:szCs w:val="20"/>
          <w:color w:val="auto"/>
        </w:rPr>
      </w:pPr>
      <w:r>
        <w:rPr>
          <w:rFonts w:ascii="Arial" w:cs="Arial" w:eastAsia="Arial" w:hAnsi="Arial"/>
          <w:sz w:val="14"/>
          <w:szCs w:val="14"/>
          <w:color w:val="auto"/>
        </w:rPr>
        <w:t>We have based the forward-looking statements included in this Report on information available to us on the date of this Report, and we assume no obligation to update any such forward-looking statements. Although we undertake no obligation to revise or update any forward-looking statements in this Report, whether as a result of new information, future events or otherwise, you are advised to consult any additional disclosures that we may make directly to you or through reports that we in the future may file with the SEC, including reports on Form 10-Q/K and current reports on Form 8-K.</w:t>
      </w:r>
    </w:p>
    <w:p>
      <w:pPr>
        <w:spacing w:after="0" w:line="117" w:lineRule="exact"/>
        <w:rPr>
          <w:sz w:val="20"/>
          <w:szCs w:val="20"/>
          <w:color w:val="auto"/>
        </w:rPr>
      </w:pPr>
    </w:p>
    <w:p>
      <w:pPr>
        <w:ind w:right="520" w:firstLine="438"/>
        <w:spacing w:after="0" w:line="253" w:lineRule="auto"/>
        <w:rPr>
          <w:sz w:val="20"/>
          <w:szCs w:val="20"/>
          <w:color w:val="auto"/>
        </w:rPr>
      </w:pPr>
      <w:r>
        <w:rPr>
          <w:rFonts w:ascii="Arial" w:cs="Arial" w:eastAsia="Arial" w:hAnsi="Arial"/>
          <w:sz w:val="14"/>
          <w:szCs w:val="14"/>
          <w:color w:val="auto"/>
        </w:rPr>
        <w:t>You should understand that under Section 27A(b)(2)(B) of the Securities Act and Section 21E(b)(2)(B) of the Exchange Act, the “safe harbor” provisions of the Private Securities Litigation Reform Act of 1995 do not apply to forward-looking statements made in periodic reports we file under the Exchange Act.</w:t>
      </w:r>
    </w:p>
    <w:p>
      <w:pPr>
        <w:spacing w:after="0" w:line="106" w:lineRule="exact"/>
        <w:rPr>
          <w:sz w:val="20"/>
          <w:szCs w:val="20"/>
          <w:color w:val="auto"/>
        </w:rPr>
      </w:pPr>
    </w:p>
    <w:p>
      <w:pPr>
        <w:ind w:right="560" w:firstLine="438"/>
        <w:spacing w:after="0" w:line="253" w:lineRule="auto"/>
        <w:rPr>
          <w:sz w:val="20"/>
          <w:szCs w:val="20"/>
          <w:color w:val="auto"/>
        </w:rPr>
      </w:pPr>
      <w:r>
        <w:rPr>
          <w:rFonts w:ascii="Arial" w:cs="Arial" w:eastAsia="Arial" w:hAnsi="Arial"/>
          <w:sz w:val="14"/>
          <w:szCs w:val="14"/>
          <w:color w:val="auto"/>
        </w:rPr>
        <w:t>The following analysis of our financial condition and results of operations should be read in conjunction with our Consolidated Financial Statements and the related notes thereto contained elsewhere in this Report.</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Overview</w:t>
      </w:r>
    </w:p>
    <w:p>
      <w:pPr>
        <w:spacing w:after="0" w:line="136" w:lineRule="exact"/>
        <w:rPr>
          <w:sz w:val="20"/>
          <w:szCs w:val="20"/>
          <w:color w:val="auto"/>
        </w:rPr>
      </w:pPr>
    </w:p>
    <w:p>
      <w:pPr>
        <w:ind w:right="60" w:firstLine="438"/>
        <w:spacing w:after="0" w:line="253" w:lineRule="auto"/>
        <w:rPr>
          <w:sz w:val="20"/>
          <w:szCs w:val="20"/>
          <w:color w:val="auto"/>
        </w:rPr>
      </w:pPr>
      <w:r>
        <w:rPr>
          <w:rFonts w:ascii="Arial" w:cs="Arial" w:eastAsia="Arial" w:hAnsi="Arial"/>
          <w:sz w:val="14"/>
          <w:szCs w:val="14"/>
          <w:color w:val="auto"/>
        </w:rPr>
        <w:t>PennantPark Floating Rate Capital Ltd. is a BDC whose objectives are to generate both current income and capital appreciation while seeking to preserve capital by investing primarily in Floating Rate Loans and other investments made to U.S. middle-market companies.</w:t>
      </w:r>
    </w:p>
    <w:p>
      <w:pPr>
        <w:spacing w:after="0" w:line="106" w:lineRule="exact"/>
        <w:rPr>
          <w:sz w:val="20"/>
          <w:szCs w:val="20"/>
          <w:color w:val="auto"/>
        </w:rPr>
      </w:pPr>
    </w:p>
    <w:p>
      <w:pPr>
        <w:ind w:firstLine="438"/>
        <w:spacing w:after="0" w:line="247" w:lineRule="auto"/>
        <w:rPr>
          <w:sz w:val="20"/>
          <w:szCs w:val="20"/>
          <w:color w:val="auto"/>
        </w:rPr>
      </w:pPr>
      <w:r>
        <w:rPr>
          <w:rFonts w:ascii="Arial" w:cs="Arial" w:eastAsia="Arial" w:hAnsi="Arial"/>
          <w:sz w:val="13"/>
          <w:szCs w:val="13"/>
          <w:color w:val="auto"/>
        </w:rPr>
        <w:t>We believe that Floating Rate Loans to U.S. middle-market companies offer attractive risk-reward to investors due to a limited amount of capital available for such companies and the potential for rising interest rates. We use the term “middle-market” to refer to companies with annual revenues between $50 million and $1 billion. Our investments are typically rated below investment grade. Securities rated below investment grade are often referred to as “leveraged loans” or “high yield” securities or “junk bonds” and are often higher risk compared to debt instruments that are rated above investment grade and have speculative characteristics. However, when compared to junk bonds and other non-investment grade debt, senior secured Floating Rate Loans typically have more robust capital-preserving qualities, such as historically lower default rates than junk bonds, represent the senior source of capital in a borrower’s capital structure and often have certain of the borrower’s assets pledged as collateral.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111" w:lineRule="exact"/>
        <w:rPr>
          <w:sz w:val="20"/>
          <w:szCs w:val="20"/>
          <w:color w:val="auto"/>
        </w:rPr>
      </w:pPr>
    </w:p>
    <w:p>
      <w:pPr>
        <w:ind w:right="440" w:firstLine="438"/>
        <w:spacing w:after="0" w:line="253" w:lineRule="auto"/>
        <w:rPr>
          <w:sz w:val="20"/>
          <w:szCs w:val="20"/>
          <w:color w:val="auto"/>
        </w:rPr>
      </w:pPr>
      <w:r>
        <w:rPr>
          <w:rFonts w:ascii="Arial" w:cs="Arial" w:eastAsia="Arial" w:hAnsi="Arial"/>
          <w:sz w:val="14"/>
          <w:szCs w:val="14"/>
          <w:color w:val="auto"/>
        </w:rPr>
        <w:t>Under normal market conditions, we generally expect that at least 80% of the value of our Managed Assets will be invested in Floating Rate Loans and other investments bearing a variable-rate of interest. We generally expect that first lien secured debt will represent at least 65% of our overall portfolio. We also generally expect</w:t>
      </w: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265" w:right="359" w:bottom="1440" w:gutter="0" w:footer="0" w:header="0"/>
        </w:sectPr>
      </w:pPr>
    </w:p>
    <w:bookmarkStart w:id="29" w:name="page30"/>
    <w:bookmarkEnd w:id="29"/>
    <w:p>
      <w:pPr>
        <w:ind w:right="200"/>
        <w:spacing w:after="0" w:line="238" w:lineRule="auto"/>
        <w:rPr>
          <w:sz w:val="20"/>
          <w:szCs w:val="20"/>
          <w:color w:val="auto"/>
        </w:rPr>
      </w:pPr>
      <w:r>
        <w:rPr>
          <w:rFonts w:ascii="Arial" w:cs="Arial" w:eastAsia="Arial" w:hAnsi="Arial"/>
          <w:sz w:val="14"/>
          <w:szCs w:val="14"/>
          <w:color w:val="auto"/>
        </w:rPr>
        <w:t>to invest up to 35% of our overall portfolio opportunistically in other types of investments, including second lien secured debt and subordinated debt and, to a lesser extent, equity investments. We seek to create a diversified portfolio by generally targeting an investment size between $5 million and $30 million, on average, although we expect that this investment size will vary proportionately with the size of our capital base.</w:t>
      </w:r>
    </w:p>
    <w:p>
      <w:pPr>
        <w:spacing w:after="0" w:line="115" w:lineRule="exact"/>
        <w:rPr>
          <w:sz w:val="20"/>
          <w:szCs w:val="20"/>
          <w:color w:val="auto"/>
        </w:rPr>
      </w:pPr>
    </w:p>
    <w:p>
      <w:pPr>
        <w:ind w:right="200" w:firstLine="438"/>
        <w:spacing w:after="0" w:line="238" w:lineRule="auto"/>
        <w:rPr>
          <w:sz w:val="20"/>
          <w:szCs w:val="20"/>
          <w:color w:val="auto"/>
        </w:rPr>
      </w:pPr>
      <w:r>
        <w:rPr>
          <w:rFonts w:ascii="Arial" w:cs="Arial" w:eastAsia="Arial" w:hAnsi="Arial"/>
          <w:sz w:val="14"/>
          <w:szCs w:val="14"/>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debt capital, proceeds from the rotation of our portfolio and proceeds from public and private offerings of securities to finance our investment objectives.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Organization and Structure of PennantPark Floating Rate Capital Ltd.</w:t>
      </w:r>
    </w:p>
    <w:p>
      <w:pPr>
        <w:spacing w:after="0" w:line="136" w:lineRule="exact"/>
        <w:rPr>
          <w:sz w:val="20"/>
          <w:szCs w:val="20"/>
          <w:color w:val="auto"/>
        </w:rPr>
      </w:pPr>
    </w:p>
    <w:p>
      <w:pPr>
        <w:ind w:right="140" w:firstLine="438"/>
        <w:spacing w:after="0" w:line="290" w:lineRule="auto"/>
        <w:rPr>
          <w:sz w:val="20"/>
          <w:szCs w:val="20"/>
          <w:color w:val="auto"/>
        </w:rPr>
      </w:pPr>
      <w:r>
        <w:rPr>
          <w:rFonts w:ascii="Arial" w:cs="Arial" w:eastAsia="Arial" w:hAnsi="Arial"/>
          <w:sz w:val="13"/>
          <w:szCs w:val="13"/>
          <w:color w:val="auto"/>
        </w:rPr>
        <w:t>PennantPark Floating Rate Capital Ltd., a Maryland corporation organized in October 2010, is a closed-end, externally managed, non-diversified investment company that has elected to be treated as a BDC under the 1940 Act. In addition, for federal income tax purposes we elected to be treated, and intend to qualify annually, as a RIC under the Code.</w:t>
      </w:r>
    </w:p>
    <w:p>
      <w:pPr>
        <w:spacing w:after="0" w:line="84" w:lineRule="exact"/>
        <w:rPr>
          <w:sz w:val="20"/>
          <w:szCs w:val="20"/>
          <w:color w:val="auto"/>
        </w:rPr>
      </w:pPr>
    </w:p>
    <w:p>
      <w:pPr>
        <w:ind w:right="20" w:firstLine="438"/>
        <w:spacing w:after="0" w:line="229" w:lineRule="auto"/>
        <w:rPr>
          <w:sz w:val="20"/>
          <w:szCs w:val="20"/>
          <w:color w:val="auto"/>
        </w:rPr>
      </w:pPr>
      <w:r>
        <w:rPr>
          <w:rFonts w:ascii="Arial" w:cs="Arial" w:eastAsia="Arial" w:hAnsi="Arial"/>
          <w:sz w:val="14"/>
          <w:szCs w:val="14"/>
          <w:color w:val="auto"/>
        </w:rPr>
        <w:t>Our investment activities are managed by the Investment Adviser. Under our Investment Management Agreement, we have agreed to pay our Investment Adviser an annual base management fee based on our average adjusted gross total assets as well as an incentive fee based on our investment performance. We have also entered into an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Our board of directors, a majority of whom are independent of us, provides overall supervision of our activities, and the Investment Adviser supervises our day-to-day activities.</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Revenues</w:t>
      </w:r>
    </w:p>
    <w:p>
      <w:pPr>
        <w:spacing w:after="0" w:line="136" w:lineRule="exact"/>
        <w:rPr>
          <w:sz w:val="20"/>
          <w:szCs w:val="20"/>
          <w:color w:val="auto"/>
        </w:rPr>
      </w:pPr>
    </w:p>
    <w:p>
      <w:pPr>
        <w:ind w:right="40" w:firstLine="438"/>
        <w:spacing w:after="0" w:line="244" w:lineRule="auto"/>
        <w:rPr>
          <w:sz w:val="20"/>
          <w:szCs w:val="20"/>
          <w:color w:val="auto"/>
        </w:rPr>
      </w:pPr>
      <w:r>
        <w:rPr>
          <w:rFonts w:ascii="Arial" w:cs="Arial" w:eastAsia="Arial" w:hAnsi="Arial"/>
          <w:sz w:val="13"/>
          <w:szCs w:val="13"/>
          <w:color w:val="auto"/>
        </w:rPr>
        <w:t>We generate revenue in the form of interest income on the debt securities we hold and capital gains and dividends, if any, on investment securities that we may acquire in portfolio companies. Our debt investments, whether in the form of first lien secured debt, second lien secured debt or subordinated debt, typically have a term of three to ten years and bear interest at a fixed or floating rate. Interest on debt securities is generally payable quarterly or semiannually. In some cases, our investments provide for deferred interest payments and PIK interest. The principal amount of the debt securities and any accrued but unpaid interest generally becomes due at the maturity date. In addition, we may generate revenue in the form of amendment, commitment, origination, structuring or diligence fees, fees for providing significant managerial assistance and possibly consulting fees. Loan origination fees, OID and market discount or premium are capitalized and accreted or amortized using the effective interest method as interest income or, in the case of deferred financing costs, as interest expense.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 Litigation settlements are accounted for in accordance with the gain contingency provisions of ASC 450-30.</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Expenses</w:t>
      </w:r>
    </w:p>
    <w:p>
      <w:pPr>
        <w:spacing w:after="0" w:line="136" w:lineRule="exact"/>
        <w:rPr>
          <w:sz w:val="20"/>
          <w:szCs w:val="20"/>
          <w:color w:val="auto"/>
        </w:rPr>
      </w:pPr>
    </w:p>
    <w:p>
      <w:pPr>
        <w:ind w:firstLine="438"/>
        <w:spacing w:after="0" w:line="233" w:lineRule="auto"/>
        <w:rPr>
          <w:sz w:val="20"/>
          <w:szCs w:val="20"/>
          <w:color w:val="auto"/>
        </w:rPr>
      </w:pPr>
      <w:r>
        <w:rPr>
          <w:rFonts w:ascii="Arial" w:cs="Arial" w:eastAsia="Arial" w:hAnsi="Arial"/>
          <w:sz w:val="14"/>
          <w:szCs w:val="14"/>
          <w:color w:val="auto"/>
        </w:rPr>
        <w:t>Our primary operating expenses include the payment of a management fee and the payment of an incentive fee to our Investment Adviser, if any,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and unused commitment fees on undrawn amounts, under our various debt facilities. We bear all other direct or indirect costs and expenses of our operations and transactions, including:</w:t>
      </w:r>
    </w:p>
    <w:p>
      <w:pPr>
        <w:spacing w:after="0" w:line="117" w:lineRule="exact"/>
        <w:rPr>
          <w:sz w:val="20"/>
          <w:szCs w:val="20"/>
          <w:color w:val="auto"/>
        </w:rPr>
      </w:pPr>
    </w:p>
    <w:p>
      <w:pPr>
        <w:ind w:left="920" w:hanging="372"/>
        <w:spacing w:after="0"/>
        <w:tabs>
          <w:tab w:leader="none" w:pos="9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cost of calculating our net asset value, including the cost of any third-party valuation services;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cost of effecting sales and repurchases of shares of our common stock and other securities;</w:t>
      </w:r>
    </w:p>
    <w:p>
      <w:pPr>
        <w:spacing w:after="0" w:line="136" w:lineRule="exact"/>
        <w:rPr>
          <w:rFonts w:ascii="Arial" w:cs="Arial" w:eastAsia="Arial" w:hAnsi="Arial"/>
          <w:sz w:val="14"/>
          <w:szCs w:val="14"/>
          <w:color w:val="auto"/>
        </w:rPr>
      </w:pPr>
    </w:p>
    <w:p>
      <w:pPr>
        <w:ind w:left="920" w:right="100" w:hanging="372"/>
        <w:spacing w:after="0" w:line="253" w:lineRule="auto"/>
        <w:tabs>
          <w:tab w:leader="none" w:pos="9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fees payable to third parties relating to, or associated with, making investments, including fees and expenses associated with performing due diligence and reviews of prospective investments or complementary businesses;</w:t>
      </w:r>
    </w:p>
    <w:p>
      <w:pPr>
        <w:spacing w:after="0" w:line="106" w:lineRule="exact"/>
        <w:rPr>
          <w:rFonts w:ascii="Arial" w:cs="Arial" w:eastAsia="Arial" w:hAnsi="Arial"/>
          <w:sz w:val="14"/>
          <w:szCs w:val="14"/>
          <w:color w:val="auto"/>
        </w:rPr>
      </w:pPr>
    </w:p>
    <w:p>
      <w:pPr>
        <w:ind w:left="920" w:hanging="372"/>
        <w:spacing w:after="0"/>
        <w:tabs>
          <w:tab w:leader="none" w:pos="9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expenses incurred by the Investment Adviser in performing due diligence and reviews of investments;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transfer agent and custodial fees;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fees and expenses associated with marketing efforts;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federal and state registration fees and any exchange listing fees;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federal, state, local and foreign taxes;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independent directors’ fees and expenses;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brokerage commissions;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fidelity bond, directors and officers, errors and omissions liability insurance and other insurance premiums;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direct costs such as printing, mailing, long distance telephone and staff;</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fees and expenses associated with independent audits and outside legal costs;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costs associated with our reporting and compliance obligations under the 1940 Act and applicable federal and state securities laws; and</w:t>
      </w:r>
    </w:p>
    <w:p>
      <w:pPr>
        <w:spacing w:after="0" w:line="136" w:lineRule="exact"/>
        <w:rPr>
          <w:rFonts w:ascii="Arial" w:cs="Arial" w:eastAsia="Arial" w:hAnsi="Arial"/>
          <w:sz w:val="14"/>
          <w:szCs w:val="14"/>
          <w:color w:val="auto"/>
        </w:rPr>
      </w:pPr>
    </w:p>
    <w:p>
      <w:pPr>
        <w:jc w:val="both"/>
        <w:ind w:left="920" w:right="80" w:hanging="372"/>
        <w:spacing w:after="0" w:line="264" w:lineRule="auto"/>
        <w:tabs>
          <w:tab w:leader="none" w:pos="920" w:val="left"/>
        </w:tabs>
        <w:numPr>
          <w:ilvl w:val="0"/>
          <w:numId w:val="19"/>
        </w:numPr>
        <w:rPr>
          <w:rFonts w:ascii="Arial" w:cs="Arial" w:eastAsia="Arial" w:hAnsi="Arial"/>
          <w:sz w:val="13"/>
          <w:szCs w:val="13"/>
          <w:color w:val="auto"/>
        </w:rPr>
      </w:pPr>
      <w:r>
        <w:rPr>
          <w:rFonts w:ascii="Arial" w:cs="Arial" w:eastAsia="Arial" w:hAnsi="Arial"/>
          <w:sz w:val="13"/>
          <w:szCs w:val="13"/>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30" w:name="page31"/>
    <w:bookmarkEnd w:id="30"/>
    <w:p>
      <w:pPr>
        <w:ind w:right="40" w:firstLine="438"/>
        <w:spacing w:after="0" w:line="253" w:lineRule="auto"/>
        <w:rPr>
          <w:sz w:val="20"/>
          <w:szCs w:val="20"/>
          <w:color w:val="auto"/>
        </w:rPr>
      </w:pPr>
      <w:r>
        <w:rPr>
          <w:rFonts w:ascii="Arial" w:cs="Arial" w:eastAsia="Arial" w:hAnsi="Arial"/>
          <w:sz w:val="14"/>
          <w:szCs w:val="14"/>
          <w:color w:val="auto"/>
        </w:rPr>
        <w:t>Generally, during periods of asset growth, we expect our general and administrative expenses to be relatively stable or to decline as a percentage of total assets and increase during periods of asset declines. Incentive fees, interest expense and costs relating to future offerings of securities would be additive to the expenses described above.</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PORTFOLIO AND INVESTMENT ACTIVITY</w:t>
      </w:r>
    </w:p>
    <w:p>
      <w:pPr>
        <w:spacing w:after="0" w:line="140" w:lineRule="exact"/>
        <w:rPr>
          <w:sz w:val="20"/>
          <w:szCs w:val="20"/>
          <w:color w:val="auto"/>
        </w:rPr>
      </w:pPr>
    </w:p>
    <w:p>
      <w:pPr>
        <w:ind w:right="60" w:firstLine="438"/>
        <w:spacing w:after="0" w:line="229" w:lineRule="auto"/>
        <w:rPr>
          <w:sz w:val="20"/>
          <w:szCs w:val="20"/>
          <w:color w:val="auto"/>
        </w:rPr>
      </w:pPr>
      <w:r>
        <w:rPr>
          <w:rFonts w:ascii="Arial" w:cs="Arial" w:eastAsia="Arial" w:hAnsi="Arial"/>
          <w:sz w:val="14"/>
          <w:szCs w:val="14"/>
          <w:color w:val="auto"/>
        </w:rPr>
        <w:t>As of June 30, 2018, our portfolio totaled $907.2 million and consisted of $820.0 million of first lien secured debt (of which $82.7 million was invested in PSSL), $35.2 million of second lien secured debt and $52.0 million of subordinated debt, preferred and common equity (of which $36.9 million was invested in PSSL). Our debt portfolio consisted of 100% variable-rate investments. As of June 30, 2018, we had no portfolio companies on non-accrual. Overall, the portfolio had net unrealized appreciation of $1.8 million. Our overall portfolio consisted of 83 companies with an average investment size of $10.9 million, had a weighted average yield on debt investments of 8.7%, and was invested 90% in first lien secured debt (of which 9% was invested in PSSL), 4% in second lien secured debt and 6% in subordinated debt, preferred and common equity (of which 4% was invested in PSSL). As of June 30, 2018, all of the investments held by PSSL were first lien secured debt.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As of September 30, 2017, our portfolio totaled $710.5 million and consisted of $609.7 million of first lien secured debt, $37.8 million of second lien secured debt,</w:t>
      </w:r>
    </w:p>
    <w:p>
      <w:pPr>
        <w:ind w:right="20"/>
        <w:spacing w:after="0" w:line="226" w:lineRule="auto"/>
        <w:rPr>
          <w:sz w:val="20"/>
          <w:szCs w:val="20"/>
          <w:color w:val="auto"/>
        </w:rPr>
      </w:pPr>
      <w:r>
        <w:rPr>
          <w:rFonts w:ascii="Arial" w:cs="Arial" w:eastAsia="Arial" w:hAnsi="Arial"/>
          <w:sz w:val="14"/>
          <w:szCs w:val="14"/>
          <w:color w:val="auto"/>
        </w:rPr>
        <w:t>$37.5 million of subordinated debt (of which $30.1 million was invested in PSSL) and $25.5 million of preferred and common equity (of which $13.4 million was invested in PSSL). Our debt portfolio consisted of 99% variable-rate investments and 1% fixed-rate investments. As of September 30, 2017, we had one portfolio company on non-accrual, representing 0.4% and 0.2% of our overall portfolio on a cost and fair value basis, respectively. Overall, the portfolio had net unrealized appreciation of $2.0 million. Our overall portfolio consisted of 82 companies with an average investment size of $8.7 million, had a weighted average yield on debt investments of 8.0%, and was invested 86% in first lien secured debt, 5% in second lien secured debt, 5% in subordinated debt (of which 4% was invested in PSSL) and 4% in preferred and common equity (of which 2% was invested in PSSL). As of September 30, 2017, all of the investments held by PSSL were first lien secured debt.</w:t>
      </w:r>
    </w:p>
    <w:p>
      <w:pPr>
        <w:spacing w:after="0" w:line="118" w:lineRule="exact"/>
        <w:rPr>
          <w:sz w:val="20"/>
          <w:szCs w:val="20"/>
          <w:color w:val="auto"/>
        </w:rPr>
      </w:pPr>
    </w:p>
    <w:p>
      <w:pPr>
        <w:jc w:val="both"/>
        <w:ind w:firstLine="438"/>
        <w:spacing w:after="0" w:line="264" w:lineRule="auto"/>
        <w:rPr>
          <w:sz w:val="20"/>
          <w:szCs w:val="20"/>
          <w:color w:val="auto"/>
        </w:rPr>
      </w:pPr>
      <w:r>
        <w:rPr>
          <w:rFonts w:ascii="Arial" w:cs="Arial" w:eastAsia="Arial" w:hAnsi="Arial"/>
          <w:sz w:val="13"/>
          <w:szCs w:val="13"/>
          <w:color w:val="auto"/>
        </w:rPr>
        <w:t>For the three months ended June 30, 2018, we invested $165.3 million in five new and 23 existing portfolio companies with a weighted average yield on debt investments of 8.2%. Sales and repayments of investments for the three months ended June 30, 2018 totaled $87.9 million. For the nine months ended June 30, 2018, we invested $480.6 million in 22 new and 51 existing portfolio companies with a weighted average yield on debt investments of 8.0%. Sales and repayments of investments for the nine months ended June 30, 2018 totaled $283.6 million.</w:t>
      </w:r>
    </w:p>
    <w:p>
      <w:pPr>
        <w:spacing w:after="0" w:line="101" w:lineRule="exact"/>
        <w:rPr>
          <w:sz w:val="20"/>
          <w:szCs w:val="20"/>
          <w:color w:val="auto"/>
        </w:rPr>
      </w:pPr>
    </w:p>
    <w:p>
      <w:pPr>
        <w:jc w:val="both"/>
        <w:ind w:firstLine="438"/>
        <w:spacing w:after="0" w:line="264" w:lineRule="auto"/>
        <w:rPr>
          <w:sz w:val="20"/>
          <w:szCs w:val="20"/>
          <w:color w:val="auto"/>
        </w:rPr>
      </w:pPr>
      <w:r>
        <w:rPr>
          <w:rFonts w:ascii="Arial" w:cs="Arial" w:eastAsia="Arial" w:hAnsi="Arial"/>
          <w:sz w:val="13"/>
          <w:szCs w:val="13"/>
          <w:color w:val="auto"/>
        </w:rPr>
        <w:t>For the three months ended June 30, 2017, we invested $136.7 million in four new and 14 existing portfolio companies with a weighted average yield on debt investments of 8.3%. Sales and repayments of investments for the three months ended June 30, 2017 totaled $172.9 million. For the nine months ended June 30, 2017, we invested $407.8 million in 25 new and 37 existing portfolio companies with a weighted average yield on debt investments of 7.8%. Sales and repayments of investments for the nine months ended June 30, 2017 totaled $314.8 million.</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PennantPark Senior Secured Loan Fund I LLC</w:t>
      </w:r>
    </w:p>
    <w:p>
      <w:pPr>
        <w:spacing w:after="0" w:line="140" w:lineRule="exact"/>
        <w:rPr>
          <w:sz w:val="20"/>
          <w:szCs w:val="20"/>
          <w:color w:val="auto"/>
        </w:rPr>
      </w:pPr>
    </w:p>
    <w:p>
      <w:pPr>
        <w:jc w:val="both"/>
        <w:ind w:right="20" w:firstLine="438"/>
        <w:spacing w:after="0" w:line="238" w:lineRule="auto"/>
        <w:rPr>
          <w:sz w:val="20"/>
          <w:szCs w:val="20"/>
          <w:color w:val="auto"/>
        </w:rPr>
      </w:pPr>
      <w:r>
        <w:rPr>
          <w:rFonts w:ascii="Arial" w:cs="Arial" w:eastAsia="Arial" w:hAnsi="Arial"/>
          <w:sz w:val="14"/>
          <w:szCs w:val="14"/>
          <w:color w:val="auto"/>
        </w:rPr>
        <w:t>As of June 30, 2018, PSSL’s portfolio totaled $346.9 million, consisted of 38 companies with an average investment size of $9.1 million and had a weighted average yield on debt investments of 7.7%. As of September 30, 2017, PSSL’s portfolio totaled $100.0 million, consisted of 18 companies with an average investment size of $5.6 million and had a weighted average yield on debt investments of 7.2%.</w:t>
      </w:r>
    </w:p>
    <w:p>
      <w:pPr>
        <w:spacing w:after="0" w:line="115" w:lineRule="exact"/>
        <w:rPr>
          <w:sz w:val="20"/>
          <w:szCs w:val="20"/>
          <w:color w:val="auto"/>
        </w:rPr>
      </w:pPr>
    </w:p>
    <w:p>
      <w:pPr>
        <w:jc w:val="both"/>
        <w:ind w:firstLine="438"/>
        <w:spacing w:after="0" w:line="233" w:lineRule="auto"/>
        <w:rPr>
          <w:sz w:val="20"/>
          <w:szCs w:val="20"/>
          <w:color w:val="auto"/>
        </w:rPr>
      </w:pPr>
      <w:r>
        <w:rPr>
          <w:rFonts w:ascii="Arial" w:cs="Arial" w:eastAsia="Arial" w:hAnsi="Arial"/>
          <w:sz w:val="14"/>
          <w:szCs w:val="14"/>
          <w:color w:val="auto"/>
        </w:rPr>
        <w:t>For the three months ended June 30, 2018, PSSL invested $142.7 million (of which $27.1 million was purchased from the Company) in 10 new and three existing portfolio companies with a weighted average yield on debt investments of 7.4%. PSSL’s sales and repayments of investments for the three months ended June 30, 2018 totaled $16.1 million. For the nine months ended June 30, 2018, PSSL invested $270.4 million in 23 new and six existing portfolio companies with a weighted average yield on debt investments of 7.4%. PSSL’s sales and repayments of investments for the nine months ended June 30, 2018 totaled $23.8 million.</w:t>
      </w:r>
    </w:p>
    <w:p>
      <w:pPr>
        <w:spacing w:after="0" w:line="117" w:lineRule="exact"/>
        <w:rPr>
          <w:sz w:val="20"/>
          <w:szCs w:val="20"/>
          <w:color w:val="auto"/>
        </w:rPr>
      </w:pPr>
    </w:p>
    <w:p>
      <w:pPr>
        <w:jc w:val="both"/>
        <w:ind w:firstLine="438"/>
        <w:spacing w:after="0" w:line="290" w:lineRule="auto"/>
        <w:rPr>
          <w:sz w:val="20"/>
          <w:szCs w:val="20"/>
          <w:color w:val="auto"/>
        </w:rPr>
      </w:pPr>
      <w:r>
        <w:rPr>
          <w:rFonts w:ascii="Arial" w:cs="Arial" w:eastAsia="Arial" w:hAnsi="Arial"/>
          <w:sz w:val="13"/>
          <w:szCs w:val="13"/>
          <w:color w:val="auto"/>
        </w:rPr>
        <w:t>For the period May 4, 2017 (inception) through June 30, 2017, PSSL invested $71.0 million (of which $71.0 million was purchased from the Company) in 14 new portfolio companies with a weighted average yield on debt investments of 7.4%. PSSL’s sales and repayments of investments for the period May 4, 2017 (inception) through June 30, 2017 totaled $0.3 million.</w:t>
      </w:r>
    </w:p>
    <w:p>
      <w:pPr>
        <w:spacing w:after="0" w:line="2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w:t>
      </w:r>
    </w:p>
    <w:p>
      <w:pPr>
        <w:spacing w:after="0" w:line="140" w:lineRule="exact"/>
        <w:rPr>
          <w:sz w:val="20"/>
          <w:szCs w:val="20"/>
          <w:color w:val="auto"/>
        </w:rPr>
      </w:pPr>
    </w:p>
    <w:p>
      <w:pPr>
        <w:ind w:firstLine="438"/>
        <w:spacing w:after="0" w:line="228" w:lineRule="auto"/>
        <w:rPr>
          <w:sz w:val="20"/>
          <w:szCs w:val="20"/>
          <w:color w:val="auto"/>
        </w:rPr>
      </w:pPr>
      <w:r>
        <w:rPr>
          <w:rFonts w:ascii="Arial" w:cs="Arial" w:eastAsia="Arial" w:hAnsi="Arial"/>
          <w:sz w:val="14"/>
          <w:szCs w:val="14"/>
          <w:color w:val="auto"/>
        </w:rPr>
        <w:t>The preparation of our Consolidated Financial Statements in conformity with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 balances and transactions. References to ASC serve as a single source of accounting literature. Subsequent events are evaluated and disclosed as appropriate for events occurring through the date the Consolidated Financial Statements are issued. In addition to the discussion below, we describe our critical accounting policies in the notes to our Consolidated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Valuations</w:t>
      </w:r>
    </w:p>
    <w:p>
      <w:pPr>
        <w:spacing w:after="0" w:line="136" w:lineRule="exact"/>
        <w:rPr>
          <w:sz w:val="20"/>
          <w:szCs w:val="20"/>
          <w:color w:val="auto"/>
        </w:rPr>
      </w:pPr>
    </w:p>
    <w:p>
      <w:pPr>
        <w:ind w:firstLine="438"/>
        <w:spacing w:after="0" w:line="247" w:lineRule="auto"/>
        <w:rPr>
          <w:sz w:val="20"/>
          <w:szCs w:val="20"/>
          <w:color w:val="auto"/>
        </w:rPr>
      </w:pPr>
      <w:r>
        <w:rPr>
          <w:rFonts w:ascii="Arial" w:cs="Arial" w:eastAsia="Arial" w:hAnsi="Arial"/>
          <w:sz w:val="13"/>
          <w:szCs w:val="13"/>
          <w:color w:val="auto"/>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w:t>
      </w:r>
    </w:p>
    <w:p>
      <w:pPr>
        <w:spacing w:after="0" w:line="111" w:lineRule="exact"/>
        <w:rPr>
          <w:sz w:val="20"/>
          <w:szCs w:val="20"/>
          <w:color w:val="auto"/>
        </w:rPr>
      </w:pPr>
    </w:p>
    <w:p>
      <w:pPr>
        <w:ind w:right="380" w:firstLine="438"/>
        <w:spacing w:after="0" w:line="290" w:lineRule="auto"/>
        <w:rPr>
          <w:sz w:val="20"/>
          <w:szCs w:val="20"/>
          <w:color w:val="auto"/>
        </w:rPr>
      </w:pPr>
      <w:r>
        <w:rPr>
          <w:rFonts w:ascii="Arial" w:cs="Arial" w:eastAsia="Arial" w:hAnsi="Arial"/>
          <w:sz w:val="13"/>
          <w:szCs w:val="13"/>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84" w:lineRule="exact"/>
        <w:rPr>
          <w:sz w:val="20"/>
          <w:szCs w:val="20"/>
          <w:color w:val="auto"/>
        </w:rPr>
      </w:pPr>
    </w:p>
    <w:p>
      <w:pPr>
        <w:ind w:left="900" w:right="300" w:hanging="447"/>
        <w:spacing w:after="0" w:line="253" w:lineRule="auto"/>
        <w:tabs>
          <w:tab w:leader="none" w:pos="9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our Investment Adviser responsible for the portfolio investment;</w:t>
      </w:r>
    </w:p>
    <w:p>
      <w:pPr>
        <w:spacing w:after="0" w:line="106" w:lineRule="exact"/>
        <w:rPr>
          <w:rFonts w:ascii="Arial" w:cs="Arial" w:eastAsia="Arial" w:hAnsi="Arial"/>
          <w:sz w:val="14"/>
          <w:szCs w:val="14"/>
          <w:color w:val="auto"/>
        </w:rPr>
      </w:pPr>
    </w:p>
    <w:p>
      <w:pPr>
        <w:ind w:left="900" w:hanging="447"/>
        <w:spacing w:after="0"/>
        <w:tabs>
          <w:tab w:leader="none" w:pos="9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our Investment Adviser;</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31" w:name="page32"/>
    <w:bookmarkEnd w:id="31"/>
    <w:p>
      <w:pPr>
        <w:jc w:val="both"/>
        <w:ind w:left="900" w:right="100" w:hanging="447"/>
        <w:spacing w:after="0" w:line="264" w:lineRule="auto"/>
        <w:tabs>
          <w:tab w:leader="none" w:pos="9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00" w:lineRule="exact"/>
        <w:rPr>
          <w:rFonts w:ascii="Arial" w:cs="Arial" w:eastAsia="Arial" w:hAnsi="Arial"/>
          <w:sz w:val="13"/>
          <w:szCs w:val="13"/>
          <w:color w:val="auto"/>
        </w:rPr>
      </w:pPr>
    </w:p>
    <w:p>
      <w:pPr>
        <w:ind w:left="900" w:right="340" w:hanging="447"/>
        <w:spacing w:after="0" w:line="238" w:lineRule="auto"/>
        <w:tabs>
          <w:tab w:leader="none" w:pos="9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115" w:lineRule="exact"/>
        <w:rPr>
          <w:rFonts w:ascii="Arial" w:cs="Arial" w:eastAsia="Arial" w:hAnsi="Arial"/>
          <w:sz w:val="14"/>
          <w:szCs w:val="14"/>
          <w:color w:val="auto"/>
        </w:rPr>
      </w:pPr>
    </w:p>
    <w:p>
      <w:pPr>
        <w:ind w:left="900" w:right="100" w:hanging="447"/>
        <w:spacing w:after="0" w:line="253" w:lineRule="auto"/>
        <w:tabs>
          <w:tab w:leader="none" w:pos="9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06" w:lineRule="exact"/>
        <w:rPr>
          <w:sz w:val="20"/>
          <w:szCs w:val="20"/>
          <w:color w:val="auto"/>
        </w:rPr>
      </w:pPr>
    </w:p>
    <w:p>
      <w:pPr>
        <w:ind w:right="40" w:firstLine="438"/>
        <w:spacing w:after="0" w:line="255" w:lineRule="auto"/>
        <w:rPr>
          <w:sz w:val="20"/>
          <w:szCs w:val="20"/>
          <w:color w:val="auto"/>
        </w:rPr>
      </w:pPr>
      <w:r>
        <w:rPr>
          <w:rFonts w:ascii="Arial" w:cs="Arial" w:eastAsia="Arial" w:hAnsi="Arial"/>
          <w:sz w:val="13"/>
          <w:szCs w:val="13"/>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07" w:lineRule="exact"/>
        <w:rPr>
          <w:sz w:val="20"/>
          <w:szCs w:val="20"/>
          <w:color w:val="auto"/>
        </w:rPr>
      </w:pPr>
    </w:p>
    <w:p>
      <w:pPr>
        <w:ind w:firstLine="438"/>
        <w:spacing w:after="0" w:line="251" w:lineRule="auto"/>
        <w:rPr>
          <w:sz w:val="20"/>
          <w:szCs w:val="20"/>
          <w:color w:val="auto"/>
        </w:rPr>
      </w:pPr>
      <w:r>
        <w:rPr>
          <w:rFonts w:ascii="Arial" w:cs="Arial" w:eastAsia="Arial" w:hAnsi="Arial"/>
          <w:sz w:val="13"/>
          <w:szCs w:val="13"/>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09" w:lineRule="exact"/>
        <w:rPr>
          <w:sz w:val="20"/>
          <w:szCs w:val="20"/>
          <w:color w:val="auto"/>
        </w:rPr>
      </w:pPr>
    </w:p>
    <w:p>
      <w:pPr>
        <w:ind w:left="440"/>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136" w:lineRule="exact"/>
        <w:rPr>
          <w:sz w:val="20"/>
          <w:szCs w:val="20"/>
          <w:color w:val="auto"/>
        </w:rPr>
      </w:pPr>
    </w:p>
    <w:p>
      <w:pPr>
        <w:ind w:left="640"/>
        <w:spacing w:after="0"/>
        <w:tabs>
          <w:tab w:leader="none" w:pos="144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136" w:lineRule="exact"/>
        <w:rPr>
          <w:sz w:val="20"/>
          <w:szCs w:val="20"/>
          <w:color w:val="auto"/>
        </w:rPr>
      </w:pPr>
    </w:p>
    <w:p>
      <w:pPr>
        <w:ind w:left="1460" w:right="200" w:hanging="809"/>
        <w:spacing w:after="0" w:line="290" w:lineRule="auto"/>
        <w:tabs>
          <w:tab w:leader="none" w:pos="1440" w:val="left"/>
        </w:tabs>
        <w:rPr>
          <w:sz w:val="20"/>
          <w:szCs w:val="20"/>
          <w:color w:val="auto"/>
        </w:rPr>
      </w:pPr>
      <w:r>
        <w:rPr>
          <w:rFonts w:ascii="Arial" w:cs="Arial" w:eastAsia="Arial" w:hAnsi="Arial"/>
          <w:sz w:val="14"/>
          <w:szCs w:val="14"/>
          <w:color w:val="auto"/>
        </w:rPr>
        <w:t>Level 2:</w:t>
      </w:r>
      <w:r>
        <w:rPr>
          <w:sz w:val="20"/>
          <w:szCs w:val="20"/>
          <w:color w:val="auto"/>
        </w:rPr>
        <w:tab/>
      </w:r>
      <w:r>
        <w:rPr>
          <w:rFonts w:ascii="Arial" w:cs="Arial" w:eastAsia="Arial" w:hAnsi="Arial"/>
          <w:sz w:val="13"/>
          <w:szCs w:val="13"/>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84" w:lineRule="exact"/>
        <w:rPr>
          <w:sz w:val="20"/>
          <w:szCs w:val="20"/>
          <w:color w:val="auto"/>
        </w:rPr>
      </w:pPr>
    </w:p>
    <w:p>
      <w:pPr>
        <w:ind w:left="640"/>
        <w:spacing w:after="0"/>
        <w:tabs>
          <w:tab w:leader="none" w:pos="1440" w:val="left"/>
        </w:tabs>
        <w:rPr>
          <w:sz w:val="20"/>
          <w:szCs w:val="20"/>
          <w:color w:val="auto"/>
        </w:rPr>
      </w:pPr>
      <w:r>
        <w:rPr>
          <w:rFonts w:ascii="Arial" w:cs="Arial" w:eastAsia="Arial" w:hAnsi="Arial"/>
          <w:sz w:val="14"/>
          <w:szCs w:val="14"/>
          <w:color w:val="auto"/>
        </w:rPr>
        <w:t>Level 3:</w:t>
      </w:r>
      <w:r>
        <w:rPr>
          <w:sz w:val="20"/>
          <w:szCs w:val="20"/>
          <w:color w:val="auto"/>
        </w:rPr>
        <w:tab/>
      </w:r>
      <w:r>
        <w:rPr>
          <w:rFonts w:ascii="Arial" w:cs="Arial" w:eastAsia="Arial" w:hAnsi="Arial"/>
          <w:sz w:val="12"/>
          <w:szCs w:val="12"/>
          <w:color w:val="auto"/>
        </w:rPr>
        <w:t>Inputs that are unobservable for an asset or liability because they are based on our own assumptions about how market participants would price the asset or liability.</w:t>
      </w:r>
    </w:p>
    <w:p>
      <w:pPr>
        <w:spacing w:after="0" w:line="136" w:lineRule="exact"/>
        <w:rPr>
          <w:sz w:val="20"/>
          <w:szCs w:val="20"/>
          <w:color w:val="auto"/>
        </w:rPr>
      </w:pPr>
    </w:p>
    <w:p>
      <w:pPr>
        <w:ind w:right="260" w:firstLine="434"/>
        <w:spacing w:after="0" w:line="238" w:lineRule="auto"/>
        <w:rPr>
          <w:sz w:val="20"/>
          <w:szCs w:val="20"/>
          <w:color w:val="auto"/>
        </w:rPr>
      </w:pPr>
      <w:r>
        <w:rPr>
          <w:rFonts w:ascii="Arial" w:cs="Arial" w:eastAsia="Arial" w:hAnsi="Arial"/>
          <w:sz w:val="14"/>
          <w:szCs w:val="14"/>
          <w:color w:val="auto"/>
        </w:rPr>
        <w:t>A financial instrument’s categorization within the valuation hierarchy is based upon the lowest level of input that is significant to the fair value measurement. Generally, most of our investments and our Credit Facility are classified as Level 3. Our 2023 Notes are classified as Level 1.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15" w:lineRule="exact"/>
        <w:rPr>
          <w:sz w:val="20"/>
          <w:szCs w:val="20"/>
          <w:color w:val="auto"/>
        </w:rPr>
      </w:pPr>
    </w:p>
    <w:p>
      <w:pPr>
        <w:ind w:right="160" w:firstLine="438"/>
        <w:spacing w:after="0" w:line="238" w:lineRule="auto"/>
        <w:rPr>
          <w:sz w:val="20"/>
          <w:szCs w:val="20"/>
          <w:color w:val="auto"/>
        </w:rPr>
      </w:pPr>
      <w:r>
        <w:rPr>
          <w:rFonts w:ascii="Arial" w:cs="Arial" w:eastAsia="Arial" w:hAnsi="Arial"/>
          <w:sz w:val="14"/>
          <w:szCs w:val="14"/>
          <w:color w:val="auto"/>
        </w:rPr>
        <w:t>In addition to using the above inputs in cash equivalents, investments, our 2023 Notes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w:t>
      </w:r>
    </w:p>
    <w:p>
      <w:pPr>
        <w:spacing w:after="0" w:line="115" w:lineRule="exact"/>
        <w:rPr>
          <w:sz w:val="20"/>
          <w:szCs w:val="20"/>
          <w:color w:val="auto"/>
        </w:rPr>
      </w:pPr>
    </w:p>
    <w:p>
      <w:pPr>
        <w:ind w:firstLine="438"/>
        <w:spacing w:after="0" w:line="242" w:lineRule="auto"/>
        <w:rPr>
          <w:sz w:val="20"/>
          <w:szCs w:val="20"/>
          <w:color w:val="auto"/>
        </w:rPr>
      </w:pPr>
      <w:r>
        <w:rPr>
          <w:rFonts w:ascii="Arial" w:cs="Arial" w:eastAsia="Arial" w:hAnsi="Arial"/>
          <w:sz w:val="13"/>
          <w:szCs w:val="13"/>
          <w:color w:val="auto"/>
        </w:rPr>
        <w:t>The carrying value of our consolidated financial liabilities approximates fair value. We have adopted the principles under ASC 825-10, which provides companies with an option to report selected financial assets and liabilities at fair value, and made an irrevocable election to apply ASC 825-10 to our Credit Facility and the 2023 Notes. We elected to use the fair value option for our Credit Facility and the 2023 Notes to align the measurement attributes of both our assets and liabilities while mitigating volatility in earnings from using different measurement attributes. Due to that election and in accordance with GAAP, we incurred expenses of zero and $10.9 million relating to amendment costs on the Credit Facility and debt issuance costs on the 2023 Notes during the three and nine months ended June 30, 2018. For the same periods in the prior year, we incurred expenses of $0.1 million for both periods relating to amendment costs on the Credit Facility.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Facility and the 2023 Notes are reported in our Consolidated Statements of Operations. We elected not to apply ASC 825-10 to any other financial assets or liabilities. For the three and nine months ended June 30, 2018, our Credit Facility and the 2023 Notes had a net change in unrealized (appreciation) depreciation of $1.9 million and $6.5 million, respectively. For the three and nine months ended June 30, 2017, our Credit Facility had a net change in unrealized appreciation of $1.9 million and $3.0 million, respectively. As of June 30, 2018 and September 30, 2017, the net unrealized depreciation (appreciation) on our Credit Facility and the 2023 Notes totaled $3.5 million and $(3.1) million, respectively. We use a nationally recognized independent valuation service to measure the fair value of our Credit Facility in a manner consistent with the valuation process that the board of directors uses to value our investments. Our 2023 Notes trade on the TASE and we use the closing price on the exchange to determine the fair value.</w:t>
      </w:r>
    </w:p>
    <w:p>
      <w:pPr>
        <w:spacing w:after="0" w:line="26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 Recognition</w:t>
      </w:r>
    </w:p>
    <w:p>
      <w:pPr>
        <w:spacing w:after="0" w:line="136" w:lineRule="exact"/>
        <w:rPr>
          <w:sz w:val="20"/>
          <w:szCs w:val="20"/>
          <w:color w:val="auto"/>
        </w:rPr>
      </w:pPr>
    </w:p>
    <w:p>
      <w:pPr>
        <w:ind w:right="40" w:firstLine="438"/>
        <w:spacing w:after="0" w:line="247" w:lineRule="auto"/>
        <w:rPr>
          <w:sz w:val="20"/>
          <w:szCs w:val="20"/>
          <w:color w:val="auto"/>
        </w:rPr>
      </w:pPr>
      <w:r>
        <w:rPr>
          <w:rFonts w:ascii="Arial" w:cs="Arial" w:eastAsia="Arial" w:hAnsi="Arial"/>
          <w:sz w:val="13"/>
          <w:szCs w:val="13"/>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OID, market discount or premium and deferred financing costs on liabilities, which we do not fair value, are capitalized and then accreted or amortized using the effective interest method as interest income or, in the case of deferred financing costs, as interest expense. We record prepayment penalties on loans and debt investments as income.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Realized Gains or Losses and Net Change in Unrealized Appreciation or Depreciation</w:t>
      </w:r>
    </w:p>
    <w:p>
      <w:pPr>
        <w:spacing w:after="0" w:line="136" w:lineRule="exact"/>
        <w:rPr>
          <w:sz w:val="20"/>
          <w:szCs w:val="20"/>
          <w:color w:val="auto"/>
        </w:rPr>
      </w:pPr>
    </w:p>
    <w:p>
      <w:pPr>
        <w:ind w:right="80" w:firstLine="438"/>
        <w:spacing w:after="0" w:line="253" w:lineRule="auto"/>
        <w:rPr>
          <w:sz w:val="20"/>
          <w:szCs w:val="20"/>
          <w:color w:val="auto"/>
        </w:rPr>
      </w:pPr>
      <w:r>
        <w:rPr>
          <w:rFonts w:ascii="Arial" w:cs="Arial" w:eastAsia="Arial" w:hAnsi="Arial"/>
          <w:sz w:val="14"/>
          <w:szCs w:val="14"/>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w:t>
      </w: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32" w:name="page33"/>
    <w:bookmarkEnd w:id="32"/>
    <w:p>
      <w:pPr>
        <w:ind w:right="400"/>
        <w:spacing w:after="0" w:line="253" w:lineRule="auto"/>
        <w:rPr>
          <w:sz w:val="20"/>
          <w:szCs w:val="20"/>
          <w:color w:val="auto"/>
        </w:rPr>
      </w:pPr>
      <w:r>
        <w:rPr>
          <w:rFonts w:ascii="Arial" w:cs="Arial" w:eastAsia="Arial" w:hAnsi="Arial"/>
          <w:sz w:val="14"/>
          <w:szCs w:val="14"/>
          <w:color w:val="auto"/>
        </w:rPr>
        <w:t>penalties. Net change in unrealized appreciation or depreciation reflects the change in the fair value of our portfolio investments, our Credit Facility and the 2023 Notes during the reporting period, including any reversal of previously recorded unrealized appreciation or depreciation, when gains or losses are realized.</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Foreign Currency Translation</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Our books and records are maintained in U.S. dollars. Any foreign currency amounts are translated into U.S. dollars on the following basis:</w:t>
      </w:r>
    </w:p>
    <w:p>
      <w:pPr>
        <w:spacing w:after="0" w:line="136" w:lineRule="exact"/>
        <w:rPr>
          <w:sz w:val="20"/>
          <w:szCs w:val="20"/>
          <w:color w:val="auto"/>
        </w:rPr>
      </w:pPr>
    </w:p>
    <w:p>
      <w:pPr>
        <w:ind w:left="1180" w:hanging="362"/>
        <w:spacing w:after="0"/>
        <w:tabs>
          <w:tab w:leader="none" w:pos="11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Fair value of investment securities, other assets and liabilities – at the exchange rates prevailing at the end of the applicable period; and</w:t>
      </w:r>
    </w:p>
    <w:p>
      <w:pPr>
        <w:spacing w:after="0" w:line="136" w:lineRule="exact"/>
        <w:rPr>
          <w:rFonts w:ascii="Arial" w:cs="Arial" w:eastAsia="Arial" w:hAnsi="Arial"/>
          <w:sz w:val="14"/>
          <w:szCs w:val="14"/>
          <w:color w:val="auto"/>
        </w:rPr>
      </w:pPr>
    </w:p>
    <w:p>
      <w:pPr>
        <w:ind w:left="1180" w:hanging="362"/>
        <w:spacing w:after="0"/>
        <w:tabs>
          <w:tab w:leader="none" w:pos="11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Purchases and sales of investment securities, income and expenses – at the exchange rates prevailing on the respective dates of such transactions.</w:t>
      </w:r>
    </w:p>
    <w:p>
      <w:pPr>
        <w:spacing w:after="0" w:line="136" w:lineRule="exact"/>
        <w:rPr>
          <w:sz w:val="20"/>
          <w:szCs w:val="20"/>
          <w:color w:val="auto"/>
        </w:rPr>
      </w:pPr>
    </w:p>
    <w:p>
      <w:pPr>
        <w:jc w:val="both"/>
        <w:ind w:right="80" w:firstLine="438"/>
        <w:spacing w:after="0" w:line="227" w:lineRule="auto"/>
        <w:rPr>
          <w:sz w:val="20"/>
          <w:szCs w:val="20"/>
          <w:color w:val="auto"/>
        </w:rPr>
      </w:pPr>
      <w:r>
        <w:rPr>
          <w:rFonts w:ascii="Arial" w:cs="Arial" w:eastAsia="Arial" w:hAnsi="Arial"/>
          <w:sz w:val="14"/>
          <w:szCs w:val="14"/>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 of investments and liabilities held. Such fluctuations are included with the net realized and unrealized gain or loss from investments and liabilities.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Payment-in-Kind, or, PIK Interest</w:t>
      </w:r>
    </w:p>
    <w:p>
      <w:pPr>
        <w:spacing w:after="0" w:line="124" w:lineRule="exact"/>
        <w:rPr>
          <w:sz w:val="20"/>
          <w:szCs w:val="20"/>
          <w:color w:val="auto"/>
        </w:rPr>
      </w:pPr>
    </w:p>
    <w:p>
      <w:pPr>
        <w:jc w:val="both"/>
        <w:ind w:right="140" w:firstLine="438"/>
        <w:spacing w:after="0" w:line="238" w:lineRule="auto"/>
        <w:rPr>
          <w:sz w:val="20"/>
          <w:szCs w:val="20"/>
          <w:color w:val="auto"/>
        </w:rPr>
      </w:pPr>
      <w:r>
        <w:rPr>
          <w:rFonts w:ascii="Arial" w:cs="Arial" w:eastAsia="Arial" w:hAnsi="Arial"/>
          <w:sz w:val="14"/>
          <w:szCs w:val="14"/>
          <w:color w:val="auto"/>
        </w:rPr>
        <w:t>We have investments in our portfolio which contain a PIK interest provision. PIK interest is added to the principal balance of the investment and is recorded as income. In order for us to maintain our ability to be subject to tax as a RIC, substantially all of this income must be paid out to stockholders in the form of dividends for U.S. federal income tax purposes, even though we may not have collected any cash with respect to interest on PIK securities.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Federal Income Taxes</w:t>
      </w:r>
    </w:p>
    <w:p>
      <w:pPr>
        <w:spacing w:after="0" w:line="136" w:lineRule="exact"/>
        <w:rPr>
          <w:sz w:val="20"/>
          <w:szCs w:val="20"/>
          <w:color w:val="auto"/>
        </w:rPr>
      </w:pPr>
    </w:p>
    <w:p>
      <w:pPr>
        <w:ind w:firstLine="438"/>
        <w:spacing w:after="0" w:line="255" w:lineRule="auto"/>
        <w:rPr>
          <w:sz w:val="20"/>
          <w:szCs w:val="20"/>
          <w:color w:val="auto"/>
        </w:rPr>
      </w:pPr>
      <w:r>
        <w:rPr>
          <w:rFonts w:ascii="Arial" w:cs="Arial" w:eastAsia="Arial" w:hAnsi="Arial"/>
          <w:sz w:val="13"/>
          <w:szCs w:val="13"/>
          <w:color w:val="auto"/>
        </w:rPr>
        <w:t>We have elected to be treated, and intend to qualify annually to maintain our election to be treated, as a RIC under Subchapter M of the Code. To maintain our RIC tax election, we must, among other requirements, meet certain annual source-of-income and quarterly asset diversification requirements. We also must annually distribute dividends for U.S. federal income tax purposes to our stockholders out of the assets legally available for distribution of an amount generally at least equal to 90% of the sum of our net ordinary income and realized net short-term capital gains in excess of realized net long-term capital losses, or investment company taxable income, determined without regard to any deduction for dividends paid.</w:t>
      </w:r>
    </w:p>
    <w:p>
      <w:pPr>
        <w:spacing w:after="0" w:line="107" w:lineRule="exact"/>
        <w:rPr>
          <w:sz w:val="20"/>
          <w:szCs w:val="20"/>
          <w:color w:val="auto"/>
        </w:rPr>
      </w:pPr>
    </w:p>
    <w:p>
      <w:pPr>
        <w:ind w:firstLine="438"/>
        <w:spacing w:after="0" w:line="247" w:lineRule="auto"/>
        <w:rPr>
          <w:sz w:val="20"/>
          <w:szCs w:val="20"/>
          <w:color w:val="auto"/>
        </w:rPr>
      </w:pPr>
      <w:r>
        <w:rPr>
          <w:rFonts w:ascii="Arial" w:cs="Arial" w:eastAsia="Arial" w:hAnsi="Arial"/>
          <w:sz w:val="13"/>
          <w:szCs w:val="13"/>
          <w:color w:val="auto"/>
        </w:rPr>
        <w:t>Although not required for us to maintain our RIC tax status, in order to preclude the imposition of a 4% nondeductible federal excise tax imposed on RICs, we must distribute dividends for U.S. federal income tax purposes to our stockholders in respect of each calendar year of an amount at least equal to the sum of (1) 98% of our net ordinary income (subject to certain deferrals and elections) for the calendar year, (2) 98.2% of the excess, if any, of our capital gains over our capital losses, or capital gain net income (adjusted for certain ordinary losses) for the one-year period ending on October 31 of the calendar year plus (3) the sum of any net ordinary income plus capital gain net income for preceding years that was not distributed during such years and on which we did not incur any federal income tax.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subject to maintaining our ability to be taxed as a RIC, in order to provide us with additional liquidity.</w:t>
      </w:r>
    </w:p>
    <w:p>
      <w:pPr>
        <w:spacing w:after="0" w:line="111" w:lineRule="exact"/>
        <w:rPr>
          <w:sz w:val="20"/>
          <w:szCs w:val="20"/>
          <w:color w:val="auto"/>
        </w:rPr>
      </w:pPr>
    </w:p>
    <w:p>
      <w:pPr>
        <w:ind w:right="120" w:firstLine="438"/>
        <w:spacing w:after="0" w:line="296" w:lineRule="auto"/>
        <w:rPr>
          <w:sz w:val="20"/>
          <w:szCs w:val="20"/>
          <w:color w:val="auto"/>
        </w:rPr>
      </w:pPr>
      <w:r>
        <w:rPr>
          <w:rFonts w:ascii="Arial" w:cs="Arial" w:eastAsia="Arial" w:hAnsi="Arial"/>
          <w:sz w:val="12"/>
          <w:szCs w:val="12"/>
          <w:color w:val="auto"/>
        </w:rPr>
        <w:t>Because federal income tax regulations differ from GAAP, distributions in accordance with tax regulations may differ from net investment income and net realized gain recognized for financial reporting purposes. Differences between tax regulations and GAAP may be permanent or temporary. Permanent differences are reclassified among capital accounts in the Consolidated Financial Statements to reflect their appropriate tax character. Temporary differences arise when certain items of income, expense, gain or loss are recognized at some time in the future.</w:t>
      </w:r>
    </w:p>
    <w:p>
      <w:pPr>
        <w:spacing w:after="0" w:line="83" w:lineRule="exact"/>
        <w:rPr>
          <w:sz w:val="20"/>
          <w:szCs w:val="20"/>
          <w:color w:val="auto"/>
        </w:rPr>
      </w:pPr>
    </w:p>
    <w:p>
      <w:pPr>
        <w:ind w:right="160" w:firstLine="438"/>
        <w:spacing w:after="0" w:line="290" w:lineRule="auto"/>
        <w:rPr>
          <w:sz w:val="20"/>
          <w:szCs w:val="20"/>
          <w:color w:val="auto"/>
        </w:rPr>
      </w:pPr>
      <w:r>
        <w:rPr>
          <w:rFonts w:ascii="Arial" w:cs="Arial" w:eastAsia="Arial" w:hAnsi="Arial"/>
          <w:sz w:val="13"/>
          <w:szCs w:val="13"/>
          <w:color w:val="auto"/>
        </w:rPr>
        <w:t>We have formed and expect to continue to form certain taxable subsidiaries, including the Taxable Subsidiary, which are taxed as corporations. The Taxable Subsidiary allows us to hold equity securities of certain portfolio companies treated as pass-through entities for U.S. federal income tax purposes while facilitating our ability to qualify as a RIC under the Code.</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Set forth below are the results of operations for the three and nine months ended June 30, 2018 and 2017.</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Income</w:t>
      </w:r>
    </w:p>
    <w:p>
      <w:pPr>
        <w:spacing w:after="0" w:line="136" w:lineRule="exact"/>
        <w:rPr>
          <w:sz w:val="20"/>
          <w:szCs w:val="20"/>
          <w:color w:val="auto"/>
        </w:rPr>
      </w:pPr>
    </w:p>
    <w:p>
      <w:pPr>
        <w:ind w:right="120" w:firstLine="434"/>
        <w:spacing w:after="0" w:line="231" w:lineRule="auto"/>
        <w:rPr>
          <w:sz w:val="20"/>
          <w:szCs w:val="20"/>
          <w:color w:val="auto"/>
        </w:rPr>
      </w:pPr>
      <w:r>
        <w:rPr>
          <w:rFonts w:ascii="Arial" w:cs="Arial" w:eastAsia="Arial" w:hAnsi="Arial"/>
          <w:sz w:val="14"/>
          <w:szCs w:val="14"/>
          <w:color w:val="auto"/>
        </w:rPr>
        <w:t>Investment income for the three and nine months ended June 30, 2018 was $19.5 million and $50.9 million, respectively, and was attributable to $19.2 million and $46.0 million from first lien secured debt and $0.3 million and $4.9 million from second lien secured debt, subordinated debt and preferred and common equity, respectively. This compares to investment income for the three and nine months ended June 30, 2017, which was $15.2 million and $41.0 million, respectively, and was attributable to $13.9 million and $37.1 million from first lien senior debt and $1.3 million and $3.9 million from second lien secured debt and subordinated debt, respectively. The increase in investment income compared to the same periods in the prior year was primarily due to the growth of our portfolio.</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Expenses</w:t>
      </w:r>
    </w:p>
    <w:p>
      <w:pPr>
        <w:spacing w:after="0" w:line="136" w:lineRule="exact"/>
        <w:rPr>
          <w:sz w:val="20"/>
          <w:szCs w:val="20"/>
          <w:color w:val="auto"/>
        </w:rPr>
      </w:pPr>
    </w:p>
    <w:p>
      <w:pPr>
        <w:jc w:val="both"/>
        <w:ind w:firstLine="438"/>
        <w:spacing w:after="0" w:line="244" w:lineRule="auto"/>
        <w:rPr>
          <w:sz w:val="20"/>
          <w:szCs w:val="20"/>
          <w:color w:val="auto"/>
        </w:rPr>
      </w:pPr>
      <w:r>
        <w:rPr>
          <w:rFonts w:ascii="Arial" w:cs="Arial" w:eastAsia="Arial" w:hAnsi="Arial"/>
          <w:sz w:val="13"/>
          <w:szCs w:val="13"/>
          <w:color w:val="auto"/>
        </w:rPr>
        <w:t>Expenses for the three and nine months ended June 30, 2018 totaled $7.7 million and $31.6 million, respectively. Base management fee for the same periods totaled $2.2 million and $5.9 million, incentive fee totaled $0.3 million (including $(1.0) million on unrealized gains accrued but not payable) and $0.9 million (including $(0.1) million on realized gains and $(0.6) million on unrealized gains accrued but not payable), debt related interest and expenses totaled $3.9 million and $20.8 million (including $10.9 million in Credit Facility amendment and debt issuance costs on the 2023 Notes), general and administrative expenses totaled $1.1 million and $3.4 million and provision for taxes totaled $0.2 million and $0.6 million, respectively. This compares to expenses for the three and nine months ended June 30, 2017, which totaled $7.0 million and $18.0 million, respectively. Base management fee for the same periods totaled $1.8 million and $5.1 million, incentive fee totaled $1.4 million (including $0.2 million on realized gains and $0.4 million on unrealized gains accrued but not payable) and $3.4 million (including $0.2 million on realized gains and $0.9 million on unrealized gains accrued but not payable), Credit Facility expenses totaled $2.5 million and $6.3 million, general and administrative expenses totaled $1.2 million and $3.0 million and provision for taxes totaled $0.1 million and $0.2 million, respectively. The increase in expenses compared to the same periods in the prior year was primarily due to the expenses incurred in connection with the Credit Facility amendment and debt issuance costs on the 2023 Notes in the current period, which were partially offset by a reduction in incentive fees.</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Investment Income</w:t>
      </w:r>
    </w:p>
    <w:p>
      <w:pPr>
        <w:spacing w:after="0" w:line="136" w:lineRule="exact"/>
        <w:rPr>
          <w:sz w:val="20"/>
          <w:szCs w:val="20"/>
          <w:color w:val="auto"/>
        </w:rPr>
      </w:pPr>
    </w:p>
    <w:p>
      <w:pPr>
        <w:jc w:val="both"/>
        <w:ind w:right="200" w:firstLine="434"/>
        <w:spacing w:after="0" w:line="238" w:lineRule="auto"/>
        <w:rPr>
          <w:sz w:val="20"/>
          <w:szCs w:val="20"/>
          <w:color w:val="auto"/>
        </w:rPr>
      </w:pPr>
      <w:r>
        <w:rPr>
          <w:rFonts w:ascii="Arial" w:cs="Arial" w:eastAsia="Arial" w:hAnsi="Arial"/>
          <w:sz w:val="14"/>
          <w:szCs w:val="14"/>
          <w:color w:val="auto"/>
        </w:rPr>
        <w:t>Net investment income totaled $11.8 million and $19.3 million, or $0.31 and $0.51 per share, for the three and nine months ended June 30, 2018, respectively. Net investment income totaled $8.2 million and $23.0 million, or $0.25 and $0.78 per share, for the three and nine months ended June 30, 2017, respectively. The increase in net investment income for the three months ended June 30, 2018 compared to the same period in the prior year was primarily due to the growth of our portfolio. The decrease in net</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33" w:name="page34"/>
    <w:bookmarkEnd w:id="33"/>
    <w:p>
      <w:pPr>
        <w:ind w:right="740"/>
        <w:spacing w:after="0" w:line="253" w:lineRule="auto"/>
        <w:rPr>
          <w:sz w:val="20"/>
          <w:szCs w:val="20"/>
          <w:color w:val="auto"/>
        </w:rPr>
      </w:pPr>
      <w:r>
        <w:rPr>
          <w:rFonts w:ascii="Arial" w:cs="Arial" w:eastAsia="Arial" w:hAnsi="Arial"/>
          <w:sz w:val="14"/>
          <w:szCs w:val="14"/>
          <w:color w:val="auto"/>
        </w:rPr>
        <w:t>investment income for the nine months ended June 30, 2018 compared to the same period in the prior year was primarily due to the expenses incurred in connection with the Credit Facility amendment and debt issuance costs on the 2023 Notes in the current period.</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Realized Gains or Losses</w:t>
      </w:r>
    </w:p>
    <w:p>
      <w:pPr>
        <w:spacing w:after="0" w:line="136" w:lineRule="exact"/>
        <w:rPr>
          <w:sz w:val="20"/>
          <w:szCs w:val="20"/>
          <w:color w:val="auto"/>
        </w:rPr>
      </w:pPr>
    </w:p>
    <w:p>
      <w:pPr>
        <w:ind w:right="180" w:firstLine="434"/>
        <w:spacing w:after="0" w:line="233" w:lineRule="auto"/>
        <w:rPr>
          <w:sz w:val="20"/>
          <w:szCs w:val="20"/>
          <w:color w:val="auto"/>
        </w:rPr>
      </w:pPr>
      <w:r>
        <w:rPr>
          <w:rFonts w:ascii="Arial" w:cs="Arial" w:eastAsia="Arial" w:hAnsi="Arial"/>
          <w:sz w:val="14"/>
          <w:szCs w:val="14"/>
          <w:color w:val="auto"/>
        </w:rPr>
        <w:t>Sales and repayments of investments for the three and nine months ended June 30, 2018 totaled $87.9 million and $283.6 million, respectively, and net realized losses totaled $1.8 million and $3.1 million, respectively. Sales and repayments of investments for the three and nine months ended June 30, 2017 totaled $172.9 million and $314.8 million, respectively, and net realized gains totaled $2.5 million and $5.0 million, respectively. The change in realized gains/losses was primarily due to changes in the market conditions of our investments and the values at which they were realized.</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Unrealized Appreciation or Depreciation on Investments, the Credit Facility and the 2023 Notes</w:t>
      </w:r>
    </w:p>
    <w:p>
      <w:pPr>
        <w:spacing w:after="0" w:line="136" w:lineRule="exact"/>
        <w:rPr>
          <w:sz w:val="20"/>
          <w:szCs w:val="20"/>
          <w:color w:val="auto"/>
        </w:rPr>
      </w:pPr>
    </w:p>
    <w:p>
      <w:pPr>
        <w:ind w:right="160" w:firstLine="456"/>
        <w:spacing w:after="0" w:line="231" w:lineRule="auto"/>
        <w:rPr>
          <w:sz w:val="20"/>
          <w:szCs w:val="20"/>
          <w:color w:val="auto"/>
        </w:rPr>
      </w:pPr>
      <w:r>
        <w:rPr>
          <w:rFonts w:ascii="Arial" w:cs="Arial" w:eastAsia="Arial" w:hAnsi="Arial"/>
          <w:sz w:val="14"/>
          <w:szCs w:val="14"/>
          <w:color w:val="auto"/>
        </w:rPr>
        <w:t>For the three and nine months ended June 30, 2018, we reported net change in unrealized depreciation on investments of $3.2 million and $0.2 million, respectively. For the three and nine months ended June 30, 2017, we reported net change in unrealized appreciation on investments of $0.6 million and $0.4 million, respectively. As of June 30, 2018 and September 30, 2017, our net unrealized appreciation on investments totaled $1.8 million and $2.0 million, respectively. The net change in unrealized appreciation/depreciation on our investments compared to the same periods in the prior year was primarily due to changes in the capital market conditions, the financial performance of certain portfolio companies and the reversal of unrealized appreciation/depreciation on investments that were realized.</w:t>
      </w:r>
    </w:p>
    <w:p>
      <w:pPr>
        <w:spacing w:after="0" w:line="116" w:lineRule="exact"/>
        <w:rPr>
          <w:sz w:val="20"/>
          <w:szCs w:val="20"/>
          <w:color w:val="auto"/>
        </w:rPr>
      </w:pPr>
    </w:p>
    <w:p>
      <w:pPr>
        <w:ind w:right="40" w:firstLine="456"/>
        <w:spacing w:after="0" w:line="233" w:lineRule="auto"/>
        <w:rPr>
          <w:sz w:val="20"/>
          <w:szCs w:val="20"/>
          <w:color w:val="auto"/>
        </w:rPr>
      </w:pPr>
      <w:r>
        <w:rPr>
          <w:rFonts w:ascii="Arial" w:cs="Arial" w:eastAsia="Arial" w:hAnsi="Arial"/>
          <w:sz w:val="14"/>
          <w:szCs w:val="14"/>
          <w:color w:val="auto"/>
        </w:rPr>
        <w:t>For the three and nine months ended June 30, 2018, our Credit Facility and the 2023 Notes had a net change in unrealized (appreciation) depreciation of $(1.9) million and $6.5 million, respectively. For the three and nine months ended June 30, 2017, our Credit Facility had a net change in unrealized appreciation of $1.9 million and $3.0 million, respectively. As of June 30, 2018 and September 30, 2017, our net unrealized depreciation (appreciation) on the Credit Facility and the 2023 Notes totaled $3.5 million and $(3.1) million, respectively. The net change in unrealized depreciation compared to the same periods in the prior year was primarily due to changes in the capital markets.</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Change in Net Assets Resulting from Operations</w:t>
      </w:r>
    </w:p>
    <w:p>
      <w:pPr>
        <w:spacing w:after="0" w:line="136" w:lineRule="exact"/>
        <w:rPr>
          <w:sz w:val="20"/>
          <w:szCs w:val="20"/>
          <w:color w:val="auto"/>
        </w:rPr>
      </w:pPr>
    </w:p>
    <w:p>
      <w:pPr>
        <w:ind w:right="220" w:firstLine="434"/>
        <w:spacing w:after="0" w:line="251" w:lineRule="auto"/>
        <w:rPr>
          <w:sz w:val="20"/>
          <w:szCs w:val="20"/>
          <w:color w:val="auto"/>
        </w:rPr>
      </w:pPr>
      <w:r>
        <w:rPr>
          <w:rFonts w:ascii="Arial" w:cs="Arial" w:eastAsia="Arial" w:hAnsi="Arial"/>
          <w:sz w:val="13"/>
          <w:szCs w:val="13"/>
          <w:color w:val="auto"/>
        </w:rPr>
        <w:t>Net change in net assets resulting from operations totaled $5.0 million and $22.5 million, or $0.13 and $0.59 per share, respectively, for the three and nine months ended June 30, 2018. This compares to a net change in net assets resulting from operations of $9.3 million and $25.5 million, or $0.29 and $0.86 per share, respectively, for the three and nine months ended June 30, 2017. The decrease in the net change in net assets from operations for the three months ended June 30, 2018 compared to the same period in the prior year was primarily due to changes in portfolio investment valuations during the reporting period. The decrease in net assets from operations for the nine months ended June 30, 2018 compared to the same period in the prior year was primarily due to the expenses incurred in connection with the Credit Facility amendment and debt issuance costs on the 2023 Notes in the current period.</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140" w:lineRule="exact"/>
        <w:rPr>
          <w:sz w:val="20"/>
          <w:szCs w:val="20"/>
          <w:color w:val="auto"/>
        </w:rPr>
      </w:pPr>
    </w:p>
    <w:p>
      <w:pPr>
        <w:ind w:firstLine="438"/>
        <w:spacing w:after="0" w:line="231" w:lineRule="auto"/>
        <w:rPr>
          <w:sz w:val="20"/>
          <w:szCs w:val="20"/>
          <w:color w:val="auto"/>
        </w:rPr>
      </w:pPr>
      <w:r>
        <w:rPr>
          <w:rFonts w:ascii="Arial" w:cs="Arial" w:eastAsia="Arial" w:hAnsi="Arial"/>
          <w:sz w:val="14"/>
          <w:szCs w:val="14"/>
          <w:color w:val="auto"/>
        </w:rPr>
        <w:t>Our liquidity and capital resources are derived primarily from proceeds of securities offerings, debt capital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debt capital, proceeds from the rotation of our portfolio and proceeds from public and private offerings of securities to finance our investment objectives. As of June 30, 2018, in accordance with the 1940 Act, with certain limited exceptions, we are only allowed to borrow amounts such that we are in compliance with a 200% asset coverage ratio requirement after such borrowing.</w:t>
      </w:r>
    </w:p>
    <w:p>
      <w:pPr>
        <w:spacing w:after="0" w:line="116" w:lineRule="exact"/>
        <w:rPr>
          <w:sz w:val="20"/>
          <w:szCs w:val="20"/>
          <w:color w:val="auto"/>
        </w:rPr>
      </w:pPr>
    </w:p>
    <w:p>
      <w:pPr>
        <w:ind w:right="140" w:firstLine="438"/>
        <w:spacing w:after="0" w:line="233" w:lineRule="auto"/>
        <w:rPr>
          <w:sz w:val="20"/>
          <w:szCs w:val="20"/>
          <w:color w:val="auto"/>
        </w:rPr>
      </w:pPr>
      <w:r>
        <w:rPr>
          <w:rFonts w:ascii="Arial" w:cs="Arial" w:eastAsia="Arial" w:hAnsi="Arial"/>
          <w:sz w:val="14"/>
          <w:szCs w:val="14"/>
          <w:color w:val="auto"/>
        </w:rPr>
        <w:t>On April 5, 2018, our board of directors approved the application of the modified asset coverage requirements set forth in Section 61(a)(2) of the 1940 Act, as amended by the Consolidated Appropriations Act of 2018 (which includes the Small Business Credit Availability Act). As a result, the asset coverage requirements applicable to us for senior securities will be reduced from 200% to 150%, effective as of April 5, 2019, subject to compliance with certain disclosure requirements. As of June 30, 2018 and September 30, 2017, our asset coverage ratio, as computed in accordance with the 1940 Act, was 237% and 278%, respectively.</w:t>
      </w:r>
    </w:p>
    <w:p>
      <w:pPr>
        <w:spacing w:after="0" w:line="117" w:lineRule="exact"/>
        <w:rPr>
          <w:sz w:val="20"/>
          <w:szCs w:val="20"/>
          <w:color w:val="auto"/>
        </w:rPr>
      </w:pPr>
    </w:p>
    <w:p>
      <w:pPr>
        <w:ind w:right="20" w:firstLine="438"/>
        <w:spacing w:after="0" w:line="233" w:lineRule="auto"/>
        <w:rPr>
          <w:sz w:val="20"/>
          <w:szCs w:val="20"/>
          <w:color w:val="auto"/>
        </w:rPr>
      </w:pPr>
      <w:r>
        <w:rPr>
          <w:rFonts w:ascii="Arial" w:cs="Arial" w:eastAsia="Arial" w:hAnsi="Arial"/>
          <w:sz w:val="14"/>
          <w:szCs w:val="14"/>
          <w:color w:val="auto"/>
        </w:rPr>
        <w:t>Funding I’s multi-currency Credit Facility with the Lenders was $405 million as of June 30, 2018, subject to satisfaction of certain conditions and regulatory restrictions that the 1940 Act imposes on us as a BDC, has an interest rate spread above LIBOR of 200 basis points, a maturity date of November 2022 and a revolving period that ends in November 2020. As of June 30, 2018 and September 30, 2017, Funding I had $255.7 million and $253.8 million of outstanding borrowings under the Credit Facility, respectively. The Credit Facility had a weighted average interest rate of 4.01% and 3.18%, exclusive of the fee on undrawn commitments, as of June 30, 2018 and September 30, 2017, respectively.</w:t>
      </w:r>
    </w:p>
    <w:p>
      <w:pPr>
        <w:spacing w:after="0" w:line="117" w:lineRule="exact"/>
        <w:rPr>
          <w:sz w:val="20"/>
          <w:szCs w:val="20"/>
          <w:color w:val="auto"/>
        </w:rPr>
      </w:pPr>
    </w:p>
    <w:p>
      <w:pPr>
        <w:ind w:right="140" w:firstLine="438"/>
        <w:spacing w:after="0" w:line="264" w:lineRule="auto"/>
        <w:rPr>
          <w:sz w:val="20"/>
          <w:szCs w:val="20"/>
          <w:color w:val="auto"/>
        </w:rPr>
      </w:pPr>
      <w:r>
        <w:rPr>
          <w:rFonts w:ascii="Arial" w:cs="Arial" w:eastAsia="Arial" w:hAnsi="Arial"/>
          <w:sz w:val="13"/>
          <w:szCs w:val="13"/>
          <w:color w:val="auto"/>
        </w:rPr>
        <w:t>The annualized weighted average cost of debt for the nine months ended June 30, 2018 and 2017, inclusive of the fee on the undrawn commitment of 0.375% on the Credit Facility, amendment costs and debt issuance costs, was 7.26% and 3.02%, respectively (excluding amendment and debt issuance costs, amounts are 3.99% and 2.98%, respectively). As of June 30, 2018 and September 30, 2017, we had $149.3 million and $121.2 million of unused borrowing capacity under our Credit Facility, respectively, subject to the regulatory restrictions.</w:t>
      </w:r>
    </w:p>
    <w:p>
      <w:pPr>
        <w:spacing w:after="0" w:line="101" w:lineRule="exact"/>
        <w:rPr>
          <w:sz w:val="20"/>
          <w:szCs w:val="20"/>
          <w:color w:val="auto"/>
        </w:rPr>
      </w:pPr>
    </w:p>
    <w:p>
      <w:pPr>
        <w:jc w:val="both"/>
        <w:ind w:right="580" w:firstLine="438"/>
        <w:spacing w:after="0" w:line="264" w:lineRule="auto"/>
        <w:rPr>
          <w:sz w:val="20"/>
          <w:szCs w:val="20"/>
          <w:color w:val="auto"/>
        </w:rPr>
      </w:pPr>
      <w:r>
        <w:rPr>
          <w:rFonts w:ascii="Arial" w:cs="Arial" w:eastAsia="Arial" w:hAnsi="Arial"/>
          <w:sz w:val="13"/>
          <w:szCs w:val="13"/>
          <w:color w:val="auto"/>
        </w:rPr>
        <w:t>During the revolving period, the Credit Facility bears interest at LIBOR plus 200 basis points and, after the revolving period, the rate sets to LIBOR plus 425 basis points for the remaining two years, maturing in November 2022. The Credit Facility is secured by all of the assets of Funding I.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101" w:lineRule="exact"/>
        <w:rPr>
          <w:sz w:val="20"/>
          <w:szCs w:val="20"/>
          <w:color w:val="auto"/>
        </w:rPr>
      </w:pPr>
    </w:p>
    <w:p>
      <w:pPr>
        <w:ind w:right="40" w:firstLine="438"/>
        <w:spacing w:after="0" w:line="231" w:lineRule="auto"/>
        <w:rPr>
          <w:sz w:val="20"/>
          <w:szCs w:val="20"/>
          <w:color w:val="auto"/>
        </w:rPr>
      </w:pPr>
      <w:r>
        <w:rPr>
          <w:rFonts w:ascii="Arial" w:cs="Arial" w:eastAsia="Arial" w:hAnsi="Arial"/>
          <w:sz w:val="14"/>
          <w:szCs w:val="14"/>
          <w:color w:val="auto"/>
        </w:rPr>
        <w:t>The Credit Facility contains covenants, including but not limited to, restrictions of loan size, currency types and amounts,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For instance, we must maintain at least $25 million in equity and must maintain an interest coverage ratio of at least 125%. The Credit Facility compliance reporting is prepared on a basis of accounting other than GAAP. As of June 30, 2018, we were in compliance with the covenants relating to our Credit Facility.</w:t>
      </w:r>
    </w:p>
    <w:p>
      <w:pPr>
        <w:spacing w:after="0" w:line="116" w:lineRule="exact"/>
        <w:rPr>
          <w:sz w:val="20"/>
          <w:szCs w:val="20"/>
          <w:color w:val="auto"/>
        </w:rPr>
      </w:pPr>
    </w:p>
    <w:p>
      <w:pPr>
        <w:ind w:right="360" w:firstLine="438"/>
        <w:spacing w:after="0" w:line="253" w:lineRule="auto"/>
        <w:rPr>
          <w:sz w:val="20"/>
          <w:szCs w:val="20"/>
          <w:color w:val="auto"/>
        </w:rPr>
      </w:pPr>
      <w:r>
        <w:rPr>
          <w:rFonts w:ascii="Arial" w:cs="Arial" w:eastAsia="Arial" w:hAnsi="Arial"/>
          <w:sz w:val="14"/>
          <w:szCs w:val="14"/>
          <w:color w:val="auto"/>
        </w:rPr>
        <w:t>We own 100% of the equity interest in Funding I and treat the indebtedness of Funding I as our leverage. Our Investment Adviser serves as collateral manager to Funding I under the Credit Facility.</w:t>
      </w:r>
    </w:p>
    <w:p>
      <w:pPr>
        <w:spacing w:after="0" w:line="106" w:lineRule="exact"/>
        <w:rPr>
          <w:sz w:val="20"/>
          <w:szCs w:val="20"/>
          <w:color w:val="auto"/>
        </w:rPr>
      </w:pPr>
    </w:p>
    <w:p>
      <w:pPr>
        <w:ind w:right="20" w:firstLine="438"/>
        <w:spacing w:after="0" w:line="231" w:lineRule="auto"/>
        <w:rPr>
          <w:sz w:val="20"/>
          <w:szCs w:val="20"/>
          <w:color w:val="auto"/>
        </w:rPr>
      </w:pPr>
      <w:r>
        <w:rPr>
          <w:rFonts w:ascii="Arial" w:cs="Arial" w:eastAsia="Arial" w:hAnsi="Arial"/>
          <w:sz w:val="14"/>
          <w:szCs w:val="14"/>
          <w:color w:val="auto"/>
        </w:rPr>
        <w:t>Our interest in Funding I (other than the management fee) is subordinate in priority of payment to every other obligation of Funding I and is subject to certain payment restrictions set forth in the Credit Facility. We may receive cash distributions on our equity interests in Funding I only after it has made (1) all required cash interest and, if applicable, principal payments to the Lenders, (2) required administrative expenses and (3) claims of other unsecured creditors of Funding I. We cannot assure you that there will be sufficient funds available to make any distributions to us or that such distributions will meet our expectations from Funding I. The Investment Adviser has irrevocably directed that the management fee owed with respect to such services is to be paid to the Company so long as the Investment Adviser remains the collateral manager.</w:t>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34" w:name="page35"/>
    <w:bookmarkEnd w:id="34"/>
    <w:p>
      <w:pPr>
        <w:ind w:left="440"/>
        <w:spacing w:after="0"/>
        <w:rPr>
          <w:sz w:val="20"/>
          <w:szCs w:val="20"/>
          <w:color w:val="auto"/>
        </w:rPr>
      </w:pPr>
      <w:r>
        <w:rPr>
          <w:rFonts w:ascii="Arial" w:cs="Arial" w:eastAsia="Arial" w:hAnsi="Arial"/>
          <w:sz w:val="13"/>
          <w:szCs w:val="13"/>
          <w:color w:val="auto"/>
        </w:rPr>
        <w:t>In November 2017, we issued $138.6 million of our 2023 Notes. The 2023 Notes were issued pursuant to a deed of trust between the Company and Mishmeret Trust Company, Ltd. as</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trustee.</w:t>
      </w:r>
    </w:p>
    <w:p>
      <w:pPr>
        <w:spacing w:after="0" w:line="124" w:lineRule="exact"/>
        <w:rPr>
          <w:sz w:val="20"/>
          <w:szCs w:val="20"/>
          <w:color w:val="auto"/>
        </w:rPr>
      </w:pPr>
    </w:p>
    <w:p>
      <w:pPr>
        <w:jc w:val="both"/>
        <w:ind w:right="160" w:firstLine="438"/>
        <w:spacing w:after="0" w:line="264" w:lineRule="auto"/>
        <w:rPr>
          <w:sz w:val="20"/>
          <w:szCs w:val="20"/>
          <w:color w:val="auto"/>
        </w:rPr>
      </w:pPr>
      <w:r>
        <w:rPr>
          <w:rFonts w:ascii="Arial" w:cs="Arial" w:eastAsia="Arial" w:hAnsi="Arial"/>
          <w:sz w:val="13"/>
          <w:szCs w:val="13"/>
          <w:color w:val="auto"/>
        </w:rPr>
        <w:t>The 2023 Notes pay interest at a rate of 3.83% per year. Interest on the 2023 Notes is payable semi-annually in arrears on June 15 and December 15 of each year, commencing June 15, 2018. The principal on the 2023 Notes will be payable in four annual installments as follows: 15% of the original principal amount on December 15, 2020, 15% of the original principal amount on December 15, 2021, 15% of the original principal amount on December 15, 2022 and 55% of the original principal amount on December 15, 2023.</w:t>
      </w:r>
    </w:p>
    <w:p>
      <w:pPr>
        <w:spacing w:after="0" w:line="101" w:lineRule="exact"/>
        <w:rPr>
          <w:sz w:val="20"/>
          <w:szCs w:val="20"/>
          <w:color w:val="auto"/>
        </w:rPr>
      </w:pPr>
    </w:p>
    <w:p>
      <w:pPr>
        <w:ind w:right="120" w:firstLine="438"/>
        <w:spacing w:after="0" w:line="233" w:lineRule="auto"/>
        <w:rPr>
          <w:sz w:val="20"/>
          <w:szCs w:val="20"/>
          <w:color w:val="auto"/>
        </w:rPr>
      </w:pPr>
      <w:r>
        <w:rPr>
          <w:rFonts w:ascii="Arial" w:cs="Arial" w:eastAsia="Arial" w:hAnsi="Arial"/>
          <w:sz w:val="14"/>
          <w:szCs w:val="14"/>
          <w:color w:val="auto"/>
        </w:rPr>
        <w:t>The 2023 Notes are general, unsecured obligations, rank equal in right of payment with all of our existing and future unsecured indebtedness and are generally redeemable at our option. The deed of trust governing the 2023 Notes includes certain customary covenants, including minimum equity requirements, and events of default. Please refer to the deed of trust filed as Exhibit (d)(8) to our post-effective amendment filed on December 13, 2017 for more information. The 2023 Notes are rated ilAA- by S&amp;P Global Ratings Maalot Ltd. and are listed on the TASE. In connection with this offering, we have dual listed our common stock on the TASE.</w:t>
      </w:r>
    </w:p>
    <w:p>
      <w:pPr>
        <w:spacing w:after="0" w:line="117" w:lineRule="exact"/>
        <w:rPr>
          <w:sz w:val="20"/>
          <w:szCs w:val="20"/>
          <w:color w:val="auto"/>
        </w:rPr>
      </w:pPr>
    </w:p>
    <w:p>
      <w:pPr>
        <w:ind w:right="360" w:firstLine="438"/>
        <w:spacing w:after="0" w:line="253" w:lineRule="auto"/>
        <w:rPr>
          <w:sz w:val="20"/>
          <w:szCs w:val="20"/>
          <w:color w:val="auto"/>
        </w:rPr>
      </w:pPr>
      <w:r>
        <w:rPr>
          <w:rFonts w:ascii="Arial" w:cs="Arial" w:eastAsia="Arial" w:hAnsi="Arial"/>
          <w:sz w:val="14"/>
          <w:szCs w:val="14"/>
          <w:color w:val="auto"/>
        </w:rPr>
        <w:t>The 2023 Notes have not been and will not be registered under the Securities Act and may not be offered or sold in the United States absent registration under the Securities Act or in transactions exempt from, or not subject to, such registration requirements.</w:t>
      </w:r>
    </w:p>
    <w:p>
      <w:pPr>
        <w:spacing w:after="0" w:line="106" w:lineRule="exact"/>
        <w:rPr>
          <w:sz w:val="20"/>
          <w:szCs w:val="20"/>
          <w:color w:val="auto"/>
        </w:rPr>
      </w:pPr>
    </w:p>
    <w:p>
      <w:pPr>
        <w:ind w:right="20" w:firstLine="438"/>
        <w:spacing w:after="0" w:line="231" w:lineRule="auto"/>
        <w:rPr>
          <w:sz w:val="20"/>
          <w:szCs w:val="20"/>
          <w:color w:val="auto"/>
        </w:rPr>
      </w:pPr>
      <w:r>
        <w:rPr>
          <w:rFonts w:ascii="Arial" w:cs="Arial" w:eastAsia="Arial" w:hAnsi="Arial"/>
          <w:sz w:val="14"/>
          <w:szCs w:val="14"/>
          <w:color w:val="auto"/>
        </w:rPr>
        <w:t>We may raise equity or debt capital through both registered offerings off our shelf registration statement and private offerings of securities, securitizing a portion of our investments among other considerations or mergers and acquisitions. Furthermore, our Credit Facility availability depends on various covenants and restrictions as discussed in the preceding paragraphs. The primary use of existing funds and any funds raised in the future is expected to be for repayment of indebtedness, investments in portfolio companies, cash distributions to our stockholders or for other general corporate purposes. For the nine months ended June 30, 2018 and 2017, we issued 6.3 million and 5.8 million shares, respectively. As a result, we raised approximately $88.0 million and $80.5 million in net proceeds from our issuances of our equity capital, respectively.</w:t>
      </w:r>
    </w:p>
    <w:p>
      <w:pPr>
        <w:spacing w:after="0" w:line="116" w:lineRule="exact"/>
        <w:rPr>
          <w:sz w:val="20"/>
          <w:szCs w:val="20"/>
          <w:color w:val="auto"/>
        </w:rPr>
      </w:pPr>
    </w:p>
    <w:p>
      <w:pPr>
        <w:ind w:right="80" w:firstLine="438"/>
        <w:spacing w:after="0" w:line="253" w:lineRule="auto"/>
        <w:rPr>
          <w:sz w:val="20"/>
          <w:szCs w:val="20"/>
          <w:color w:val="auto"/>
        </w:rPr>
      </w:pPr>
      <w:r>
        <w:rPr>
          <w:rFonts w:ascii="Arial" w:cs="Arial" w:eastAsia="Arial" w:hAnsi="Arial"/>
          <w:sz w:val="14"/>
          <w:szCs w:val="14"/>
          <w:color w:val="auto"/>
        </w:rPr>
        <w:t>As of June 30, 2018 and September 30, 2017, we had cash equivalents of $31.2 million and $18.9 million, respectively, available for investing and general corporate purposes. We believe our liquidity and capital resources are sufficient to take advantage of market opportunities.</w:t>
      </w:r>
    </w:p>
    <w:p>
      <w:pPr>
        <w:spacing w:after="0" w:line="106" w:lineRule="exact"/>
        <w:rPr>
          <w:sz w:val="20"/>
          <w:szCs w:val="20"/>
          <w:color w:val="auto"/>
        </w:rPr>
      </w:pPr>
    </w:p>
    <w:p>
      <w:pPr>
        <w:ind w:right="340" w:firstLine="438"/>
        <w:spacing w:after="0" w:line="290" w:lineRule="auto"/>
        <w:rPr>
          <w:sz w:val="20"/>
          <w:szCs w:val="20"/>
          <w:color w:val="auto"/>
        </w:rPr>
      </w:pPr>
      <w:r>
        <w:rPr>
          <w:rFonts w:ascii="Arial" w:cs="Arial" w:eastAsia="Arial" w:hAnsi="Arial"/>
          <w:sz w:val="13"/>
          <w:szCs w:val="13"/>
          <w:color w:val="auto"/>
        </w:rPr>
        <w:t>Our operating activities used cash of $183.0 million for the nine months ended June 30, 2018, and our financing activities provided cash of $196.6 million for the same period. Our operating activities used cash primarily for our investment activities and our financing activities provided cash primarily from a follow-on equity offering and the issuance of the 2023 Notes.</w:t>
      </w:r>
    </w:p>
    <w:p>
      <w:pPr>
        <w:spacing w:after="0" w:line="84" w:lineRule="exact"/>
        <w:rPr>
          <w:sz w:val="20"/>
          <w:szCs w:val="20"/>
          <w:color w:val="auto"/>
        </w:rPr>
      </w:pPr>
    </w:p>
    <w:p>
      <w:pPr>
        <w:ind w:right="300" w:firstLine="438"/>
        <w:spacing w:after="0" w:line="238" w:lineRule="auto"/>
        <w:rPr>
          <w:sz w:val="20"/>
          <w:szCs w:val="20"/>
          <w:color w:val="auto"/>
        </w:rPr>
      </w:pPr>
      <w:r>
        <w:rPr>
          <w:rFonts w:ascii="Arial" w:cs="Arial" w:eastAsia="Arial" w:hAnsi="Arial"/>
          <w:sz w:val="14"/>
          <w:szCs w:val="14"/>
          <w:color w:val="auto"/>
        </w:rPr>
        <w:t>Our operating activities used cash of $93.9 million for the nine months ended June 30, 2017, and our financing activities provided cash of $113.8 million for the same period. Our operating activities used cash primarily for our investment activities and our financing activities provided cash primarily from a follow-on equity offering and net borrowings under the Credit Facility.</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PennantPark Senior Secured Loan Fund I LLC</w:t>
      </w:r>
    </w:p>
    <w:p>
      <w:pPr>
        <w:spacing w:after="0" w:line="140" w:lineRule="exact"/>
        <w:rPr>
          <w:sz w:val="20"/>
          <w:szCs w:val="20"/>
          <w:color w:val="auto"/>
        </w:rPr>
      </w:pPr>
    </w:p>
    <w:p>
      <w:pPr>
        <w:jc w:val="both"/>
        <w:ind w:right="280" w:firstLine="438"/>
        <w:spacing w:after="0" w:line="231" w:lineRule="auto"/>
        <w:rPr>
          <w:sz w:val="20"/>
          <w:szCs w:val="20"/>
          <w:color w:val="auto"/>
        </w:rPr>
      </w:pPr>
      <w:r>
        <w:rPr>
          <w:rFonts w:ascii="Arial" w:cs="Arial" w:eastAsia="Arial" w:hAnsi="Arial"/>
          <w:sz w:val="14"/>
          <w:szCs w:val="14"/>
          <w:color w:val="auto"/>
        </w:rPr>
        <w:t>In May 2017, we and Kemper formed PSSL, an unconsolidated joint venture. PSSL invests primarily in middle-market and other corporate debt securities consistent with our strategy. PSSL was formed as a Delaware limited liability company. As of June 30, 2018, PSSL had total assets of $355.7 million. As of the same date, we and Kemper had remaining commitments to fund first lien secured debt and equity interests in PSSL in an aggregate amount of $75.0 million. PSSL invests in portfolio companies in the same industries in which we may directly invest. During the three months ended March 31, 2018, the terms of our debt investment in PSSL were modified to eliminate the subordination provision and to grant us a security interest in certain assets of PSSL.</w:t>
      </w:r>
    </w:p>
    <w:p>
      <w:pPr>
        <w:spacing w:after="0" w:line="116" w:lineRule="exact"/>
        <w:rPr>
          <w:sz w:val="20"/>
          <w:szCs w:val="20"/>
          <w:color w:val="auto"/>
        </w:rPr>
      </w:pPr>
    </w:p>
    <w:p>
      <w:pPr>
        <w:ind w:right="140" w:firstLine="438"/>
        <w:spacing w:after="0" w:line="233" w:lineRule="auto"/>
        <w:rPr>
          <w:sz w:val="20"/>
          <w:szCs w:val="20"/>
          <w:color w:val="auto"/>
        </w:rPr>
      </w:pPr>
      <w:r>
        <w:rPr>
          <w:rFonts w:ascii="Arial" w:cs="Arial" w:eastAsia="Arial" w:hAnsi="Arial"/>
          <w:sz w:val="14"/>
          <w:szCs w:val="14"/>
          <w:color w:val="auto"/>
        </w:rPr>
        <w:t>We provide capital to PSSL in the form of first lien secured debt and equity interests. As of June 30, 2018, we and Kemper owned 87.5% and 12.5%, respectively, of each of the outstanding first lien secured debt and equity interests. As of the same date, our investment in PSSL consisted of first lien secured debt of $82.7 million and equity interests of $35.4 million. As of the same date, we had commitments to fund first lien secured debt to PSSL of $128.6 million, of which $45.9 million was unfunded. As of June 30, 2018, we had commitments to fund equity interests in PSSL of $55.1 million, of which $19.7 million was unfunded.</w:t>
      </w:r>
    </w:p>
    <w:p>
      <w:pPr>
        <w:spacing w:after="0" w:line="117" w:lineRule="exact"/>
        <w:rPr>
          <w:sz w:val="20"/>
          <w:szCs w:val="20"/>
          <w:color w:val="auto"/>
        </w:rPr>
      </w:pPr>
    </w:p>
    <w:p>
      <w:pPr>
        <w:ind w:right="140" w:firstLine="438"/>
        <w:spacing w:after="0" w:line="229" w:lineRule="auto"/>
        <w:rPr>
          <w:sz w:val="20"/>
          <w:szCs w:val="20"/>
          <w:color w:val="auto"/>
        </w:rPr>
      </w:pPr>
      <w:r>
        <w:rPr>
          <w:rFonts w:ascii="Arial" w:cs="Arial" w:eastAsia="Arial" w:hAnsi="Arial"/>
          <w:sz w:val="14"/>
          <w:szCs w:val="14"/>
          <w:color w:val="auto"/>
        </w:rPr>
        <w:t>We and Kemper each appointed two members to PSSL’s four person board of directors and investment committee. All material decisions with respect to PSSL, including those involving its investment portfolio, require unanimous approval of a quorum of the board of directors or investment committee. Quorum is defined as (i) the presence of two members of the board of directors or investment committee; provided that at least one individual is present that was elected, designated or appointed by each member; (ii) the presence of three members of the board of directors or investment committee, provided that the individual that was elected, designated or appointed by the member with only one individual present shall be entitled to cast two votes on each matter; and (iii) the presence of four members of the board of directors or investment committee shall constitute a quorum, provided that two individuals are present that were elected, designated or appointed by each member.</w:t>
      </w:r>
    </w:p>
    <w:p>
      <w:pPr>
        <w:spacing w:after="0" w:line="118" w:lineRule="exact"/>
        <w:rPr>
          <w:sz w:val="20"/>
          <w:szCs w:val="20"/>
          <w:color w:val="auto"/>
        </w:rPr>
      </w:pPr>
    </w:p>
    <w:p>
      <w:pPr>
        <w:ind w:right="320" w:firstLine="438"/>
        <w:spacing w:after="0" w:line="253" w:lineRule="auto"/>
        <w:rPr>
          <w:sz w:val="20"/>
          <w:szCs w:val="20"/>
          <w:color w:val="auto"/>
        </w:rPr>
      </w:pPr>
      <w:r>
        <w:rPr>
          <w:rFonts w:ascii="Arial" w:cs="Arial" w:eastAsia="Arial" w:hAnsi="Arial"/>
          <w:sz w:val="14"/>
          <w:szCs w:val="14"/>
          <w:color w:val="auto"/>
        </w:rPr>
        <w:t>Additionally, PSSL has entered into the PSSL Credit Facility with Capital One, N.A. through its wholly-owned subsidiary, PSSL Subsidiary, which as of June 30, 2018 allowed PSSL Subsidiary to borrow up to $420 million at any one time outstanding, subject to leverage and borrowing base restrictions.</w:t>
      </w:r>
    </w:p>
    <w:p>
      <w:pPr>
        <w:spacing w:after="0" w:line="10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Below is a summary of PSSL’s portfolio at fair value: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6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June 30, 2018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7"/>
              </w:rPr>
              <w:t>September 30, 2017</w:t>
            </w:r>
          </w:p>
        </w:tc>
        <w:tc>
          <w:tcPr>
            <w:tcW w:w="20" w:type="dxa"/>
            <w:vAlign w:val="bottom"/>
          </w:tcPr>
          <w:p>
            <w:pPr>
              <w:spacing w:after="0"/>
              <w:rPr>
                <w:sz w:val="14"/>
                <w:szCs w:val="14"/>
                <w:color w:val="auto"/>
              </w:rPr>
            </w:pPr>
          </w:p>
        </w:tc>
      </w:tr>
      <w:tr>
        <w:trPr>
          <w:trHeight w:val="156"/>
        </w:trPr>
        <w:tc>
          <w:tcPr>
            <w:tcW w:w="458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Total investments</w:t>
            </w:r>
          </w:p>
        </w:tc>
        <w:tc>
          <w:tcPr>
            <w:tcW w:w="2600" w:type="dxa"/>
            <w:vAlign w:val="bottom"/>
            <w:tcBorders>
              <w:top w:val="single" w:sz="8" w:color="CCECFF"/>
            </w:tcBorders>
            <w:shd w:val="clear" w:color="auto" w:fill="CCECFF"/>
          </w:tcPr>
          <w:p>
            <w:pPr>
              <w:spacing w:after="0"/>
              <w:rPr>
                <w:sz w:val="13"/>
                <w:szCs w:val="13"/>
                <w:color w:val="auto"/>
              </w:rPr>
            </w:pPr>
          </w:p>
        </w:tc>
        <w:tc>
          <w:tcPr>
            <w:tcW w:w="260" w:type="dxa"/>
            <w:vAlign w:val="bottom"/>
            <w:tcBorders>
              <w:top w:val="single" w:sz="8" w:color="auto"/>
            </w:tcBorders>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15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346,936,205</w:t>
            </w:r>
          </w:p>
        </w:tc>
        <w:tc>
          <w:tcPr>
            <w:tcW w:w="22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6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99,994,314</w:t>
            </w:r>
          </w:p>
        </w:tc>
        <w:tc>
          <w:tcPr>
            <w:tcW w:w="140" w:type="dxa"/>
            <w:vAlign w:val="bottom"/>
            <w:tcBorders>
              <w:top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4580" w:type="dxa"/>
            <w:vAlign w:val="bottom"/>
          </w:tcPr>
          <w:p>
            <w:pPr>
              <w:spacing w:after="0"/>
              <w:rPr>
                <w:sz w:val="20"/>
                <w:szCs w:val="20"/>
                <w:color w:val="auto"/>
              </w:rPr>
            </w:pPr>
            <w:r>
              <w:rPr>
                <w:rFonts w:ascii="Arial" w:cs="Arial" w:eastAsia="Arial" w:hAnsi="Arial"/>
                <w:sz w:val="14"/>
                <w:szCs w:val="14"/>
                <w:color w:val="auto"/>
              </w:rPr>
              <w:t>Weighted average cost yield on income producing investments</w:t>
            </w:r>
          </w:p>
        </w:tc>
        <w:tc>
          <w:tcPr>
            <w:tcW w:w="2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60" w:type="dxa"/>
            <w:vAlign w:val="bottom"/>
            <w:gridSpan w:val="2"/>
          </w:tcPr>
          <w:p>
            <w:pPr>
              <w:jc w:val="right"/>
              <w:ind w:right="100"/>
              <w:spacing w:after="0"/>
              <w:rPr>
                <w:sz w:val="20"/>
                <w:szCs w:val="20"/>
                <w:color w:val="auto"/>
              </w:rPr>
            </w:pPr>
            <w:r>
              <w:rPr>
                <w:rFonts w:ascii="Arial" w:cs="Arial" w:eastAsia="Arial" w:hAnsi="Arial"/>
                <w:sz w:val="14"/>
                <w:szCs w:val="14"/>
                <w:color w:val="auto"/>
              </w:rPr>
              <w:t>7.7%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gridSpan w:val="2"/>
          </w:tcPr>
          <w:p>
            <w:pPr>
              <w:jc w:val="right"/>
              <w:ind w:right="20"/>
              <w:spacing w:after="0"/>
              <w:rPr>
                <w:sz w:val="20"/>
                <w:szCs w:val="20"/>
                <w:color w:val="auto"/>
              </w:rPr>
            </w:pPr>
            <w:r>
              <w:rPr>
                <w:rFonts w:ascii="Arial" w:cs="Arial" w:eastAsia="Arial" w:hAnsi="Arial"/>
                <w:sz w:val="14"/>
                <w:szCs w:val="14"/>
                <w:color w:val="auto"/>
              </w:rPr>
              <w:t>7.2%</w:t>
            </w:r>
          </w:p>
        </w:tc>
        <w:tc>
          <w:tcPr>
            <w:tcW w:w="20" w:type="dxa"/>
            <w:vAlign w:val="bottom"/>
          </w:tcPr>
          <w:p>
            <w:pPr>
              <w:spacing w:after="0"/>
              <w:rPr>
                <w:sz w:val="14"/>
                <w:szCs w:val="14"/>
                <w:color w:val="auto"/>
              </w:rPr>
            </w:pPr>
          </w:p>
        </w:tc>
      </w:tr>
      <w:tr>
        <w:trPr>
          <w:trHeight w:val="162"/>
        </w:trPr>
        <w:tc>
          <w:tcPr>
            <w:tcW w:w="4580" w:type="dxa"/>
            <w:vAlign w:val="bottom"/>
            <w:shd w:val="clear" w:color="auto" w:fill="CCECFF"/>
          </w:tcPr>
          <w:p>
            <w:pPr>
              <w:spacing w:after="0"/>
              <w:rPr>
                <w:sz w:val="20"/>
                <w:szCs w:val="20"/>
                <w:color w:val="auto"/>
              </w:rPr>
            </w:pPr>
            <w:r>
              <w:rPr>
                <w:rFonts w:ascii="Arial" w:cs="Arial" w:eastAsia="Arial" w:hAnsi="Arial"/>
                <w:sz w:val="14"/>
                <w:szCs w:val="14"/>
                <w:color w:val="auto"/>
              </w:rPr>
              <w:t>Number of portfolio companies in PSSL</w:t>
            </w:r>
          </w:p>
        </w:tc>
        <w:tc>
          <w:tcPr>
            <w:tcW w:w="260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5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38</w:t>
            </w:r>
          </w:p>
        </w:tc>
        <w:tc>
          <w:tcPr>
            <w:tcW w:w="2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6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18</w:t>
            </w:r>
          </w:p>
        </w:tc>
        <w:tc>
          <w:tcPr>
            <w:tcW w:w="14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4580" w:type="dxa"/>
            <w:vAlign w:val="bottom"/>
          </w:tcPr>
          <w:p>
            <w:pPr>
              <w:spacing w:after="0"/>
              <w:rPr>
                <w:sz w:val="20"/>
                <w:szCs w:val="20"/>
                <w:color w:val="auto"/>
              </w:rPr>
            </w:pPr>
            <w:r>
              <w:rPr>
                <w:rFonts w:ascii="Arial" w:cs="Arial" w:eastAsia="Arial" w:hAnsi="Arial"/>
                <w:sz w:val="14"/>
                <w:szCs w:val="14"/>
                <w:color w:val="auto"/>
              </w:rPr>
              <w:t>Largest portfolio company investment</w:t>
            </w:r>
          </w:p>
        </w:tc>
        <w:tc>
          <w:tcPr>
            <w:tcW w:w="2860" w:type="dxa"/>
            <w:vAlign w:val="bottom"/>
            <w:gridSpan w:val="2"/>
          </w:tcPr>
          <w:p>
            <w:pPr>
              <w:jc w:val="right"/>
              <w:ind w:right="149"/>
              <w:spacing w:after="0"/>
              <w:rPr>
                <w:sz w:val="20"/>
                <w:szCs w:val="20"/>
                <w:color w:val="auto"/>
              </w:rPr>
            </w:pPr>
            <w:r>
              <w:rPr>
                <w:rFonts w:ascii="Arial" w:cs="Arial" w:eastAsia="Arial" w:hAnsi="Arial"/>
                <w:sz w:val="14"/>
                <w:szCs w:val="14"/>
                <w:color w:val="auto"/>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19,800,000</w:t>
            </w:r>
          </w:p>
        </w:tc>
        <w:tc>
          <w:tcPr>
            <w:tcW w:w="220" w:type="dxa"/>
            <w:vAlign w:val="bottom"/>
          </w:tcPr>
          <w:p>
            <w:pPr>
              <w:spacing w:after="0"/>
              <w:rPr>
                <w:sz w:val="14"/>
                <w:szCs w:val="14"/>
                <w:color w:val="auto"/>
              </w:rPr>
            </w:pPr>
          </w:p>
        </w:tc>
        <w:tc>
          <w:tcPr>
            <w:tcW w:w="30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8,080,000</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4580" w:type="dxa"/>
            <w:vAlign w:val="bottom"/>
            <w:shd w:val="clear" w:color="auto" w:fill="CCECFF"/>
          </w:tcPr>
          <w:p>
            <w:pPr>
              <w:spacing w:after="0"/>
              <w:rPr>
                <w:sz w:val="20"/>
                <w:szCs w:val="20"/>
                <w:color w:val="auto"/>
              </w:rPr>
            </w:pPr>
            <w:r>
              <w:rPr>
                <w:rFonts w:ascii="Arial" w:cs="Arial" w:eastAsia="Arial" w:hAnsi="Arial"/>
                <w:sz w:val="14"/>
                <w:szCs w:val="14"/>
                <w:color w:val="auto"/>
              </w:rPr>
              <w:t>Total of five largest portfolio company investments</w:t>
            </w:r>
          </w:p>
        </w:tc>
        <w:tc>
          <w:tcPr>
            <w:tcW w:w="2860" w:type="dxa"/>
            <w:vAlign w:val="bottom"/>
            <w:gridSpan w:val="2"/>
            <w:shd w:val="clear" w:color="auto" w:fill="CCECFF"/>
          </w:tcPr>
          <w:p>
            <w:pPr>
              <w:jc w:val="right"/>
              <w:ind w:right="149"/>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82,467,000</w:t>
            </w:r>
          </w:p>
        </w:tc>
        <w:tc>
          <w:tcPr>
            <w:tcW w:w="220" w:type="dxa"/>
            <w:vAlign w:val="bottom"/>
            <w:shd w:val="clear" w:color="auto" w:fill="CCECFF"/>
          </w:tcPr>
          <w:p>
            <w:pPr>
              <w:spacing w:after="0"/>
              <w:rPr>
                <w:sz w:val="14"/>
                <w:szCs w:val="14"/>
                <w:color w:val="auto"/>
              </w:rPr>
            </w:pPr>
          </w:p>
        </w:tc>
        <w:tc>
          <w:tcPr>
            <w:tcW w:w="300" w:type="dxa"/>
            <w:vAlign w:val="bottom"/>
            <w:gridSpan w:val="2"/>
            <w:shd w:val="clear" w:color="auto" w:fill="CCECFF"/>
          </w:tcPr>
          <w:p>
            <w:pPr>
              <w:jc w:val="right"/>
              <w:ind w:right="48"/>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34,935,330</w:t>
            </w:r>
          </w:p>
        </w:tc>
        <w:tc>
          <w:tcPr>
            <w:tcW w:w="14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r>
      <w:tr>
        <w:trPr>
          <w:trHeight w:val="676"/>
        </w:trPr>
        <w:tc>
          <w:tcPr>
            <w:tcW w:w="4580" w:type="dxa"/>
            <w:vAlign w:val="bottom"/>
          </w:tcPr>
          <w:p>
            <w:pPr>
              <w:spacing w:after="0"/>
              <w:rPr>
                <w:sz w:val="24"/>
                <w:szCs w:val="24"/>
                <w:color w:val="auto"/>
              </w:rPr>
            </w:pPr>
          </w:p>
        </w:tc>
        <w:tc>
          <w:tcPr>
            <w:tcW w:w="2600" w:type="dxa"/>
            <w:vAlign w:val="bottom"/>
          </w:tcPr>
          <w:p>
            <w:pPr>
              <w:jc w:val="right"/>
              <w:ind w:right="1408"/>
              <w:spacing w:after="0"/>
              <w:rPr>
                <w:sz w:val="20"/>
                <w:szCs w:val="20"/>
                <w:color w:val="auto"/>
              </w:rPr>
            </w:pPr>
            <w:r>
              <w:rPr>
                <w:rFonts w:ascii="Arial" w:cs="Arial" w:eastAsia="Arial" w:hAnsi="Arial"/>
                <w:sz w:val="14"/>
                <w:szCs w:val="14"/>
                <w:color w:val="auto"/>
              </w:rPr>
              <w:t>35</w:t>
            </w: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0"/>
        </w:trPr>
        <w:tc>
          <w:tcPr>
            <w:tcW w:w="4580" w:type="dxa"/>
            <w:vAlign w:val="bottom"/>
            <w:tcBorders>
              <w:bottom w:val="single" w:sz="8" w:color="9A9A9A"/>
            </w:tcBorders>
          </w:tcPr>
          <w:p>
            <w:pPr>
              <w:spacing w:after="0"/>
              <w:rPr>
                <w:sz w:val="8"/>
                <w:szCs w:val="8"/>
                <w:color w:val="auto"/>
              </w:rPr>
            </w:pPr>
          </w:p>
        </w:tc>
        <w:tc>
          <w:tcPr>
            <w:tcW w:w="26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5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6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269" w:right="319" w:bottom="1440" w:gutter="0" w:footer="0" w:header="0"/>
        </w:sectPr>
      </w:pPr>
    </w:p>
    <w:bookmarkStart w:id="35" w:name="page36"/>
    <w:bookmarkEnd w:id="35"/>
    <w:p>
      <w:pPr>
        <w:ind w:left="440"/>
        <w:spacing w:after="0"/>
        <w:rPr>
          <w:sz w:val="20"/>
          <w:szCs w:val="20"/>
          <w:color w:val="auto"/>
        </w:rPr>
      </w:pPr>
      <w:r>
        <w:rPr>
          <w:rFonts w:ascii="Arial" w:cs="Arial" w:eastAsia="Arial" w:hAnsi="Arial"/>
          <w:sz w:val="14"/>
          <w:szCs w:val="14"/>
          <w:color w:val="auto"/>
        </w:rPr>
        <w:t>Below is a listing of PSSL’s individual investments as of June 30, 2018:</w:t>
      </w:r>
    </w:p>
    <w:p>
      <w:pPr>
        <w:spacing w:after="0" w:line="294"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PennantPark Senior Secured Loan Fund I LLC</w:t>
      </w:r>
    </w:p>
    <w:p>
      <w:pPr>
        <w:spacing w:after="0" w:line="17"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Schedule of Investments</w:t>
      </w:r>
    </w:p>
    <w:p>
      <w:pPr>
        <w:spacing w:after="0" w:line="1"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June 30, 2018</w:t>
      </w:r>
    </w:p>
    <w:p>
      <w:pPr>
        <w:spacing w:after="0" w:line="1"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(Unaudited)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8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2"/>
                <w:szCs w:val="12"/>
                <w:b w:val="1"/>
                <w:bCs w:val="1"/>
                <w:color w:val="auto"/>
                <w:w w:val="85"/>
              </w:rPr>
              <w:t>Basis Point</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28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8"/>
              </w:rPr>
              <w:t>Spread</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8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right"/>
              <w:ind w:right="380"/>
              <w:spacing w:after="0" w:line="135" w:lineRule="exact"/>
              <w:rPr>
                <w:sz w:val="20"/>
                <w:szCs w:val="20"/>
                <w:color w:val="auto"/>
              </w:rPr>
            </w:pPr>
            <w:r>
              <w:rPr>
                <w:rFonts w:ascii="Arial" w:cs="Arial" w:eastAsia="Arial" w:hAnsi="Arial"/>
                <w:sz w:val="12"/>
                <w:szCs w:val="12"/>
                <w:b w:val="1"/>
                <w:bCs w:val="1"/>
                <w:color w:val="auto"/>
              </w:rPr>
              <w:t>Current</w:t>
            </w:r>
          </w:p>
        </w:tc>
        <w:tc>
          <w:tcPr>
            <w:tcW w:w="6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7"/>
              </w:rPr>
              <w:t>Above</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3"/>
        </w:trPr>
        <w:tc>
          <w:tcPr>
            <w:tcW w:w="2840" w:type="dxa"/>
            <w:vAlign w:val="bottom"/>
          </w:tcPr>
          <w:p>
            <w:pPr>
              <w:spacing w:after="0"/>
              <w:rPr>
                <w:sz w:val="20"/>
                <w:szCs w:val="20"/>
                <w:color w:val="auto"/>
              </w:rPr>
            </w:pPr>
            <w:r>
              <w:rPr>
                <w:rFonts w:ascii="Arial" w:cs="Arial" w:eastAsia="Arial" w:hAnsi="Arial"/>
                <w:sz w:val="12"/>
                <w:szCs w:val="12"/>
                <w:b w:val="1"/>
                <w:bCs w:val="1"/>
                <w:color w:val="auto"/>
              </w:rPr>
              <w:t>Issuer Name</w:t>
            </w:r>
          </w:p>
        </w:tc>
        <w:tc>
          <w:tcPr>
            <w:tcW w:w="1180" w:type="dxa"/>
            <w:vAlign w:val="bottom"/>
          </w:tcPr>
          <w:p>
            <w:pPr>
              <w:jc w:val="center"/>
              <w:spacing w:after="0"/>
              <w:rPr>
                <w:sz w:val="20"/>
                <w:szCs w:val="20"/>
                <w:color w:val="auto"/>
              </w:rPr>
            </w:pPr>
            <w:r>
              <w:rPr>
                <w:rFonts w:ascii="Arial" w:cs="Arial" w:eastAsia="Arial" w:hAnsi="Arial"/>
                <w:sz w:val="12"/>
                <w:szCs w:val="12"/>
                <w:b w:val="1"/>
                <w:bCs w:val="1"/>
                <w:color w:val="auto"/>
                <w:w w:val="98"/>
              </w:rPr>
              <w:t>Maturity</w:t>
            </w:r>
          </w:p>
        </w:tc>
        <w:tc>
          <w:tcPr>
            <w:tcW w:w="262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2"/>
              </w:rPr>
              <w:t>Industry</w:t>
            </w:r>
          </w:p>
        </w:tc>
        <w:tc>
          <w:tcPr>
            <w:tcW w:w="920" w:type="dxa"/>
            <w:vAlign w:val="bottom"/>
            <w:gridSpan w:val="2"/>
          </w:tcPr>
          <w:p>
            <w:pPr>
              <w:jc w:val="right"/>
              <w:ind w:right="380"/>
              <w:spacing w:after="0"/>
              <w:rPr>
                <w:sz w:val="20"/>
                <w:szCs w:val="20"/>
                <w:color w:val="auto"/>
              </w:rPr>
            </w:pPr>
            <w:r>
              <w:rPr>
                <w:rFonts w:ascii="Arial" w:cs="Arial" w:eastAsia="Arial" w:hAnsi="Arial"/>
                <w:sz w:val="12"/>
                <w:szCs w:val="12"/>
                <w:b w:val="1"/>
                <w:bCs w:val="1"/>
                <w:color w:val="auto"/>
              </w:rPr>
              <w:t>Coupon</w:t>
            </w:r>
          </w:p>
        </w:tc>
        <w:tc>
          <w:tcPr>
            <w:tcW w:w="660" w:type="dxa"/>
            <w:vAlign w:val="bottom"/>
          </w:tcPr>
          <w:p>
            <w:pPr>
              <w:jc w:val="center"/>
              <w:spacing w:after="0"/>
              <w:rPr>
                <w:sz w:val="20"/>
                <w:szCs w:val="20"/>
                <w:color w:val="auto"/>
              </w:rPr>
            </w:pPr>
            <w:r>
              <w:rPr>
                <w:rFonts w:ascii="Arial" w:cs="Arial" w:eastAsia="Arial" w:hAnsi="Arial"/>
                <w:sz w:val="12"/>
                <w:szCs w:val="12"/>
                <w:b w:val="1"/>
                <w:bCs w:val="1"/>
                <w:color w:val="auto"/>
                <w:w w:val="96"/>
              </w:rPr>
              <w:t xml:space="preserve">Index </w:t>
            </w:r>
            <w:r>
              <w:rPr>
                <w:rFonts w:ascii="Arial" w:cs="Arial" w:eastAsia="Arial" w:hAnsi="Arial"/>
                <w:sz w:val="9"/>
                <w:szCs w:val="9"/>
                <w:b w:val="1"/>
                <w:bCs w:val="1"/>
                <w:color w:val="auto"/>
                <w:w w:val="96"/>
              </w:rPr>
              <w:t>(1)</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ind w:left="140"/>
              <w:spacing w:after="0"/>
              <w:rPr>
                <w:sz w:val="20"/>
                <w:szCs w:val="20"/>
                <w:color w:val="auto"/>
              </w:rPr>
            </w:pPr>
            <w:r>
              <w:rPr>
                <w:rFonts w:ascii="Arial" w:cs="Arial" w:eastAsia="Arial" w:hAnsi="Arial"/>
                <w:sz w:val="12"/>
                <w:szCs w:val="12"/>
                <w:b w:val="1"/>
                <w:bCs w:val="1"/>
                <w:color w:val="auto"/>
              </w:rPr>
              <w:t>Par</w:t>
            </w:r>
          </w:p>
        </w:tc>
        <w:tc>
          <w:tcPr>
            <w:tcW w:w="80" w:type="dxa"/>
            <w:vAlign w:val="bottom"/>
          </w:tcPr>
          <w:p>
            <w:pPr>
              <w:spacing w:after="0"/>
              <w:rPr>
                <w:sz w:val="12"/>
                <w:szCs w:val="12"/>
                <w:color w:val="auto"/>
              </w:rPr>
            </w:pP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Cost</w:t>
            </w:r>
          </w:p>
        </w:tc>
        <w:tc>
          <w:tcPr>
            <w:tcW w:w="860" w:type="dxa"/>
            <w:vAlign w:val="bottom"/>
            <w:gridSpan w:val="3"/>
          </w:tcPr>
          <w:p>
            <w:pPr>
              <w:jc w:val="right"/>
              <w:ind w:right="160"/>
              <w:spacing w:after="0"/>
              <w:rPr>
                <w:sz w:val="20"/>
                <w:szCs w:val="20"/>
                <w:color w:val="auto"/>
              </w:rPr>
            </w:pPr>
            <w:r>
              <w:rPr>
                <w:rFonts w:ascii="Arial" w:cs="Arial" w:eastAsia="Arial" w:hAnsi="Arial"/>
                <w:sz w:val="12"/>
                <w:szCs w:val="12"/>
                <w:b w:val="1"/>
                <w:bCs w:val="1"/>
                <w:color w:val="auto"/>
                <w:w w:val="94"/>
              </w:rPr>
              <w:t xml:space="preserve">Fair Value </w:t>
            </w:r>
            <w:r>
              <w:rPr>
                <w:rFonts w:ascii="Arial" w:cs="Arial" w:eastAsia="Arial" w:hAnsi="Arial"/>
                <w:sz w:val="9"/>
                <w:szCs w:val="9"/>
                <w:b w:val="1"/>
                <w:bCs w:val="1"/>
                <w:color w:val="auto"/>
                <w:w w:val="94"/>
              </w:rPr>
              <w:t>(2)</w:t>
            </w:r>
          </w:p>
        </w:tc>
      </w:tr>
      <w:tr>
        <w:trPr>
          <w:trHeight w:val="142"/>
        </w:trPr>
        <w:tc>
          <w:tcPr>
            <w:tcW w:w="4020" w:type="dxa"/>
            <w:vAlign w:val="bottom"/>
            <w:tcBorders>
              <w:top w:val="single" w:sz="8" w:color="auto"/>
            </w:tcBorders>
            <w:gridSpan w:val="2"/>
            <w:shd w:val="clear" w:color="auto" w:fill="CCECFF"/>
          </w:tcPr>
          <w:p>
            <w:pPr>
              <w:spacing w:after="0"/>
              <w:rPr>
                <w:sz w:val="20"/>
                <w:szCs w:val="20"/>
                <w:color w:val="auto"/>
              </w:rPr>
            </w:pPr>
            <w:r>
              <w:rPr>
                <w:rFonts w:ascii="Arial" w:cs="Arial" w:eastAsia="Arial" w:hAnsi="Arial"/>
                <w:sz w:val="12"/>
                <w:szCs w:val="12"/>
                <w:b w:val="1"/>
                <w:bCs w:val="1"/>
                <w:color w:val="auto"/>
                <w:w w:val="92"/>
              </w:rPr>
              <w:t>Investments in Non-Controlled, Non-Affiliated Portfolio Companies—822.7%</w:t>
            </w:r>
          </w:p>
        </w:tc>
        <w:tc>
          <w:tcPr>
            <w:tcW w:w="2500" w:type="dxa"/>
            <w:vAlign w:val="bottom"/>
            <w:tcBorders>
              <w:top w:val="single" w:sz="8" w:color="auto"/>
            </w:tcBorders>
            <w:shd w:val="clear" w:color="auto" w:fill="CCECFF"/>
          </w:tcPr>
          <w:p>
            <w:pPr>
              <w:spacing w:after="0"/>
              <w:rPr>
                <w:sz w:val="12"/>
                <w:szCs w:val="12"/>
                <w:color w:val="auto"/>
              </w:rPr>
            </w:pPr>
          </w:p>
        </w:tc>
        <w:tc>
          <w:tcPr>
            <w:tcW w:w="120" w:type="dxa"/>
            <w:vAlign w:val="bottom"/>
            <w:tcBorders>
              <w:top w:val="single" w:sz="8" w:color="CCECFF"/>
            </w:tcBorders>
            <w:shd w:val="clear" w:color="auto" w:fill="CCECFF"/>
          </w:tcPr>
          <w:p>
            <w:pPr>
              <w:spacing w:after="0"/>
              <w:rPr>
                <w:sz w:val="12"/>
                <w:szCs w:val="12"/>
                <w:color w:val="auto"/>
              </w:rPr>
            </w:pPr>
          </w:p>
        </w:tc>
        <w:tc>
          <w:tcPr>
            <w:tcW w:w="68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660" w:type="dxa"/>
            <w:vAlign w:val="bottom"/>
            <w:tcBorders>
              <w:top w:val="single" w:sz="8" w:color="auto"/>
            </w:tcBorders>
            <w:shd w:val="clear" w:color="auto" w:fill="CCECFF"/>
          </w:tcPr>
          <w:p>
            <w:pPr>
              <w:spacing w:after="0"/>
              <w:rPr>
                <w:sz w:val="12"/>
                <w:szCs w:val="12"/>
                <w:color w:val="auto"/>
              </w:rPr>
            </w:pPr>
          </w:p>
        </w:tc>
        <w:tc>
          <w:tcPr>
            <w:tcW w:w="320" w:type="dxa"/>
            <w:vAlign w:val="bottom"/>
            <w:tcBorders>
              <w:top w:val="single" w:sz="8" w:color="CCECFF"/>
            </w:tcBorders>
            <w:shd w:val="clear" w:color="auto" w:fill="CCECFF"/>
          </w:tcPr>
          <w:p>
            <w:pPr>
              <w:spacing w:after="0"/>
              <w:rPr>
                <w:sz w:val="12"/>
                <w:szCs w:val="12"/>
                <w:color w:val="auto"/>
              </w:rPr>
            </w:pPr>
          </w:p>
        </w:tc>
        <w:tc>
          <w:tcPr>
            <w:tcW w:w="100" w:type="dxa"/>
            <w:vAlign w:val="bottom"/>
            <w:tcBorders>
              <w:top w:val="single" w:sz="8" w:color="auto"/>
            </w:tcBorders>
            <w:shd w:val="clear" w:color="auto" w:fill="CCECFF"/>
          </w:tcPr>
          <w:p>
            <w:pPr>
              <w:spacing w:after="0"/>
              <w:rPr>
                <w:sz w:val="12"/>
                <w:szCs w:val="12"/>
                <w:color w:val="auto"/>
              </w:rPr>
            </w:pPr>
          </w:p>
        </w:tc>
        <w:tc>
          <w:tcPr>
            <w:tcW w:w="56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tcBorders>
            <w:shd w:val="clear" w:color="auto" w:fill="CCECFF"/>
          </w:tcPr>
          <w:p>
            <w:pPr>
              <w:spacing w:after="0"/>
              <w:rPr>
                <w:sz w:val="12"/>
                <w:szCs w:val="12"/>
                <w:color w:val="auto"/>
              </w:rPr>
            </w:pPr>
          </w:p>
        </w:tc>
        <w:tc>
          <w:tcPr>
            <w:tcW w:w="62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tcBorders>
            <w:shd w:val="clear" w:color="auto" w:fill="CCECFF"/>
          </w:tcPr>
          <w:p>
            <w:pPr>
              <w:spacing w:after="0"/>
              <w:rPr>
                <w:sz w:val="12"/>
                <w:szCs w:val="12"/>
                <w:color w:val="auto"/>
              </w:rPr>
            </w:pPr>
          </w:p>
        </w:tc>
        <w:tc>
          <w:tcPr>
            <w:tcW w:w="680" w:type="dxa"/>
            <w:vAlign w:val="bottom"/>
            <w:tcBorders>
              <w:top w:val="single" w:sz="8" w:color="auto"/>
            </w:tcBorders>
            <w:shd w:val="clear" w:color="auto" w:fill="CCECFF"/>
          </w:tcPr>
          <w:p>
            <w:pPr>
              <w:spacing w:after="0"/>
              <w:rPr>
                <w:sz w:val="12"/>
                <w:szCs w:val="12"/>
                <w:color w:val="auto"/>
              </w:rPr>
            </w:pPr>
          </w:p>
        </w:tc>
        <w:tc>
          <w:tcPr>
            <w:tcW w:w="100" w:type="dxa"/>
            <w:vAlign w:val="bottom"/>
            <w:tcBorders>
              <w:top w:val="single" w:sz="8" w:color="CCECFF"/>
            </w:tcBorders>
            <w:shd w:val="clear" w:color="auto" w:fill="CCECFF"/>
          </w:tcPr>
          <w:p>
            <w:pPr>
              <w:spacing w:after="0"/>
              <w:rPr>
                <w:sz w:val="12"/>
                <w:szCs w:val="12"/>
                <w:color w:val="auto"/>
              </w:rPr>
            </w:pPr>
          </w:p>
        </w:tc>
      </w:tr>
      <w:tr>
        <w:trPr>
          <w:trHeight w:val="148"/>
        </w:trPr>
        <w:tc>
          <w:tcPr>
            <w:tcW w:w="2840" w:type="dxa"/>
            <w:vAlign w:val="bottom"/>
          </w:tcPr>
          <w:p>
            <w:pPr>
              <w:spacing w:after="0"/>
              <w:rPr>
                <w:sz w:val="20"/>
                <w:szCs w:val="20"/>
                <w:color w:val="auto"/>
              </w:rPr>
            </w:pPr>
            <w:r>
              <w:rPr>
                <w:rFonts w:ascii="Arial" w:cs="Arial" w:eastAsia="Arial" w:hAnsi="Arial"/>
                <w:sz w:val="12"/>
                <w:szCs w:val="12"/>
                <w:b w:val="1"/>
                <w:bCs w:val="1"/>
                <w:color w:val="auto"/>
              </w:rPr>
              <w:t>First Lien Secured Debt—822.7%</w:t>
            </w:r>
          </w:p>
        </w:tc>
        <w:tc>
          <w:tcPr>
            <w:tcW w:w="11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8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Alvogen Pharma US, Inc. </w:t>
            </w:r>
            <w:r>
              <w:rPr>
                <w:rFonts w:ascii="Arial" w:cs="Arial" w:eastAsia="Arial" w:hAnsi="Arial"/>
                <w:sz w:val="9"/>
                <w:szCs w:val="9"/>
                <w:color w:val="auto"/>
              </w:rPr>
              <w:t>(3)</w:t>
            </w:r>
          </w:p>
        </w:tc>
        <w:tc>
          <w:tcPr>
            <w:tcW w:w="11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9"/>
              </w:rPr>
              <w:t>04/04/2022</w:t>
            </w:r>
          </w:p>
        </w:tc>
        <w:tc>
          <w:tcPr>
            <w:tcW w:w="2620" w:type="dxa"/>
            <w:vAlign w:val="bottom"/>
            <w:gridSpan w:val="2"/>
            <w:shd w:val="clear" w:color="auto" w:fill="CCECFF"/>
          </w:tcPr>
          <w:p>
            <w:pPr>
              <w:jc w:val="center"/>
              <w:ind w:right="240"/>
              <w:spacing w:after="0"/>
              <w:rPr>
                <w:sz w:val="20"/>
                <w:szCs w:val="20"/>
                <w:color w:val="auto"/>
              </w:rPr>
            </w:pPr>
            <w:r>
              <w:rPr>
                <w:rFonts w:ascii="Arial" w:cs="Arial" w:eastAsia="Arial" w:hAnsi="Arial"/>
                <w:sz w:val="12"/>
                <w:szCs w:val="12"/>
                <w:color w:val="auto"/>
                <w:w w:val="86"/>
              </w:rPr>
              <w:t>Healthcare and Pharmaceuticals</w:t>
            </w:r>
          </w:p>
        </w:tc>
        <w:tc>
          <w:tcPr>
            <w:tcW w:w="92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6.84%</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L+475</w:t>
            </w: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5,522,843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jc w:val="right"/>
              <w:ind w:right="17"/>
              <w:spacing w:after="0"/>
              <w:rPr>
                <w:sz w:val="20"/>
                <w:szCs w:val="20"/>
                <w:color w:val="auto"/>
              </w:rPr>
            </w:pPr>
            <w:r>
              <w:rPr>
                <w:rFonts w:ascii="Arial" w:cs="Arial" w:eastAsia="Arial" w:hAnsi="Arial"/>
                <w:sz w:val="5"/>
                <w:szCs w:val="5"/>
                <w:color w:val="auto"/>
                <w:w w:val="70"/>
              </w:rPr>
              <w:t>$</w:t>
            </w: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5,465,470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5,526,323</w:t>
            </w:r>
          </w:p>
        </w:tc>
        <w:tc>
          <w:tcPr>
            <w:tcW w:w="100" w:type="dxa"/>
            <w:vAlign w:val="bottom"/>
            <w:shd w:val="clear" w:color="auto" w:fill="CCECFF"/>
          </w:tcPr>
          <w:p>
            <w:pPr>
              <w:spacing w:after="0"/>
              <w:rPr>
                <w:sz w:val="12"/>
                <w:szCs w:val="12"/>
                <w:color w:val="auto"/>
              </w:rPr>
            </w:pPr>
          </w:p>
        </w:tc>
      </w:tr>
      <w:tr>
        <w:trPr>
          <w:trHeight w:val="148"/>
        </w:trPr>
        <w:tc>
          <w:tcPr>
            <w:tcW w:w="2840" w:type="dxa"/>
            <w:vAlign w:val="bottom"/>
          </w:tcPr>
          <w:p>
            <w:pPr>
              <w:spacing w:after="0"/>
              <w:rPr>
                <w:sz w:val="20"/>
                <w:szCs w:val="20"/>
                <w:color w:val="auto"/>
              </w:rPr>
            </w:pPr>
            <w:r>
              <w:rPr>
                <w:rFonts w:ascii="Arial" w:cs="Arial" w:eastAsia="Arial" w:hAnsi="Arial"/>
                <w:sz w:val="12"/>
                <w:szCs w:val="12"/>
                <w:color w:val="auto"/>
              </w:rPr>
              <w:t>American Auto Auction Group, LLC</w:t>
            </w:r>
          </w:p>
        </w:tc>
        <w:tc>
          <w:tcPr>
            <w:tcW w:w="1180" w:type="dxa"/>
            <w:vAlign w:val="bottom"/>
          </w:tcPr>
          <w:p>
            <w:pPr>
              <w:jc w:val="center"/>
              <w:spacing w:after="0"/>
              <w:rPr>
                <w:sz w:val="20"/>
                <w:szCs w:val="20"/>
                <w:color w:val="auto"/>
              </w:rPr>
            </w:pPr>
            <w:r>
              <w:rPr>
                <w:rFonts w:ascii="Arial" w:cs="Arial" w:eastAsia="Arial" w:hAnsi="Arial"/>
                <w:sz w:val="12"/>
                <w:szCs w:val="12"/>
                <w:color w:val="auto"/>
                <w:w w:val="89"/>
              </w:rPr>
              <w:t>11/30/2021</w:t>
            </w:r>
          </w:p>
        </w:tc>
        <w:tc>
          <w:tcPr>
            <w:tcW w:w="2620" w:type="dxa"/>
            <w:vAlign w:val="bottom"/>
            <w:gridSpan w:val="2"/>
          </w:tcPr>
          <w:p>
            <w:pPr>
              <w:jc w:val="center"/>
              <w:ind w:right="240"/>
              <w:spacing w:after="0"/>
              <w:rPr>
                <w:sz w:val="20"/>
                <w:szCs w:val="20"/>
                <w:color w:val="auto"/>
              </w:rPr>
            </w:pPr>
            <w:r>
              <w:rPr>
                <w:rFonts w:ascii="Arial" w:cs="Arial" w:eastAsia="Arial" w:hAnsi="Arial"/>
                <w:sz w:val="12"/>
                <w:szCs w:val="12"/>
                <w:color w:val="auto"/>
                <w:w w:val="87"/>
              </w:rPr>
              <w:t>Transportation: Consumer</w:t>
            </w: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7.25%</w:t>
            </w:r>
          </w:p>
        </w:tc>
        <w:tc>
          <w:tcPr>
            <w:tcW w:w="660" w:type="dxa"/>
            <w:vAlign w:val="bottom"/>
          </w:tcPr>
          <w:p>
            <w:pPr>
              <w:jc w:val="right"/>
              <w:spacing w:after="0"/>
              <w:rPr>
                <w:sz w:val="20"/>
                <w:szCs w:val="20"/>
                <w:color w:val="auto"/>
              </w:rPr>
            </w:pPr>
            <w:r>
              <w:rPr>
                <w:rFonts w:ascii="Arial" w:cs="Arial" w:eastAsia="Arial" w:hAnsi="Arial"/>
                <w:sz w:val="12"/>
                <w:szCs w:val="12"/>
                <w:color w:val="auto"/>
              </w:rPr>
              <w:t>3M L+525</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97"/>
              </w:rPr>
              <w:t>4,974,811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4,932,628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4,900,189</w:t>
            </w:r>
          </w:p>
        </w:tc>
        <w:tc>
          <w:tcPr>
            <w:tcW w:w="100" w:type="dxa"/>
            <w:vAlign w:val="bottom"/>
          </w:tcPr>
          <w:p>
            <w:pPr>
              <w:spacing w:after="0"/>
              <w:rPr>
                <w:sz w:val="12"/>
                <w:szCs w:val="12"/>
                <w:color w:val="auto"/>
              </w:rPr>
            </w:pPr>
          </w:p>
        </w:tc>
      </w:tr>
      <w:tr>
        <w:trPr>
          <w:trHeight w:val="148"/>
        </w:trPr>
        <w:tc>
          <w:tcPr>
            <w:tcW w:w="2840" w:type="dxa"/>
            <w:vAlign w:val="bottom"/>
            <w:shd w:val="clear" w:color="auto" w:fill="CCECFF"/>
          </w:tcPr>
          <w:p>
            <w:pPr>
              <w:spacing w:after="0"/>
              <w:rPr>
                <w:sz w:val="20"/>
                <w:szCs w:val="20"/>
                <w:color w:val="auto"/>
              </w:rPr>
            </w:pPr>
            <w:r>
              <w:rPr>
                <w:rFonts w:ascii="Arial" w:cs="Arial" w:eastAsia="Arial" w:hAnsi="Arial"/>
                <w:sz w:val="12"/>
                <w:szCs w:val="12"/>
                <w:color w:val="auto"/>
              </w:rPr>
              <w:t>Anvil International, LLC</w:t>
            </w:r>
          </w:p>
        </w:tc>
        <w:tc>
          <w:tcPr>
            <w:tcW w:w="11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9"/>
              </w:rPr>
              <w:t>08/01/2024</w:t>
            </w:r>
          </w:p>
        </w:tc>
        <w:tc>
          <w:tcPr>
            <w:tcW w:w="2620" w:type="dxa"/>
            <w:vAlign w:val="bottom"/>
            <w:gridSpan w:val="2"/>
            <w:shd w:val="clear" w:color="auto" w:fill="CCECFF"/>
          </w:tcPr>
          <w:p>
            <w:pPr>
              <w:jc w:val="center"/>
              <w:ind w:right="260"/>
              <w:spacing w:after="0"/>
              <w:rPr>
                <w:sz w:val="20"/>
                <w:szCs w:val="20"/>
                <w:color w:val="auto"/>
              </w:rPr>
            </w:pPr>
            <w:r>
              <w:rPr>
                <w:rFonts w:ascii="Arial" w:cs="Arial" w:eastAsia="Arial" w:hAnsi="Arial"/>
                <w:sz w:val="12"/>
                <w:szCs w:val="12"/>
                <w:color w:val="auto"/>
                <w:w w:val="90"/>
              </w:rPr>
              <w:t>Construction and Building</w:t>
            </w:r>
          </w:p>
        </w:tc>
        <w:tc>
          <w:tcPr>
            <w:tcW w:w="92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6.60%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2M L+450</w:t>
            </w: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5,959,987</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5,913,984</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5,989,787</w:t>
            </w:r>
          </w:p>
        </w:tc>
        <w:tc>
          <w:tcPr>
            <w:tcW w:w="100" w:type="dxa"/>
            <w:vAlign w:val="bottom"/>
            <w:shd w:val="clear" w:color="auto" w:fill="CCECFF"/>
          </w:tcPr>
          <w:p>
            <w:pPr>
              <w:spacing w:after="0"/>
              <w:rPr>
                <w:sz w:val="12"/>
                <w:szCs w:val="12"/>
                <w:color w:val="auto"/>
              </w:rPr>
            </w:pPr>
          </w:p>
        </w:tc>
      </w:tr>
      <w:tr>
        <w:trPr>
          <w:trHeight w:val="148"/>
        </w:trPr>
        <w:tc>
          <w:tcPr>
            <w:tcW w:w="2840" w:type="dxa"/>
            <w:vAlign w:val="bottom"/>
          </w:tcPr>
          <w:p>
            <w:pPr>
              <w:spacing w:after="0"/>
              <w:rPr>
                <w:sz w:val="20"/>
                <w:szCs w:val="20"/>
                <w:color w:val="auto"/>
              </w:rPr>
            </w:pPr>
            <w:r>
              <w:rPr>
                <w:rFonts w:ascii="Arial" w:cs="Arial" w:eastAsia="Arial" w:hAnsi="Arial"/>
                <w:sz w:val="12"/>
                <w:szCs w:val="12"/>
                <w:color w:val="auto"/>
              </w:rPr>
              <w:t>API Technologies Corp.</w:t>
            </w:r>
          </w:p>
        </w:tc>
        <w:tc>
          <w:tcPr>
            <w:tcW w:w="1180" w:type="dxa"/>
            <w:vAlign w:val="bottom"/>
          </w:tcPr>
          <w:p>
            <w:pPr>
              <w:jc w:val="center"/>
              <w:spacing w:after="0"/>
              <w:rPr>
                <w:sz w:val="20"/>
                <w:szCs w:val="20"/>
                <w:color w:val="auto"/>
              </w:rPr>
            </w:pPr>
            <w:r>
              <w:rPr>
                <w:rFonts w:ascii="Arial" w:cs="Arial" w:eastAsia="Arial" w:hAnsi="Arial"/>
                <w:sz w:val="12"/>
                <w:szCs w:val="12"/>
                <w:color w:val="auto"/>
                <w:w w:val="89"/>
              </w:rPr>
              <w:t>04/22/2024</w:t>
            </w:r>
          </w:p>
        </w:tc>
        <w:tc>
          <w:tcPr>
            <w:tcW w:w="2620" w:type="dxa"/>
            <w:vAlign w:val="bottom"/>
            <w:gridSpan w:val="2"/>
          </w:tcPr>
          <w:p>
            <w:pPr>
              <w:jc w:val="center"/>
              <w:ind w:right="240"/>
              <w:spacing w:after="0"/>
              <w:rPr>
                <w:sz w:val="20"/>
                <w:szCs w:val="20"/>
                <w:color w:val="auto"/>
              </w:rPr>
            </w:pPr>
            <w:r>
              <w:rPr>
                <w:rFonts w:ascii="Arial" w:cs="Arial" w:eastAsia="Arial" w:hAnsi="Arial"/>
                <w:sz w:val="12"/>
                <w:szCs w:val="12"/>
                <w:color w:val="auto"/>
                <w:w w:val="85"/>
              </w:rPr>
              <w:t>Aerospace and Defense</w:t>
            </w: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8.10%</w:t>
            </w:r>
          </w:p>
        </w:tc>
        <w:tc>
          <w:tcPr>
            <w:tcW w:w="660" w:type="dxa"/>
            <w:vAlign w:val="bottom"/>
          </w:tcPr>
          <w:p>
            <w:pPr>
              <w:jc w:val="right"/>
              <w:spacing w:after="0"/>
              <w:rPr>
                <w:sz w:val="20"/>
                <w:szCs w:val="20"/>
                <w:color w:val="auto"/>
              </w:rPr>
            </w:pPr>
            <w:r>
              <w:rPr>
                <w:rFonts w:ascii="Arial" w:cs="Arial" w:eastAsia="Arial" w:hAnsi="Arial"/>
                <w:sz w:val="12"/>
                <w:szCs w:val="12"/>
                <w:color w:val="auto"/>
              </w:rPr>
              <w:t>1M L+600</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6"/>
              </w:rPr>
              <w:t>20,000,000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19,753,830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19,800,000</w:t>
            </w:r>
          </w:p>
        </w:tc>
        <w:tc>
          <w:tcPr>
            <w:tcW w:w="100" w:type="dxa"/>
            <w:vAlign w:val="bottom"/>
          </w:tcPr>
          <w:p>
            <w:pPr>
              <w:spacing w:after="0"/>
              <w:rPr>
                <w:sz w:val="12"/>
                <w:szCs w:val="12"/>
                <w:color w:val="auto"/>
              </w:rPr>
            </w:pPr>
          </w:p>
        </w:tc>
      </w:tr>
      <w:tr>
        <w:trPr>
          <w:trHeight w:val="148"/>
        </w:trPr>
        <w:tc>
          <w:tcPr>
            <w:tcW w:w="2840" w:type="dxa"/>
            <w:vAlign w:val="bottom"/>
            <w:shd w:val="clear" w:color="auto" w:fill="CCECFF"/>
          </w:tcPr>
          <w:p>
            <w:pPr>
              <w:spacing w:after="0"/>
              <w:rPr>
                <w:sz w:val="20"/>
                <w:szCs w:val="20"/>
                <w:color w:val="auto"/>
              </w:rPr>
            </w:pPr>
            <w:r>
              <w:rPr>
                <w:rFonts w:ascii="Arial" w:cs="Arial" w:eastAsia="Arial" w:hAnsi="Arial"/>
                <w:sz w:val="12"/>
                <w:szCs w:val="12"/>
                <w:color w:val="auto"/>
              </w:rPr>
              <w:t>Beauty Industry Group Opco, LLC</w:t>
            </w:r>
          </w:p>
        </w:tc>
        <w:tc>
          <w:tcPr>
            <w:tcW w:w="11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9"/>
              </w:rPr>
              <w:t>04/06/2023</w:t>
            </w:r>
          </w:p>
        </w:tc>
        <w:tc>
          <w:tcPr>
            <w:tcW w:w="2620" w:type="dxa"/>
            <w:vAlign w:val="bottom"/>
            <w:gridSpan w:val="2"/>
            <w:shd w:val="clear" w:color="auto" w:fill="CCECFF"/>
          </w:tcPr>
          <w:p>
            <w:pPr>
              <w:jc w:val="center"/>
              <w:ind w:right="240"/>
              <w:spacing w:after="0"/>
              <w:rPr>
                <w:sz w:val="20"/>
                <w:szCs w:val="20"/>
                <w:color w:val="auto"/>
              </w:rPr>
            </w:pPr>
            <w:r>
              <w:rPr>
                <w:rFonts w:ascii="Arial" w:cs="Arial" w:eastAsia="Arial" w:hAnsi="Arial"/>
                <w:sz w:val="12"/>
                <w:szCs w:val="12"/>
                <w:color w:val="auto"/>
                <w:w w:val="88"/>
              </w:rPr>
              <w:t>Consumer Goods: Non-Durable</w:t>
            </w:r>
          </w:p>
        </w:tc>
        <w:tc>
          <w:tcPr>
            <w:tcW w:w="92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6.85%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L+475</w:t>
            </w: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9,937,500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9,842,219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9,838,125</w:t>
            </w:r>
          </w:p>
        </w:tc>
        <w:tc>
          <w:tcPr>
            <w:tcW w:w="100" w:type="dxa"/>
            <w:vAlign w:val="bottom"/>
            <w:shd w:val="clear" w:color="auto" w:fill="CCECFF"/>
          </w:tcPr>
          <w:p>
            <w:pPr>
              <w:spacing w:after="0"/>
              <w:rPr>
                <w:sz w:val="12"/>
                <w:szCs w:val="12"/>
                <w:color w:val="auto"/>
              </w:rPr>
            </w:pPr>
          </w:p>
        </w:tc>
      </w:tr>
      <w:tr>
        <w:trPr>
          <w:trHeight w:val="149"/>
        </w:trPr>
        <w:tc>
          <w:tcPr>
            <w:tcW w:w="2840" w:type="dxa"/>
            <w:vAlign w:val="bottom"/>
          </w:tcPr>
          <w:p>
            <w:pPr>
              <w:spacing w:after="0"/>
              <w:rPr>
                <w:sz w:val="20"/>
                <w:szCs w:val="20"/>
                <w:color w:val="auto"/>
              </w:rPr>
            </w:pPr>
            <w:r>
              <w:rPr>
                <w:rFonts w:ascii="Arial" w:cs="Arial" w:eastAsia="Arial" w:hAnsi="Arial"/>
                <w:sz w:val="12"/>
                <w:szCs w:val="12"/>
                <w:color w:val="auto"/>
              </w:rPr>
              <w:t>By Light Professional IT Services, LLC</w:t>
            </w:r>
          </w:p>
        </w:tc>
        <w:tc>
          <w:tcPr>
            <w:tcW w:w="1180" w:type="dxa"/>
            <w:vAlign w:val="bottom"/>
          </w:tcPr>
          <w:p>
            <w:pPr>
              <w:jc w:val="center"/>
              <w:spacing w:after="0"/>
              <w:rPr>
                <w:sz w:val="20"/>
                <w:szCs w:val="20"/>
                <w:color w:val="auto"/>
              </w:rPr>
            </w:pPr>
            <w:r>
              <w:rPr>
                <w:rFonts w:ascii="Arial" w:cs="Arial" w:eastAsia="Arial" w:hAnsi="Arial"/>
                <w:sz w:val="12"/>
                <w:szCs w:val="12"/>
                <w:color w:val="auto"/>
                <w:w w:val="89"/>
              </w:rPr>
              <w:t>05/16/2022</w:t>
            </w:r>
          </w:p>
        </w:tc>
        <w:tc>
          <w:tcPr>
            <w:tcW w:w="2620" w:type="dxa"/>
            <w:vAlign w:val="bottom"/>
            <w:gridSpan w:val="2"/>
          </w:tcPr>
          <w:p>
            <w:pPr>
              <w:jc w:val="center"/>
              <w:ind w:right="240"/>
              <w:spacing w:after="0"/>
              <w:rPr>
                <w:sz w:val="20"/>
                <w:szCs w:val="20"/>
                <w:color w:val="auto"/>
              </w:rPr>
            </w:pPr>
            <w:r>
              <w:rPr>
                <w:rFonts w:ascii="Arial" w:cs="Arial" w:eastAsia="Arial" w:hAnsi="Arial"/>
                <w:sz w:val="12"/>
                <w:szCs w:val="12"/>
                <w:color w:val="auto"/>
                <w:w w:val="89"/>
              </w:rPr>
              <w:t>High Tech Industries</w:t>
            </w: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9.58%</w:t>
            </w:r>
          </w:p>
        </w:tc>
        <w:tc>
          <w:tcPr>
            <w:tcW w:w="660" w:type="dxa"/>
            <w:vAlign w:val="bottom"/>
          </w:tcPr>
          <w:p>
            <w:pPr>
              <w:jc w:val="right"/>
              <w:spacing w:after="0"/>
              <w:rPr>
                <w:sz w:val="20"/>
                <w:szCs w:val="20"/>
                <w:color w:val="auto"/>
              </w:rPr>
            </w:pPr>
            <w:r>
              <w:rPr>
                <w:rFonts w:ascii="Arial" w:cs="Arial" w:eastAsia="Arial" w:hAnsi="Arial"/>
                <w:sz w:val="12"/>
                <w:szCs w:val="12"/>
                <w:color w:val="auto"/>
              </w:rPr>
              <w:t>3M L+725</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6"/>
              </w:rPr>
              <w:t>10,761,235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10,526,033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10,761,235</w:t>
            </w:r>
          </w:p>
        </w:tc>
        <w:tc>
          <w:tcPr>
            <w:tcW w:w="100" w:type="dxa"/>
            <w:vAlign w:val="bottom"/>
          </w:tcPr>
          <w:p>
            <w:pPr>
              <w:spacing w:after="0"/>
              <w:rPr>
                <w:sz w:val="12"/>
                <w:szCs w:val="12"/>
                <w:color w:val="auto"/>
              </w:rPr>
            </w:pPr>
          </w:p>
        </w:tc>
      </w:tr>
      <w:tr>
        <w:trPr>
          <w:trHeight w:val="148"/>
        </w:trPr>
        <w:tc>
          <w:tcPr>
            <w:tcW w:w="2840" w:type="dxa"/>
            <w:vAlign w:val="bottom"/>
            <w:shd w:val="clear" w:color="auto" w:fill="CCECFF"/>
          </w:tcPr>
          <w:p>
            <w:pPr>
              <w:spacing w:after="0"/>
              <w:rPr>
                <w:sz w:val="20"/>
                <w:szCs w:val="20"/>
                <w:color w:val="auto"/>
              </w:rPr>
            </w:pPr>
            <w:r>
              <w:rPr>
                <w:rFonts w:ascii="Arial" w:cs="Arial" w:eastAsia="Arial" w:hAnsi="Arial"/>
                <w:sz w:val="12"/>
                <w:szCs w:val="12"/>
                <w:color w:val="auto"/>
              </w:rPr>
              <w:t>Cadence Aerospace, LLC</w:t>
            </w:r>
          </w:p>
        </w:tc>
        <w:tc>
          <w:tcPr>
            <w:tcW w:w="11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9"/>
              </w:rPr>
              <w:t>11/14/2023</w:t>
            </w:r>
          </w:p>
        </w:tc>
        <w:tc>
          <w:tcPr>
            <w:tcW w:w="2620" w:type="dxa"/>
            <w:vAlign w:val="bottom"/>
            <w:gridSpan w:val="2"/>
            <w:shd w:val="clear" w:color="auto" w:fill="CCECFF"/>
          </w:tcPr>
          <w:p>
            <w:pPr>
              <w:jc w:val="center"/>
              <w:ind w:right="240"/>
              <w:spacing w:after="0"/>
              <w:rPr>
                <w:sz w:val="20"/>
                <w:szCs w:val="20"/>
                <w:color w:val="auto"/>
              </w:rPr>
            </w:pPr>
            <w:r>
              <w:rPr>
                <w:rFonts w:ascii="Arial" w:cs="Arial" w:eastAsia="Arial" w:hAnsi="Arial"/>
                <w:sz w:val="12"/>
                <w:szCs w:val="12"/>
                <w:color w:val="auto"/>
                <w:w w:val="85"/>
              </w:rPr>
              <w:t>Aerospace and Defense</w:t>
            </w:r>
          </w:p>
        </w:tc>
        <w:tc>
          <w:tcPr>
            <w:tcW w:w="92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8.86%</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L+650</w:t>
            </w: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6"/>
              </w:rPr>
              <w:t>11,884,167</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11,772,584</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11,870,706</w:t>
            </w:r>
          </w:p>
        </w:tc>
        <w:tc>
          <w:tcPr>
            <w:tcW w:w="100" w:type="dxa"/>
            <w:vAlign w:val="bottom"/>
            <w:shd w:val="clear" w:color="auto" w:fill="CCECFF"/>
          </w:tcPr>
          <w:p>
            <w:pPr>
              <w:spacing w:after="0"/>
              <w:rPr>
                <w:sz w:val="12"/>
                <w:szCs w:val="12"/>
                <w:color w:val="auto"/>
              </w:rPr>
            </w:pPr>
          </w:p>
        </w:tc>
      </w:tr>
      <w:tr>
        <w:trPr>
          <w:trHeight w:val="148"/>
        </w:trPr>
        <w:tc>
          <w:tcPr>
            <w:tcW w:w="2840" w:type="dxa"/>
            <w:vAlign w:val="bottom"/>
          </w:tcPr>
          <w:p>
            <w:pPr>
              <w:spacing w:after="0"/>
              <w:rPr>
                <w:sz w:val="20"/>
                <w:szCs w:val="20"/>
                <w:color w:val="auto"/>
              </w:rPr>
            </w:pPr>
            <w:r>
              <w:rPr>
                <w:rFonts w:ascii="Arial" w:cs="Arial" w:eastAsia="Arial" w:hAnsi="Arial"/>
                <w:sz w:val="12"/>
                <w:szCs w:val="12"/>
                <w:color w:val="auto"/>
              </w:rPr>
              <w:t>Cardenas Markets LLC</w:t>
            </w:r>
          </w:p>
        </w:tc>
        <w:tc>
          <w:tcPr>
            <w:tcW w:w="1180" w:type="dxa"/>
            <w:vAlign w:val="bottom"/>
          </w:tcPr>
          <w:p>
            <w:pPr>
              <w:jc w:val="center"/>
              <w:spacing w:after="0"/>
              <w:rPr>
                <w:sz w:val="20"/>
                <w:szCs w:val="20"/>
                <w:color w:val="auto"/>
              </w:rPr>
            </w:pPr>
            <w:r>
              <w:rPr>
                <w:rFonts w:ascii="Arial" w:cs="Arial" w:eastAsia="Arial" w:hAnsi="Arial"/>
                <w:sz w:val="12"/>
                <w:szCs w:val="12"/>
                <w:color w:val="auto"/>
                <w:w w:val="89"/>
              </w:rPr>
              <w:t>11/29/2023</w:t>
            </w:r>
          </w:p>
        </w:tc>
        <w:tc>
          <w:tcPr>
            <w:tcW w:w="2620" w:type="dxa"/>
            <w:vAlign w:val="bottom"/>
            <w:gridSpan w:val="2"/>
          </w:tcPr>
          <w:p>
            <w:pPr>
              <w:jc w:val="center"/>
              <w:ind w:right="260"/>
              <w:spacing w:after="0"/>
              <w:rPr>
                <w:sz w:val="20"/>
                <w:szCs w:val="20"/>
                <w:color w:val="auto"/>
              </w:rPr>
            </w:pPr>
            <w:r>
              <w:rPr>
                <w:rFonts w:ascii="Arial" w:cs="Arial" w:eastAsia="Arial" w:hAnsi="Arial"/>
                <w:sz w:val="12"/>
                <w:szCs w:val="12"/>
                <w:color w:val="auto"/>
                <w:w w:val="85"/>
              </w:rPr>
              <w:t>Beverage, Food and Tobacco</w:t>
            </w: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7.84%</w:t>
            </w:r>
          </w:p>
        </w:tc>
        <w:tc>
          <w:tcPr>
            <w:tcW w:w="660" w:type="dxa"/>
            <w:vAlign w:val="bottom"/>
          </w:tcPr>
          <w:p>
            <w:pPr>
              <w:jc w:val="right"/>
              <w:spacing w:after="0"/>
              <w:rPr>
                <w:sz w:val="20"/>
                <w:szCs w:val="20"/>
                <w:color w:val="auto"/>
              </w:rPr>
            </w:pPr>
            <w:r>
              <w:rPr>
                <w:rFonts w:ascii="Arial" w:cs="Arial" w:eastAsia="Arial" w:hAnsi="Arial"/>
                <w:sz w:val="12"/>
                <w:szCs w:val="12"/>
                <w:color w:val="auto"/>
              </w:rPr>
              <w:t>1M L+575</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97"/>
              </w:rPr>
              <w:t>7,443,325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7,399,143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7,480,541</w:t>
            </w:r>
          </w:p>
        </w:tc>
        <w:tc>
          <w:tcPr>
            <w:tcW w:w="100" w:type="dxa"/>
            <w:vAlign w:val="bottom"/>
          </w:tcPr>
          <w:p>
            <w:pPr>
              <w:spacing w:after="0"/>
              <w:rPr>
                <w:sz w:val="12"/>
                <w:szCs w:val="12"/>
                <w:color w:val="auto"/>
              </w:rPr>
            </w:pPr>
          </w:p>
        </w:tc>
      </w:tr>
      <w:tr>
        <w:trPr>
          <w:trHeight w:val="148"/>
        </w:trPr>
        <w:tc>
          <w:tcPr>
            <w:tcW w:w="2840" w:type="dxa"/>
            <w:vAlign w:val="bottom"/>
            <w:shd w:val="clear" w:color="auto" w:fill="CCECFF"/>
          </w:tcPr>
          <w:p>
            <w:pPr>
              <w:spacing w:after="0"/>
              <w:rPr>
                <w:sz w:val="20"/>
                <w:szCs w:val="20"/>
                <w:color w:val="auto"/>
              </w:rPr>
            </w:pPr>
            <w:r>
              <w:rPr>
                <w:rFonts w:ascii="Arial" w:cs="Arial" w:eastAsia="Arial" w:hAnsi="Arial"/>
                <w:sz w:val="12"/>
                <w:szCs w:val="12"/>
                <w:color w:val="auto"/>
              </w:rPr>
              <w:t>Country Fresh Holdings, LLC</w:t>
            </w:r>
          </w:p>
        </w:tc>
        <w:tc>
          <w:tcPr>
            <w:tcW w:w="11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9"/>
              </w:rPr>
              <w:t>03/31/2023</w:t>
            </w:r>
          </w:p>
        </w:tc>
        <w:tc>
          <w:tcPr>
            <w:tcW w:w="2620" w:type="dxa"/>
            <w:vAlign w:val="bottom"/>
            <w:gridSpan w:val="2"/>
            <w:shd w:val="clear" w:color="auto" w:fill="CCECFF"/>
          </w:tcPr>
          <w:p>
            <w:pPr>
              <w:jc w:val="center"/>
              <w:ind w:right="260"/>
              <w:spacing w:after="0"/>
              <w:rPr>
                <w:sz w:val="20"/>
                <w:szCs w:val="20"/>
                <w:color w:val="auto"/>
              </w:rPr>
            </w:pPr>
            <w:r>
              <w:rPr>
                <w:rFonts w:ascii="Arial" w:cs="Arial" w:eastAsia="Arial" w:hAnsi="Arial"/>
                <w:sz w:val="12"/>
                <w:szCs w:val="12"/>
                <w:color w:val="auto"/>
                <w:w w:val="85"/>
              </w:rPr>
              <w:t>Beverage, Food and Tobacco</w:t>
            </w:r>
          </w:p>
        </w:tc>
        <w:tc>
          <w:tcPr>
            <w:tcW w:w="92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7.33%</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L+500</w:t>
            </w: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4,688,026</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4,688,026</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4,641,146</w:t>
            </w:r>
          </w:p>
        </w:tc>
        <w:tc>
          <w:tcPr>
            <w:tcW w:w="100" w:type="dxa"/>
            <w:vAlign w:val="bottom"/>
            <w:shd w:val="clear" w:color="auto" w:fill="CCECFF"/>
          </w:tcPr>
          <w:p>
            <w:pPr>
              <w:spacing w:after="0"/>
              <w:rPr>
                <w:sz w:val="12"/>
                <w:szCs w:val="12"/>
                <w:color w:val="auto"/>
              </w:rPr>
            </w:pPr>
          </w:p>
        </w:tc>
      </w:tr>
      <w:tr>
        <w:trPr>
          <w:trHeight w:val="148"/>
        </w:trPr>
        <w:tc>
          <w:tcPr>
            <w:tcW w:w="2840" w:type="dxa"/>
            <w:vAlign w:val="bottom"/>
          </w:tcPr>
          <w:p>
            <w:pPr>
              <w:spacing w:after="0"/>
              <w:rPr>
                <w:sz w:val="20"/>
                <w:szCs w:val="20"/>
                <w:color w:val="auto"/>
              </w:rPr>
            </w:pPr>
            <w:r>
              <w:rPr>
                <w:rFonts w:ascii="Arial" w:cs="Arial" w:eastAsia="Arial" w:hAnsi="Arial"/>
                <w:sz w:val="12"/>
                <w:szCs w:val="12"/>
                <w:color w:val="auto"/>
              </w:rPr>
              <w:t>DBI Holdings, LLC</w:t>
            </w:r>
          </w:p>
        </w:tc>
        <w:tc>
          <w:tcPr>
            <w:tcW w:w="1180" w:type="dxa"/>
            <w:vAlign w:val="bottom"/>
          </w:tcPr>
          <w:p>
            <w:pPr>
              <w:jc w:val="center"/>
              <w:spacing w:after="0"/>
              <w:rPr>
                <w:sz w:val="20"/>
                <w:szCs w:val="20"/>
                <w:color w:val="auto"/>
              </w:rPr>
            </w:pPr>
            <w:r>
              <w:rPr>
                <w:rFonts w:ascii="Arial" w:cs="Arial" w:eastAsia="Arial" w:hAnsi="Arial"/>
                <w:sz w:val="12"/>
                <w:szCs w:val="12"/>
                <w:color w:val="auto"/>
                <w:w w:val="89"/>
              </w:rPr>
              <w:t>08/02/2021</w:t>
            </w:r>
          </w:p>
        </w:tc>
        <w:tc>
          <w:tcPr>
            <w:tcW w:w="2620" w:type="dxa"/>
            <w:vAlign w:val="bottom"/>
            <w:gridSpan w:val="2"/>
          </w:tcPr>
          <w:p>
            <w:pPr>
              <w:jc w:val="center"/>
              <w:ind w:right="260"/>
              <w:spacing w:after="0"/>
              <w:rPr>
                <w:sz w:val="20"/>
                <w:szCs w:val="20"/>
                <w:color w:val="auto"/>
              </w:rPr>
            </w:pPr>
            <w:r>
              <w:rPr>
                <w:rFonts w:ascii="Arial" w:cs="Arial" w:eastAsia="Arial" w:hAnsi="Arial"/>
                <w:sz w:val="12"/>
                <w:szCs w:val="12"/>
                <w:color w:val="auto"/>
                <w:w w:val="85"/>
              </w:rPr>
              <w:t>Business Services</w:t>
            </w: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7.35%</w:t>
            </w:r>
          </w:p>
        </w:tc>
        <w:tc>
          <w:tcPr>
            <w:tcW w:w="660" w:type="dxa"/>
            <w:vAlign w:val="bottom"/>
          </w:tcPr>
          <w:p>
            <w:pPr>
              <w:jc w:val="right"/>
              <w:spacing w:after="0"/>
              <w:rPr>
                <w:sz w:val="20"/>
                <w:szCs w:val="20"/>
                <w:color w:val="auto"/>
              </w:rPr>
            </w:pPr>
            <w:r>
              <w:rPr>
                <w:rFonts w:ascii="Arial" w:cs="Arial" w:eastAsia="Arial" w:hAnsi="Arial"/>
                <w:sz w:val="12"/>
                <w:szCs w:val="12"/>
                <w:color w:val="auto"/>
              </w:rPr>
              <w:t>1M L+525</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6"/>
              </w:rPr>
              <w:t>12,468,750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12,357,219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12,468,750</w:t>
            </w:r>
          </w:p>
        </w:tc>
        <w:tc>
          <w:tcPr>
            <w:tcW w:w="100" w:type="dxa"/>
            <w:vAlign w:val="bottom"/>
          </w:tcPr>
          <w:p>
            <w:pPr>
              <w:spacing w:after="0"/>
              <w:rPr>
                <w:sz w:val="12"/>
                <w:szCs w:val="12"/>
                <w:color w:val="auto"/>
              </w:rPr>
            </w:pPr>
          </w:p>
        </w:tc>
      </w:tr>
      <w:tr>
        <w:trPr>
          <w:trHeight w:val="148"/>
        </w:trPr>
        <w:tc>
          <w:tcPr>
            <w:tcW w:w="2840" w:type="dxa"/>
            <w:vAlign w:val="bottom"/>
            <w:shd w:val="clear" w:color="auto" w:fill="CCECFF"/>
          </w:tcPr>
          <w:p>
            <w:pPr>
              <w:spacing w:after="0"/>
              <w:rPr>
                <w:sz w:val="20"/>
                <w:szCs w:val="20"/>
                <w:color w:val="auto"/>
              </w:rPr>
            </w:pPr>
            <w:r>
              <w:rPr>
                <w:rFonts w:ascii="Arial" w:cs="Arial" w:eastAsia="Arial" w:hAnsi="Arial"/>
                <w:sz w:val="12"/>
                <w:szCs w:val="12"/>
                <w:color w:val="auto"/>
              </w:rPr>
              <w:t>DigiCert Holdings, Inc.</w:t>
            </w:r>
          </w:p>
        </w:tc>
        <w:tc>
          <w:tcPr>
            <w:tcW w:w="11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9"/>
              </w:rPr>
              <w:t>10/31/2024</w:t>
            </w:r>
          </w:p>
        </w:tc>
        <w:tc>
          <w:tcPr>
            <w:tcW w:w="2620" w:type="dxa"/>
            <w:vAlign w:val="bottom"/>
            <w:gridSpan w:val="2"/>
            <w:shd w:val="clear" w:color="auto" w:fill="CCECFF"/>
          </w:tcPr>
          <w:p>
            <w:pPr>
              <w:jc w:val="center"/>
              <w:ind w:right="240"/>
              <w:spacing w:after="0"/>
              <w:rPr>
                <w:sz w:val="20"/>
                <w:szCs w:val="20"/>
                <w:color w:val="auto"/>
              </w:rPr>
            </w:pPr>
            <w:r>
              <w:rPr>
                <w:rFonts w:ascii="Arial" w:cs="Arial" w:eastAsia="Arial" w:hAnsi="Arial"/>
                <w:sz w:val="12"/>
                <w:szCs w:val="12"/>
                <w:color w:val="auto"/>
                <w:w w:val="89"/>
              </w:rPr>
              <w:t>High Tech Industries</w:t>
            </w:r>
          </w:p>
        </w:tc>
        <w:tc>
          <w:tcPr>
            <w:tcW w:w="92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6.84%</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L+475</w:t>
            </w: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7,980,000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7,942,537</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7,968,349</w:t>
            </w:r>
          </w:p>
        </w:tc>
        <w:tc>
          <w:tcPr>
            <w:tcW w:w="100" w:type="dxa"/>
            <w:vAlign w:val="bottom"/>
            <w:shd w:val="clear" w:color="auto" w:fill="CCECFF"/>
          </w:tcPr>
          <w:p>
            <w:pPr>
              <w:spacing w:after="0"/>
              <w:rPr>
                <w:sz w:val="12"/>
                <w:szCs w:val="12"/>
                <w:color w:val="auto"/>
              </w:rPr>
            </w:pPr>
          </w:p>
        </w:tc>
      </w:tr>
      <w:tr>
        <w:trPr>
          <w:trHeight w:val="149"/>
        </w:trPr>
        <w:tc>
          <w:tcPr>
            <w:tcW w:w="2840" w:type="dxa"/>
            <w:vAlign w:val="bottom"/>
          </w:tcPr>
          <w:p>
            <w:pPr>
              <w:spacing w:after="0"/>
              <w:rPr>
                <w:sz w:val="20"/>
                <w:szCs w:val="20"/>
                <w:color w:val="auto"/>
              </w:rPr>
            </w:pPr>
            <w:r>
              <w:rPr>
                <w:rFonts w:ascii="Arial" w:cs="Arial" w:eastAsia="Arial" w:hAnsi="Arial"/>
                <w:sz w:val="12"/>
                <w:szCs w:val="12"/>
                <w:color w:val="auto"/>
              </w:rPr>
              <w:t>Digital Room Holdings, Inc.</w:t>
            </w:r>
          </w:p>
        </w:tc>
        <w:tc>
          <w:tcPr>
            <w:tcW w:w="1180" w:type="dxa"/>
            <w:vAlign w:val="bottom"/>
          </w:tcPr>
          <w:p>
            <w:pPr>
              <w:jc w:val="center"/>
              <w:spacing w:after="0"/>
              <w:rPr>
                <w:sz w:val="20"/>
                <w:szCs w:val="20"/>
                <w:color w:val="auto"/>
              </w:rPr>
            </w:pPr>
            <w:r>
              <w:rPr>
                <w:rFonts w:ascii="Arial" w:cs="Arial" w:eastAsia="Arial" w:hAnsi="Arial"/>
                <w:sz w:val="12"/>
                <w:szCs w:val="12"/>
                <w:color w:val="auto"/>
                <w:w w:val="89"/>
              </w:rPr>
              <w:t>12/29/2023</w:t>
            </w:r>
          </w:p>
        </w:tc>
        <w:tc>
          <w:tcPr>
            <w:tcW w:w="2620" w:type="dxa"/>
            <w:vAlign w:val="bottom"/>
            <w:gridSpan w:val="2"/>
          </w:tcPr>
          <w:p>
            <w:pPr>
              <w:jc w:val="center"/>
              <w:ind w:right="260"/>
              <w:spacing w:after="0"/>
              <w:rPr>
                <w:sz w:val="20"/>
                <w:szCs w:val="20"/>
                <w:color w:val="auto"/>
              </w:rPr>
            </w:pPr>
            <w:r>
              <w:rPr>
                <w:rFonts w:ascii="Arial" w:cs="Arial" w:eastAsia="Arial" w:hAnsi="Arial"/>
                <w:sz w:val="12"/>
                <w:szCs w:val="12"/>
                <w:color w:val="auto"/>
                <w:w w:val="91"/>
              </w:rPr>
              <w:t>Media: Advertising, Printing and Publishing</w:t>
            </w: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7.10%</w:t>
            </w:r>
          </w:p>
        </w:tc>
        <w:tc>
          <w:tcPr>
            <w:tcW w:w="660" w:type="dxa"/>
            <w:vAlign w:val="bottom"/>
          </w:tcPr>
          <w:p>
            <w:pPr>
              <w:jc w:val="right"/>
              <w:spacing w:after="0"/>
              <w:rPr>
                <w:sz w:val="20"/>
                <w:szCs w:val="20"/>
                <w:color w:val="auto"/>
              </w:rPr>
            </w:pPr>
            <w:r>
              <w:rPr>
                <w:rFonts w:ascii="Arial" w:cs="Arial" w:eastAsia="Arial" w:hAnsi="Arial"/>
                <w:sz w:val="12"/>
                <w:szCs w:val="12"/>
                <w:color w:val="auto"/>
              </w:rPr>
              <w:t>1M L+500</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97"/>
              </w:rPr>
              <w:t>9,950,000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9,854,459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9,925,125</w:t>
            </w:r>
          </w:p>
        </w:tc>
        <w:tc>
          <w:tcPr>
            <w:tcW w:w="100" w:type="dxa"/>
            <w:vAlign w:val="bottom"/>
          </w:tcPr>
          <w:p>
            <w:pPr>
              <w:spacing w:after="0"/>
              <w:rPr>
                <w:sz w:val="12"/>
                <w:szCs w:val="12"/>
                <w:color w:val="auto"/>
              </w:rPr>
            </w:pPr>
          </w:p>
        </w:tc>
      </w:tr>
      <w:tr>
        <w:trPr>
          <w:trHeight w:val="148"/>
        </w:trPr>
        <w:tc>
          <w:tcPr>
            <w:tcW w:w="2840" w:type="dxa"/>
            <w:vAlign w:val="bottom"/>
            <w:shd w:val="clear" w:color="auto" w:fill="CCECFF"/>
          </w:tcPr>
          <w:p>
            <w:pPr>
              <w:spacing w:after="0"/>
              <w:rPr>
                <w:sz w:val="20"/>
                <w:szCs w:val="20"/>
                <w:color w:val="auto"/>
              </w:rPr>
            </w:pPr>
            <w:r>
              <w:rPr>
                <w:rFonts w:ascii="Arial" w:cs="Arial" w:eastAsia="Arial" w:hAnsi="Arial"/>
                <w:sz w:val="12"/>
                <w:szCs w:val="12"/>
                <w:color w:val="auto"/>
              </w:rPr>
              <w:t>Douglas Products and Packaging Company LLC</w:t>
            </w:r>
          </w:p>
        </w:tc>
        <w:tc>
          <w:tcPr>
            <w:tcW w:w="11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9"/>
              </w:rPr>
              <w:t>03/29/2022</w:t>
            </w:r>
          </w:p>
        </w:tc>
        <w:tc>
          <w:tcPr>
            <w:tcW w:w="2620" w:type="dxa"/>
            <w:vAlign w:val="bottom"/>
            <w:gridSpan w:val="2"/>
            <w:shd w:val="clear" w:color="auto" w:fill="CCECFF"/>
          </w:tcPr>
          <w:p>
            <w:pPr>
              <w:jc w:val="center"/>
              <w:ind w:right="260"/>
              <w:spacing w:after="0"/>
              <w:rPr>
                <w:sz w:val="20"/>
                <w:szCs w:val="20"/>
                <w:color w:val="auto"/>
              </w:rPr>
            </w:pPr>
            <w:r>
              <w:rPr>
                <w:rFonts w:ascii="Arial" w:cs="Arial" w:eastAsia="Arial" w:hAnsi="Arial"/>
                <w:sz w:val="12"/>
                <w:szCs w:val="12"/>
                <w:color w:val="auto"/>
                <w:w w:val="87"/>
              </w:rPr>
              <w:t>Chemicals, Plastics and Rubber</w:t>
            </w:r>
          </w:p>
        </w:tc>
        <w:tc>
          <w:tcPr>
            <w:tcW w:w="92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8.08%</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L+575</w:t>
            </w: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6"/>
              </w:rPr>
              <w:t>12,468,750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12,262,510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12,250,556</w:t>
            </w:r>
          </w:p>
        </w:tc>
        <w:tc>
          <w:tcPr>
            <w:tcW w:w="100" w:type="dxa"/>
            <w:vAlign w:val="bottom"/>
            <w:shd w:val="clear" w:color="auto" w:fill="CCECFF"/>
          </w:tcPr>
          <w:p>
            <w:pPr>
              <w:spacing w:after="0"/>
              <w:rPr>
                <w:sz w:val="12"/>
                <w:szCs w:val="12"/>
                <w:color w:val="auto"/>
              </w:rPr>
            </w:pPr>
          </w:p>
        </w:tc>
      </w:tr>
      <w:tr>
        <w:trPr>
          <w:trHeight w:val="148"/>
        </w:trPr>
        <w:tc>
          <w:tcPr>
            <w:tcW w:w="2840" w:type="dxa"/>
            <w:vAlign w:val="bottom"/>
          </w:tcPr>
          <w:p>
            <w:pPr>
              <w:spacing w:after="0"/>
              <w:rPr>
                <w:sz w:val="20"/>
                <w:szCs w:val="20"/>
                <w:color w:val="auto"/>
              </w:rPr>
            </w:pPr>
            <w:r>
              <w:rPr>
                <w:rFonts w:ascii="Arial" w:cs="Arial" w:eastAsia="Arial" w:hAnsi="Arial"/>
                <w:sz w:val="12"/>
                <w:szCs w:val="12"/>
                <w:color w:val="auto"/>
              </w:rPr>
              <w:t>Driven Performance Brands, Inc.</w:t>
            </w:r>
          </w:p>
        </w:tc>
        <w:tc>
          <w:tcPr>
            <w:tcW w:w="1180" w:type="dxa"/>
            <w:vAlign w:val="bottom"/>
          </w:tcPr>
          <w:p>
            <w:pPr>
              <w:jc w:val="center"/>
              <w:spacing w:after="0"/>
              <w:rPr>
                <w:sz w:val="20"/>
                <w:szCs w:val="20"/>
                <w:color w:val="auto"/>
              </w:rPr>
            </w:pPr>
            <w:r>
              <w:rPr>
                <w:rFonts w:ascii="Arial" w:cs="Arial" w:eastAsia="Arial" w:hAnsi="Arial"/>
                <w:sz w:val="12"/>
                <w:szCs w:val="12"/>
                <w:color w:val="auto"/>
                <w:w w:val="89"/>
              </w:rPr>
              <w:t>09/30/2022</w:t>
            </w:r>
          </w:p>
        </w:tc>
        <w:tc>
          <w:tcPr>
            <w:tcW w:w="2620" w:type="dxa"/>
            <w:vAlign w:val="bottom"/>
            <w:gridSpan w:val="2"/>
          </w:tcPr>
          <w:p>
            <w:pPr>
              <w:jc w:val="center"/>
              <w:ind w:right="240"/>
              <w:spacing w:after="0"/>
              <w:rPr>
                <w:sz w:val="20"/>
                <w:szCs w:val="20"/>
                <w:color w:val="auto"/>
              </w:rPr>
            </w:pPr>
            <w:r>
              <w:rPr>
                <w:rFonts w:ascii="Arial" w:cs="Arial" w:eastAsia="Arial" w:hAnsi="Arial"/>
                <w:sz w:val="12"/>
                <w:szCs w:val="12"/>
                <w:color w:val="auto"/>
                <w:w w:val="88"/>
              </w:rPr>
              <w:t>Consumer Goods: Durable</w:t>
            </w: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6.73%</w:t>
            </w:r>
          </w:p>
        </w:tc>
        <w:tc>
          <w:tcPr>
            <w:tcW w:w="660" w:type="dxa"/>
            <w:vAlign w:val="bottom"/>
          </w:tcPr>
          <w:p>
            <w:pPr>
              <w:jc w:val="right"/>
              <w:spacing w:after="0"/>
              <w:rPr>
                <w:sz w:val="20"/>
                <w:szCs w:val="20"/>
                <w:color w:val="auto"/>
              </w:rPr>
            </w:pPr>
            <w:r>
              <w:rPr>
                <w:rFonts w:ascii="Arial" w:cs="Arial" w:eastAsia="Arial" w:hAnsi="Arial"/>
                <w:sz w:val="12"/>
                <w:szCs w:val="12"/>
                <w:color w:val="auto"/>
              </w:rPr>
              <w:t>1M L+475</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97"/>
              </w:rPr>
              <w:t>4,812,500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4,772,133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4,812,500</w:t>
            </w:r>
          </w:p>
        </w:tc>
        <w:tc>
          <w:tcPr>
            <w:tcW w:w="100" w:type="dxa"/>
            <w:vAlign w:val="bottom"/>
          </w:tcPr>
          <w:p>
            <w:pPr>
              <w:spacing w:after="0"/>
              <w:rPr>
                <w:sz w:val="12"/>
                <w:szCs w:val="12"/>
                <w:color w:val="auto"/>
              </w:rPr>
            </w:pPr>
          </w:p>
        </w:tc>
      </w:tr>
      <w:tr>
        <w:trPr>
          <w:trHeight w:val="148"/>
        </w:trPr>
        <w:tc>
          <w:tcPr>
            <w:tcW w:w="2840" w:type="dxa"/>
            <w:vAlign w:val="bottom"/>
            <w:shd w:val="clear" w:color="auto" w:fill="CCECFF"/>
          </w:tcPr>
          <w:p>
            <w:pPr>
              <w:spacing w:after="0"/>
              <w:rPr>
                <w:sz w:val="20"/>
                <w:szCs w:val="20"/>
                <w:color w:val="auto"/>
              </w:rPr>
            </w:pPr>
            <w:r>
              <w:rPr>
                <w:rFonts w:ascii="Arial" w:cs="Arial" w:eastAsia="Arial" w:hAnsi="Arial"/>
                <w:sz w:val="12"/>
                <w:szCs w:val="12"/>
                <w:color w:val="auto"/>
              </w:rPr>
              <w:t>ENC Holding Corporation</w:t>
            </w:r>
          </w:p>
        </w:tc>
        <w:tc>
          <w:tcPr>
            <w:tcW w:w="11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9"/>
              </w:rPr>
              <w:t>05/30/2025</w:t>
            </w:r>
          </w:p>
        </w:tc>
        <w:tc>
          <w:tcPr>
            <w:tcW w:w="2620" w:type="dxa"/>
            <w:vAlign w:val="bottom"/>
            <w:gridSpan w:val="2"/>
            <w:shd w:val="clear" w:color="auto" w:fill="CCECFF"/>
          </w:tcPr>
          <w:p>
            <w:pPr>
              <w:jc w:val="center"/>
              <w:ind w:right="240"/>
              <w:spacing w:after="0"/>
              <w:rPr>
                <w:sz w:val="20"/>
                <w:szCs w:val="20"/>
                <w:color w:val="auto"/>
              </w:rPr>
            </w:pPr>
            <w:r>
              <w:rPr>
                <w:rFonts w:ascii="Arial" w:cs="Arial" w:eastAsia="Arial" w:hAnsi="Arial"/>
                <w:sz w:val="12"/>
                <w:szCs w:val="12"/>
                <w:color w:val="auto"/>
                <w:w w:val="87"/>
              </w:rPr>
              <w:t>Transportation: Cargo</w:t>
            </w:r>
          </w:p>
        </w:tc>
        <w:tc>
          <w:tcPr>
            <w:tcW w:w="92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6.58%</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L+425</w:t>
            </w: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6"/>
              </w:rPr>
              <w:t>10,371,429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10,345,500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10,371,428</w:t>
            </w:r>
          </w:p>
        </w:tc>
        <w:tc>
          <w:tcPr>
            <w:tcW w:w="100" w:type="dxa"/>
            <w:vAlign w:val="bottom"/>
            <w:shd w:val="clear" w:color="auto" w:fill="CCECFF"/>
          </w:tcPr>
          <w:p>
            <w:pPr>
              <w:spacing w:after="0"/>
              <w:rPr>
                <w:sz w:val="12"/>
                <w:szCs w:val="12"/>
                <w:color w:val="auto"/>
              </w:rPr>
            </w:pPr>
          </w:p>
        </w:tc>
      </w:tr>
      <w:tr>
        <w:trPr>
          <w:trHeight w:val="148"/>
        </w:trPr>
        <w:tc>
          <w:tcPr>
            <w:tcW w:w="2840" w:type="dxa"/>
            <w:vAlign w:val="bottom"/>
          </w:tcPr>
          <w:p>
            <w:pPr>
              <w:spacing w:after="0"/>
              <w:rPr>
                <w:sz w:val="20"/>
                <w:szCs w:val="20"/>
                <w:color w:val="auto"/>
              </w:rPr>
            </w:pPr>
            <w:r>
              <w:rPr>
                <w:rFonts w:ascii="Arial" w:cs="Arial" w:eastAsia="Arial" w:hAnsi="Arial"/>
                <w:sz w:val="12"/>
                <w:szCs w:val="12"/>
                <w:color w:val="auto"/>
              </w:rPr>
              <w:t xml:space="preserve">Findex Group Limited </w:t>
            </w:r>
            <w:r>
              <w:rPr>
                <w:rFonts w:ascii="Arial" w:cs="Arial" w:eastAsia="Arial" w:hAnsi="Arial"/>
                <w:sz w:val="9"/>
                <w:szCs w:val="9"/>
                <w:color w:val="auto"/>
              </w:rPr>
              <w:t>(3), (4)</w:t>
            </w:r>
          </w:p>
        </w:tc>
        <w:tc>
          <w:tcPr>
            <w:tcW w:w="1180" w:type="dxa"/>
            <w:vAlign w:val="bottom"/>
          </w:tcPr>
          <w:p>
            <w:pPr>
              <w:jc w:val="center"/>
              <w:spacing w:after="0"/>
              <w:rPr>
                <w:sz w:val="20"/>
                <w:szCs w:val="20"/>
                <w:color w:val="auto"/>
              </w:rPr>
            </w:pPr>
            <w:r>
              <w:rPr>
                <w:rFonts w:ascii="Arial" w:cs="Arial" w:eastAsia="Arial" w:hAnsi="Arial"/>
                <w:sz w:val="12"/>
                <w:szCs w:val="12"/>
                <w:color w:val="auto"/>
                <w:w w:val="89"/>
              </w:rPr>
              <w:t>05/31/2024</w:t>
            </w:r>
          </w:p>
        </w:tc>
        <w:tc>
          <w:tcPr>
            <w:tcW w:w="2620" w:type="dxa"/>
            <w:vAlign w:val="bottom"/>
            <w:gridSpan w:val="2"/>
          </w:tcPr>
          <w:p>
            <w:pPr>
              <w:jc w:val="center"/>
              <w:ind w:right="240"/>
              <w:spacing w:after="0"/>
              <w:rPr>
                <w:sz w:val="20"/>
                <w:szCs w:val="20"/>
                <w:color w:val="auto"/>
              </w:rPr>
            </w:pPr>
            <w:r>
              <w:rPr>
                <w:rFonts w:ascii="Arial" w:cs="Arial" w:eastAsia="Arial" w:hAnsi="Arial"/>
                <w:sz w:val="12"/>
                <w:szCs w:val="12"/>
                <w:color w:val="auto"/>
                <w:w w:val="87"/>
              </w:rPr>
              <w:t>Banking, Finance, Insurance and Real Estate</w:t>
            </w: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7.41%</w:t>
            </w:r>
          </w:p>
        </w:tc>
        <w:tc>
          <w:tcPr>
            <w:tcW w:w="660" w:type="dxa"/>
            <w:vAlign w:val="bottom"/>
          </w:tcPr>
          <w:p>
            <w:pPr>
              <w:jc w:val="right"/>
              <w:spacing w:after="0"/>
              <w:rPr>
                <w:sz w:val="20"/>
                <w:szCs w:val="20"/>
                <w:color w:val="auto"/>
              </w:rPr>
            </w:pPr>
            <w:r>
              <w:rPr>
                <w:rFonts w:ascii="Arial" w:cs="Arial" w:eastAsia="Arial" w:hAnsi="Arial"/>
                <w:sz w:val="12"/>
                <w:szCs w:val="12"/>
                <w:color w:val="auto"/>
              </w:rPr>
              <w:t>3M L+525</w:t>
            </w:r>
          </w:p>
        </w:tc>
        <w:tc>
          <w:tcPr>
            <w:tcW w:w="420" w:type="dxa"/>
            <w:vAlign w:val="bottom"/>
            <w:gridSpan w:val="2"/>
          </w:tcPr>
          <w:p>
            <w:pPr>
              <w:jc w:val="right"/>
              <w:spacing w:after="0"/>
              <w:rPr>
                <w:sz w:val="20"/>
                <w:szCs w:val="20"/>
                <w:color w:val="auto"/>
              </w:rPr>
            </w:pPr>
            <w:r>
              <w:rPr>
                <w:rFonts w:ascii="Arial" w:cs="Arial" w:eastAsia="Arial" w:hAnsi="Arial"/>
                <w:sz w:val="12"/>
                <w:szCs w:val="12"/>
                <w:color w:val="auto"/>
              </w:rPr>
              <w:t>A $</w:t>
            </w:r>
          </w:p>
        </w:tc>
        <w:tc>
          <w:tcPr>
            <w:tcW w:w="560" w:type="dxa"/>
            <w:vAlign w:val="bottom"/>
          </w:tcPr>
          <w:p>
            <w:pPr>
              <w:jc w:val="right"/>
              <w:spacing w:after="0"/>
              <w:rPr>
                <w:sz w:val="20"/>
                <w:szCs w:val="20"/>
                <w:color w:val="auto"/>
              </w:rPr>
            </w:pPr>
            <w:r>
              <w:rPr>
                <w:rFonts w:ascii="Arial" w:cs="Arial" w:eastAsia="Arial" w:hAnsi="Arial"/>
                <w:sz w:val="12"/>
                <w:szCs w:val="12"/>
                <w:color w:val="auto"/>
                <w:w w:val="86"/>
              </w:rPr>
              <w:t>10,000,000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7,341,699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7,166,874</w:t>
            </w:r>
          </w:p>
        </w:tc>
        <w:tc>
          <w:tcPr>
            <w:tcW w:w="100" w:type="dxa"/>
            <w:vAlign w:val="bottom"/>
          </w:tcPr>
          <w:p>
            <w:pPr>
              <w:spacing w:after="0"/>
              <w:rPr>
                <w:sz w:val="12"/>
                <w:szCs w:val="12"/>
                <w:color w:val="auto"/>
              </w:rPr>
            </w:pPr>
          </w:p>
        </w:tc>
      </w:tr>
      <w:tr>
        <w:trPr>
          <w:trHeight w:val="149"/>
        </w:trPr>
        <w:tc>
          <w:tcPr>
            <w:tcW w:w="2840" w:type="dxa"/>
            <w:vAlign w:val="bottom"/>
            <w:shd w:val="clear" w:color="auto" w:fill="CCECFF"/>
          </w:tcPr>
          <w:p>
            <w:pPr>
              <w:spacing w:after="0"/>
              <w:rPr>
                <w:sz w:val="20"/>
                <w:szCs w:val="20"/>
                <w:color w:val="auto"/>
              </w:rPr>
            </w:pPr>
            <w:r>
              <w:rPr>
                <w:rFonts w:ascii="Arial" w:cs="Arial" w:eastAsia="Arial" w:hAnsi="Arial"/>
                <w:sz w:val="12"/>
                <w:szCs w:val="12"/>
                <w:color w:val="auto"/>
              </w:rPr>
              <w:t>GCOM Software LLC</w:t>
            </w:r>
          </w:p>
        </w:tc>
        <w:tc>
          <w:tcPr>
            <w:tcW w:w="11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9"/>
              </w:rPr>
              <w:t>11/14/2022</w:t>
            </w:r>
          </w:p>
        </w:tc>
        <w:tc>
          <w:tcPr>
            <w:tcW w:w="2620" w:type="dxa"/>
            <w:vAlign w:val="bottom"/>
            <w:gridSpan w:val="2"/>
            <w:shd w:val="clear" w:color="auto" w:fill="CCECFF"/>
          </w:tcPr>
          <w:p>
            <w:pPr>
              <w:jc w:val="center"/>
              <w:ind w:right="240"/>
              <w:spacing w:after="0"/>
              <w:rPr>
                <w:sz w:val="20"/>
                <w:szCs w:val="20"/>
                <w:color w:val="auto"/>
              </w:rPr>
            </w:pPr>
            <w:r>
              <w:rPr>
                <w:rFonts w:ascii="Arial" w:cs="Arial" w:eastAsia="Arial" w:hAnsi="Arial"/>
                <w:sz w:val="12"/>
                <w:szCs w:val="12"/>
                <w:color w:val="auto"/>
                <w:w w:val="89"/>
              </w:rPr>
              <w:t>High Tech Industries</w:t>
            </w:r>
          </w:p>
        </w:tc>
        <w:tc>
          <w:tcPr>
            <w:tcW w:w="92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9.59%</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L+750</w:t>
            </w: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6"/>
              </w:rPr>
              <w:t>14,800,000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14,726,932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14,652,000</w:t>
            </w:r>
          </w:p>
        </w:tc>
        <w:tc>
          <w:tcPr>
            <w:tcW w:w="100" w:type="dxa"/>
            <w:vAlign w:val="bottom"/>
            <w:shd w:val="clear" w:color="auto" w:fill="CCECFF"/>
          </w:tcPr>
          <w:p>
            <w:pPr>
              <w:spacing w:after="0"/>
              <w:rPr>
                <w:sz w:val="12"/>
                <w:szCs w:val="12"/>
                <w:color w:val="auto"/>
              </w:rPr>
            </w:pPr>
          </w:p>
        </w:tc>
      </w:tr>
      <w:tr>
        <w:trPr>
          <w:trHeight w:val="148"/>
        </w:trPr>
        <w:tc>
          <w:tcPr>
            <w:tcW w:w="2840" w:type="dxa"/>
            <w:vAlign w:val="bottom"/>
          </w:tcPr>
          <w:p>
            <w:pPr>
              <w:spacing w:after="0"/>
              <w:rPr>
                <w:sz w:val="20"/>
                <w:szCs w:val="20"/>
                <w:color w:val="auto"/>
              </w:rPr>
            </w:pPr>
            <w:r>
              <w:rPr>
                <w:rFonts w:ascii="Arial" w:cs="Arial" w:eastAsia="Arial" w:hAnsi="Arial"/>
                <w:sz w:val="12"/>
                <w:szCs w:val="12"/>
                <w:color w:val="auto"/>
              </w:rPr>
              <w:t>GSM Holdings, Inc.</w:t>
            </w:r>
          </w:p>
        </w:tc>
        <w:tc>
          <w:tcPr>
            <w:tcW w:w="1180" w:type="dxa"/>
            <w:vAlign w:val="bottom"/>
          </w:tcPr>
          <w:p>
            <w:pPr>
              <w:jc w:val="center"/>
              <w:spacing w:after="0"/>
              <w:rPr>
                <w:sz w:val="20"/>
                <w:szCs w:val="20"/>
                <w:color w:val="auto"/>
              </w:rPr>
            </w:pPr>
            <w:r>
              <w:rPr>
                <w:rFonts w:ascii="Arial" w:cs="Arial" w:eastAsia="Arial" w:hAnsi="Arial"/>
                <w:sz w:val="12"/>
                <w:szCs w:val="12"/>
                <w:color w:val="auto"/>
                <w:w w:val="89"/>
              </w:rPr>
              <w:t>06/03/2024</w:t>
            </w:r>
          </w:p>
        </w:tc>
        <w:tc>
          <w:tcPr>
            <w:tcW w:w="2620" w:type="dxa"/>
            <w:vAlign w:val="bottom"/>
            <w:gridSpan w:val="2"/>
          </w:tcPr>
          <w:p>
            <w:pPr>
              <w:jc w:val="center"/>
              <w:ind w:right="240"/>
              <w:spacing w:after="0"/>
              <w:rPr>
                <w:sz w:val="20"/>
                <w:szCs w:val="20"/>
                <w:color w:val="auto"/>
              </w:rPr>
            </w:pPr>
            <w:r>
              <w:rPr>
                <w:rFonts w:ascii="Arial" w:cs="Arial" w:eastAsia="Arial" w:hAnsi="Arial"/>
                <w:sz w:val="12"/>
                <w:szCs w:val="12"/>
                <w:color w:val="auto"/>
                <w:w w:val="88"/>
              </w:rPr>
              <w:t>Consumer Goods: Durable</w:t>
            </w: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6.83%</w:t>
            </w:r>
          </w:p>
        </w:tc>
        <w:tc>
          <w:tcPr>
            <w:tcW w:w="660" w:type="dxa"/>
            <w:vAlign w:val="bottom"/>
          </w:tcPr>
          <w:p>
            <w:pPr>
              <w:jc w:val="right"/>
              <w:spacing w:after="0"/>
              <w:rPr>
                <w:sz w:val="20"/>
                <w:szCs w:val="20"/>
                <w:color w:val="auto"/>
              </w:rPr>
            </w:pPr>
            <w:r>
              <w:rPr>
                <w:rFonts w:ascii="Arial" w:cs="Arial" w:eastAsia="Arial" w:hAnsi="Arial"/>
                <w:sz w:val="12"/>
                <w:szCs w:val="12"/>
                <w:color w:val="auto"/>
              </w:rPr>
              <w:t>3M L+450</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6"/>
              </w:rPr>
              <w:t>15,500,000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15,346,329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15,345,000</w:t>
            </w:r>
          </w:p>
        </w:tc>
        <w:tc>
          <w:tcPr>
            <w:tcW w:w="100" w:type="dxa"/>
            <w:vAlign w:val="bottom"/>
          </w:tcPr>
          <w:p>
            <w:pPr>
              <w:spacing w:after="0"/>
              <w:rPr>
                <w:sz w:val="12"/>
                <w:szCs w:val="12"/>
                <w:color w:val="auto"/>
              </w:rPr>
            </w:pPr>
          </w:p>
        </w:tc>
      </w:tr>
      <w:tr>
        <w:trPr>
          <w:trHeight w:val="148"/>
        </w:trPr>
        <w:tc>
          <w:tcPr>
            <w:tcW w:w="28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IGM RFE1 B.V. </w:t>
            </w:r>
            <w:r>
              <w:rPr>
                <w:rFonts w:ascii="Arial" w:cs="Arial" w:eastAsia="Arial" w:hAnsi="Arial"/>
                <w:sz w:val="9"/>
                <w:szCs w:val="9"/>
                <w:color w:val="auto"/>
              </w:rPr>
              <w:t>(3), (4)</w:t>
            </w:r>
          </w:p>
        </w:tc>
        <w:tc>
          <w:tcPr>
            <w:tcW w:w="11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9"/>
              </w:rPr>
              <w:t>10/12/2021</w:t>
            </w:r>
          </w:p>
        </w:tc>
        <w:tc>
          <w:tcPr>
            <w:tcW w:w="2620" w:type="dxa"/>
            <w:vAlign w:val="bottom"/>
            <w:gridSpan w:val="2"/>
            <w:shd w:val="clear" w:color="auto" w:fill="CCECFF"/>
          </w:tcPr>
          <w:p>
            <w:pPr>
              <w:jc w:val="center"/>
              <w:ind w:right="260"/>
              <w:spacing w:after="0"/>
              <w:rPr>
                <w:sz w:val="20"/>
                <w:szCs w:val="20"/>
                <w:color w:val="auto"/>
              </w:rPr>
            </w:pPr>
            <w:r>
              <w:rPr>
                <w:rFonts w:ascii="Arial" w:cs="Arial" w:eastAsia="Arial" w:hAnsi="Arial"/>
                <w:sz w:val="12"/>
                <w:szCs w:val="12"/>
                <w:color w:val="auto"/>
                <w:w w:val="87"/>
              </w:rPr>
              <w:t>Chemicals, Plastics and Rubber</w:t>
            </w:r>
          </w:p>
        </w:tc>
        <w:tc>
          <w:tcPr>
            <w:tcW w:w="92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8.00%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E+800</w:t>
            </w: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jc w:val="right"/>
              <w:spacing w:after="0"/>
              <w:rPr>
                <w:sz w:val="20"/>
                <w:szCs w:val="20"/>
                <w:color w:val="auto"/>
              </w:rPr>
            </w:pPr>
            <w:r>
              <w:rPr>
                <w:rFonts w:ascii="Arial" w:cs="Arial" w:eastAsia="Arial" w:hAnsi="Arial"/>
                <w:sz w:val="9"/>
                <w:szCs w:val="9"/>
                <w:color w:val="auto"/>
                <w:w w:val="78"/>
              </w:rPr>
              <w:t>€</w:t>
            </w: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9,778,665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11,707,914</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11,417,139</w:t>
            </w:r>
          </w:p>
        </w:tc>
        <w:tc>
          <w:tcPr>
            <w:tcW w:w="100" w:type="dxa"/>
            <w:vAlign w:val="bottom"/>
            <w:shd w:val="clear" w:color="auto" w:fill="CCECFF"/>
          </w:tcPr>
          <w:p>
            <w:pPr>
              <w:spacing w:after="0"/>
              <w:rPr>
                <w:sz w:val="12"/>
                <w:szCs w:val="12"/>
                <w:color w:val="auto"/>
              </w:rPr>
            </w:pPr>
          </w:p>
        </w:tc>
      </w:tr>
      <w:tr>
        <w:trPr>
          <w:trHeight w:val="148"/>
        </w:trPr>
        <w:tc>
          <w:tcPr>
            <w:tcW w:w="2840" w:type="dxa"/>
            <w:vAlign w:val="bottom"/>
          </w:tcPr>
          <w:p>
            <w:pPr>
              <w:spacing w:after="0"/>
              <w:rPr>
                <w:sz w:val="20"/>
                <w:szCs w:val="20"/>
                <w:color w:val="auto"/>
              </w:rPr>
            </w:pPr>
            <w:r>
              <w:rPr>
                <w:rFonts w:ascii="Arial" w:cs="Arial" w:eastAsia="Arial" w:hAnsi="Arial"/>
                <w:sz w:val="12"/>
                <w:szCs w:val="12"/>
                <w:color w:val="auto"/>
              </w:rPr>
              <w:t xml:space="preserve">Infrastructure Supply Operations Pty Ltd. </w:t>
            </w:r>
            <w:r>
              <w:rPr>
                <w:rFonts w:ascii="Arial" w:cs="Arial" w:eastAsia="Arial" w:hAnsi="Arial"/>
                <w:sz w:val="9"/>
                <w:szCs w:val="9"/>
                <w:color w:val="auto"/>
              </w:rPr>
              <w:t>(3), (4)</w:t>
            </w:r>
          </w:p>
        </w:tc>
        <w:tc>
          <w:tcPr>
            <w:tcW w:w="1180" w:type="dxa"/>
            <w:vAlign w:val="bottom"/>
          </w:tcPr>
          <w:p>
            <w:pPr>
              <w:jc w:val="center"/>
              <w:spacing w:after="0"/>
              <w:rPr>
                <w:sz w:val="20"/>
                <w:szCs w:val="20"/>
                <w:color w:val="auto"/>
              </w:rPr>
            </w:pPr>
            <w:r>
              <w:rPr>
                <w:rFonts w:ascii="Arial" w:cs="Arial" w:eastAsia="Arial" w:hAnsi="Arial"/>
                <w:sz w:val="12"/>
                <w:szCs w:val="12"/>
                <w:color w:val="auto"/>
                <w:w w:val="89"/>
              </w:rPr>
              <w:t>12/12/2023</w:t>
            </w:r>
          </w:p>
        </w:tc>
        <w:tc>
          <w:tcPr>
            <w:tcW w:w="2620" w:type="dxa"/>
            <w:vAlign w:val="bottom"/>
            <w:gridSpan w:val="2"/>
          </w:tcPr>
          <w:p>
            <w:pPr>
              <w:jc w:val="center"/>
              <w:ind w:right="240"/>
              <w:spacing w:after="0"/>
              <w:rPr>
                <w:sz w:val="20"/>
                <w:szCs w:val="20"/>
                <w:color w:val="auto"/>
              </w:rPr>
            </w:pPr>
            <w:r>
              <w:rPr>
                <w:rFonts w:ascii="Arial" w:cs="Arial" w:eastAsia="Arial" w:hAnsi="Arial"/>
                <w:sz w:val="12"/>
                <w:szCs w:val="12"/>
                <w:color w:val="auto"/>
                <w:w w:val="89"/>
              </w:rPr>
              <w:t>Wholesale</w:t>
            </w: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6.72%</w:t>
            </w:r>
          </w:p>
        </w:tc>
        <w:tc>
          <w:tcPr>
            <w:tcW w:w="660" w:type="dxa"/>
            <w:vAlign w:val="bottom"/>
          </w:tcPr>
          <w:p>
            <w:pPr>
              <w:jc w:val="right"/>
              <w:spacing w:after="0"/>
              <w:rPr>
                <w:sz w:val="20"/>
                <w:szCs w:val="20"/>
                <w:color w:val="auto"/>
              </w:rPr>
            </w:pPr>
            <w:r>
              <w:rPr>
                <w:rFonts w:ascii="Arial" w:cs="Arial" w:eastAsia="Arial" w:hAnsi="Arial"/>
                <w:sz w:val="12"/>
                <w:szCs w:val="12"/>
                <w:color w:val="auto"/>
              </w:rPr>
              <w:t>1M L+475</w:t>
            </w:r>
          </w:p>
        </w:tc>
        <w:tc>
          <w:tcPr>
            <w:tcW w:w="420" w:type="dxa"/>
            <w:vAlign w:val="bottom"/>
            <w:gridSpan w:val="2"/>
          </w:tcPr>
          <w:p>
            <w:pPr>
              <w:jc w:val="right"/>
              <w:spacing w:after="0"/>
              <w:rPr>
                <w:sz w:val="20"/>
                <w:szCs w:val="20"/>
                <w:color w:val="auto"/>
              </w:rPr>
            </w:pPr>
            <w:r>
              <w:rPr>
                <w:rFonts w:ascii="Arial" w:cs="Arial" w:eastAsia="Arial" w:hAnsi="Arial"/>
                <w:sz w:val="12"/>
                <w:szCs w:val="12"/>
                <w:color w:val="auto"/>
              </w:rPr>
              <w:t>A $</w:t>
            </w:r>
          </w:p>
        </w:tc>
        <w:tc>
          <w:tcPr>
            <w:tcW w:w="560" w:type="dxa"/>
            <w:vAlign w:val="bottom"/>
          </w:tcPr>
          <w:p>
            <w:pPr>
              <w:jc w:val="right"/>
              <w:spacing w:after="0"/>
              <w:rPr>
                <w:sz w:val="20"/>
                <w:szCs w:val="20"/>
                <w:color w:val="auto"/>
              </w:rPr>
            </w:pPr>
            <w:r>
              <w:rPr>
                <w:rFonts w:ascii="Arial" w:cs="Arial" w:eastAsia="Arial" w:hAnsi="Arial"/>
                <w:sz w:val="12"/>
                <w:szCs w:val="12"/>
                <w:color w:val="auto"/>
                <w:w w:val="86"/>
              </w:rPr>
              <w:t>10,000,000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7,305,217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7,360,523</w:t>
            </w:r>
          </w:p>
        </w:tc>
        <w:tc>
          <w:tcPr>
            <w:tcW w:w="100" w:type="dxa"/>
            <w:vAlign w:val="bottom"/>
          </w:tcPr>
          <w:p>
            <w:pPr>
              <w:spacing w:after="0"/>
              <w:rPr>
                <w:sz w:val="12"/>
                <w:szCs w:val="12"/>
                <w:color w:val="auto"/>
              </w:rPr>
            </w:pPr>
          </w:p>
        </w:tc>
      </w:tr>
      <w:tr>
        <w:trPr>
          <w:trHeight w:val="148"/>
        </w:trPr>
        <w:tc>
          <w:tcPr>
            <w:tcW w:w="2840" w:type="dxa"/>
            <w:vAlign w:val="bottom"/>
            <w:shd w:val="clear" w:color="auto" w:fill="CCECFF"/>
          </w:tcPr>
          <w:p>
            <w:pPr>
              <w:spacing w:after="0"/>
              <w:rPr>
                <w:sz w:val="20"/>
                <w:szCs w:val="20"/>
                <w:color w:val="auto"/>
              </w:rPr>
            </w:pPr>
            <w:r>
              <w:rPr>
                <w:rFonts w:ascii="Arial" w:cs="Arial" w:eastAsia="Arial" w:hAnsi="Arial"/>
                <w:sz w:val="12"/>
                <w:szCs w:val="12"/>
                <w:color w:val="auto"/>
              </w:rPr>
              <w:t>Long's Drugs Incorporated</w:t>
            </w:r>
          </w:p>
        </w:tc>
        <w:tc>
          <w:tcPr>
            <w:tcW w:w="11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9"/>
              </w:rPr>
              <w:t>08/19/2022</w:t>
            </w:r>
          </w:p>
        </w:tc>
        <w:tc>
          <w:tcPr>
            <w:tcW w:w="2620" w:type="dxa"/>
            <w:vAlign w:val="bottom"/>
            <w:gridSpan w:val="2"/>
            <w:shd w:val="clear" w:color="auto" w:fill="CCECFF"/>
          </w:tcPr>
          <w:p>
            <w:pPr>
              <w:jc w:val="center"/>
              <w:ind w:right="240"/>
              <w:spacing w:after="0"/>
              <w:rPr>
                <w:sz w:val="20"/>
                <w:szCs w:val="20"/>
                <w:color w:val="auto"/>
              </w:rPr>
            </w:pPr>
            <w:r>
              <w:rPr>
                <w:rFonts w:ascii="Arial" w:cs="Arial" w:eastAsia="Arial" w:hAnsi="Arial"/>
                <w:sz w:val="12"/>
                <w:szCs w:val="12"/>
                <w:color w:val="auto"/>
                <w:w w:val="86"/>
              </w:rPr>
              <w:t>Healthcare and Pharmaceuticals</w:t>
            </w:r>
          </w:p>
        </w:tc>
        <w:tc>
          <w:tcPr>
            <w:tcW w:w="92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7.05%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L+500</w:t>
            </w: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6"/>
              </w:rPr>
              <w:t>18,000,000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17,824,096</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17,820,000</w:t>
            </w:r>
          </w:p>
        </w:tc>
        <w:tc>
          <w:tcPr>
            <w:tcW w:w="100" w:type="dxa"/>
            <w:vAlign w:val="bottom"/>
            <w:shd w:val="clear" w:color="auto" w:fill="CCECFF"/>
          </w:tcPr>
          <w:p>
            <w:pPr>
              <w:spacing w:after="0"/>
              <w:rPr>
                <w:sz w:val="12"/>
                <w:szCs w:val="12"/>
                <w:color w:val="auto"/>
              </w:rPr>
            </w:pPr>
          </w:p>
        </w:tc>
      </w:tr>
      <w:tr>
        <w:trPr>
          <w:trHeight w:val="149"/>
        </w:trPr>
        <w:tc>
          <w:tcPr>
            <w:tcW w:w="2840" w:type="dxa"/>
            <w:vAlign w:val="bottom"/>
          </w:tcPr>
          <w:p>
            <w:pPr>
              <w:spacing w:after="0"/>
              <w:rPr>
                <w:sz w:val="20"/>
                <w:szCs w:val="20"/>
                <w:color w:val="auto"/>
              </w:rPr>
            </w:pPr>
            <w:r>
              <w:rPr>
                <w:rFonts w:ascii="Arial" w:cs="Arial" w:eastAsia="Arial" w:hAnsi="Arial"/>
                <w:sz w:val="12"/>
                <w:szCs w:val="12"/>
                <w:color w:val="auto"/>
              </w:rPr>
              <w:t>LSF9 Atlantis Holdings, LLC</w:t>
            </w:r>
          </w:p>
        </w:tc>
        <w:tc>
          <w:tcPr>
            <w:tcW w:w="1180" w:type="dxa"/>
            <w:vAlign w:val="bottom"/>
          </w:tcPr>
          <w:p>
            <w:pPr>
              <w:jc w:val="center"/>
              <w:spacing w:after="0"/>
              <w:rPr>
                <w:sz w:val="20"/>
                <w:szCs w:val="20"/>
                <w:color w:val="auto"/>
              </w:rPr>
            </w:pPr>
            <w:r>
              <w:rPr>
                <w:rFonts w:ascii="Arial" w:cs="Arial" w:eastAsia="Arial" w:hAnsi="Arial"/>
                <w:sz w:val="12"/>
                <w:szCs w:val="12"/>
                <w:color w:val="auto"/>
                <w:w w:val="89"/>
              </w:rPr>
              <w:t>05/01/2023</w:t>
            </w:r>
          </w:p>
        </w:tc>
        <w:tc>
          <w:tcPr>
            <w:tcW w:w="2620" w:type="dxa"/>
            <w:vAlign w:val="bottom"/>
            <w:gridSpan w:val="2"/>
          </w:tcPr>
          <w:p>
            <w:pPr>
              <w:jc w:val="center"/>
              <w:ind w:right="260"/>
              <w:spacing w:after="0"/>
              <w:rPr>
                <w:sz w:val="20"/>
                <w:szCs w:val="20"/>
                <w:color w:val="auto"/>
              </w:rPr>
            </w:pPr>
            <w:r>
              <w:rPr>
                <w:rFonts w:ascii="Arial" w:cs="Arial" w:eastAsia="Arial" w:hAnsi="Arial"/>
                <w:sz w:val="12"/>
                <w:szCs w:val="12"/>
                <w:color w:val="auto"/>
                <w:w w:val="91"/>
              </w:rPr>
              <w:t>Retail</w:t>
            </w: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8.00%</w:t>
            </w:r>
          </w:p>
        </w:tc>
        <w:tc>
          <w:tcPr>
            <w:tcW w:w="660" w:type="dxa"/>
            <w:vAlign w:val="bottom"/>
          </w:tcPr>
          <w:p>
            <w:pPr>
              <w:jc w:val="right"/>
              <w:spacing w:after="0"/>
              <w:rPr>
                <w:sz w:val="20"/>
                <w:szCs w:val="20"/>
                <w:color w:val="auto"/>
              </w:rPr>
            </w:pPr>
            <w:r>
              <w:rPr>
                <w:rFonts w:ascii="Arial" w:cs="Arial" w:eastAsia="Arial" w:hAnsi="Arial"/>
                <w:sz w:val="12"/>
                <w:szCs w:val="12"/>
                <w:color w:val="auto"/>
              </w:rPr>
              <w:t>1M L+600</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97"/>
              </w:rPr>
              <w:t>7,312,500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7,369,915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7,221,094</w:t>
            </w:r>
          </w:p>
        </w:tc>
        <w:tc>
          <w:tcPr>
            <w:tcW w:w="100" w:type="dxa"/>
            <w:vAlign w:val="bottom"/>
          </w:tcPr>
          <w:p>
            <w:pPr>
              <w:spacing w:after="0"/>
              <w:rPr>
                <w:sz w:val="12"/>
                <w:szCs w:val="12"/>
                <w:color w:val="auto"/>
              </w:rPr>
            </w:pPr>
          </w:p>
        </w:tc>
      </w:tr>
      <w:tr>
        <w:trPr>
          <w:trHeight w:val="148"/>
        </w:trPr>
        <w:tc>
          <w:tcPr>
            <w:tcW w:w="2840" w:type="dxa"/>
            <w:vAlign w:val="bottom"/>
            <w:shd w:val="clear" w:color="auto" w:fill="CCECFF"/>
          </w:tcPr>
          <w:p>
            <w:pPr>
              <w:spacing w:after="0"/>
              <w:rPr>
                <w:sz w:val="20"/>
                <w:szCs w:val="20"/>
                <w:color w:val="auto"/>
              </w:rPr>
            </w:pPr>
            <w:r>
              <w:rPr>
                <w:rFonts w:ascii="Arial" w:cs="Arial" w:eastAsia="Arial" w:hAnsi="Arial"/>
                <w:sz w:val="12"/>
                <w:szCs w:val="12"/>
                <w:color w:val="auto"/>
              </w:rPr>
              <w:t>Manna Pro Products, LLC</w:t>
            </w:r>
          </w:p>
        </w:tc>
        <w:tc>
          <w:tcPr>
            <w:tcW w:w="11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9"/>
              </w:rPr>
              <w:t>12/08/2023</w:t>
            </w:r>
          </w:p>
        </w:tc>
        <w:tc>
          <w:tcPr>
            <w:tcW w:w="2620" w:type="dxa"/>
            <w:vAlign w:val="bottom"/>
            <w:gridSpan w:val="2"/>
            <w:shd w:val="clear" w:color="auto" w:fill="CCECFF"/>
          </w:tcPr>
          <w:p>
            <w:pPr>
              <w:jc w:val="center"/>
              <w:ind w:right="240"/>
              <w:spacing w:after="0"/>
              <w:rPr>
                <w:sz w:val="20"/>
                <w:szCs w:val="20"/>
                <w:color w:val="auto"/>
              </w:rPr>
            </w:pPr>
            <w:r>
              <w:rPr>
                <w:rFonts w:ascii="Arial" w:cs="Arial" w:eastAsia="Arial" w:hAnsi="Arial"/>
                <w:sz w:val="12"/>
                <w:szCs w:val="12"/>
                <w:color w:val="auto"/>
                <w:w w:val="88"/>
              </w:rPr>
              <w:t>Consumer Goods: Non-Durable</w:t>
            </w:r>
          </w:p>
        </w:tc>
        <w:tc>
          <w:tcPr>
            <w:tcW w:w="92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8.05%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L+600</w:t>
            </w: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6,965,000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6,867,470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6,950,985</w:t>
            </w:r>
          </w:p>
        </w:tc>
        <w:tc>
          <w:tcPr>
            <w:tcW w:w="100" w:type="dxa"/>
            <w:vAlign w:val="bottom"/>
            <w:shd w:val="clear" w:color="auto" w:fill="CCECFF"/>
          </w:tcPr>
          <w:p>
            <w:pPr>
              <w:spacing w:after="0"/>
              <w:rPr>
                <w:sz w:val="12"/>
                <w:szCs w:val="12"/>
                <w:color w:val="auto"/>
              </w:rPr>
            </w:pPr>
          </w:p>
        </w:tc>
      </w:tr>
      <w:tr>
        <w:trPr>
          <w:trHeight w:val="148"/>
        </w:trPr>
        <w:tc>
          <w:tcPr>
            <w:tcW w:w="2840" w:type="dxa"/>
            <w:vAlign w:val="bottom"/>
          </w:tcPr>
          <w:p>
            <w:pPr>
              <w:spacing w:after="0"/>
              <w:rPr>
                <w:sz w:val="20"/>
                <w:szCs w:val="20"/>
                <w:color w:val="auto"/>
              </w:rPr>
            </w:pPr>
            <w:r>
              <w:rPr>
                <w:rFonts w:ascii="Arial" w:cs="Arial" w:eastAsia="Arial" w:hAnsi="Arial"/>
                <w:sz w:val="12"/>
                <w:szCs w:val="12"/>
                <w:color w:val="auto"/>
              </w:rPr>
              <w:t xml:space="preserve">Marketplace Events LLC </w:t>
            </w:r>
            <w:r>
              <w:rPr>
                <w:rFonts w:ascii="Arial" w:cs="Arial" w:eastAsia="Arial" w:hAnsi="Arial"/>
                <w:sz w:val="9"/>
                <w:szCs w:val="9"/>
                <w:color w:val="auto"/>
              </w:rPr>
              <w:t>(4)</w:t>
            </w:r>
          </w:p>
        </w:tc>
        <w:tc>
          <w:tcPr>
            <w:tcW w:w="1180" w:type="dxa"/>
            <w:vAlign w:val="bottom"/>
          </w:tcPr>
          <w:p>
            <w:pPr>
              <w:jc w:val="center"/>
              <w:spacing w:after="0"/>
              <w:rPr>
                <w:sz w:val="20"/>
                <w:szCs w:val="20"/>
                <w:color w:val="auto"/>
              </w:rPr>
            </w:pPr>
            <w:r>
              <w:rPr>
                <w:rFonts w:ascii="Arial" w:cs="Arial" w:eastAsia="Arial" w:hAnsi="Arial"/>
                <w:sz w:val="12"/>
                <w:szCs w:val="12"/>
                <w:color w:val="auto"/>
                <w:w w:val="89"/>
              </w:rPr>
              <w:t>01/27/2021</w:t>
            </w:r>
          </w:p>
        </w:tc>
        <w:tc>
          <w:tcPr>
            <w:tcW w:w="2620" w:type="dxa"/>
            <w:vAlign w:val="bottom"/>
            <w:gridSpan w:val="2"/>
          </w:tcPr>
          <w:p>
            <w:pPr>
              <w:jc w:val="center"/>
              <w:ind w:right="240"/>
              <w:spacing w:after="0"/>
              <w:rPr>
                <w:sz w:val="20"/>
                <w:szCs w:val="20"/>
                <w:color w:val="auto"/>
              </w:rPr>
            </w:pPr>
            <w:r>
              <w:rPr>
                <w:rFonts w:ascii="Arial" w:cs="Arial" w:eastAsia="Arial" w:hAnsi="Arial"/>
                <w:sz w:val="12"/>
                <w:szCs w:val="12"/>
                <w:color w:val="auto"/>
                <w:w w:val="90"/>
              </w:rPr>
              <w:t>Media: Diversified and Production</w:t>
            </w: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6.89%</w:t>
            </w:r>
          </w:p>
        </w:tc>
        <w:tc>
          <w:tcPr>
            <w:tcW w:w="660" w:type="dxa"/>
            <w:vAlign w:val="bottom"/>
          </w:tcPr>
          <w:p>
            <w:pPr>
              <w:jc w:val="right"/>
              <w:spacing w:after="0"/>
              <w:rPr>
                <w:sz w:val="20"/>
                <w:szCs w:val="20"/>
                <w:color w:val="auto"/>
              </w:rPr>
            </w:pPr>
            <w:r>
              <w:rPr>
                <w:rFonts w:ascii="Arial" w:cs="Arial" w:eastAsia="Arial" w:hAnsi="Arial"/>
                <w:sz w:val="12"/>
                <w:szCs w:val="12"/>
                <w:color w:val="auto"/>
              </w:rPr>
              <w:t>P+275</w:t>
            </w:r>
          </w:p>
        </w:tc>
        <w:tc>
          <w:tcPr>
            <w:tcW w:w="420" w:type="dxa"/>
            <w:vAlign w:val="bottom"/>
            <w:gridSpan w:val="2"/>
          </w:tcPr>
          <w:p>
            <w:pPr>
              <w:jc w:val="right"/>
              <w:spacing w:after="0"/>
              <w:rPr>
                <w:sz w:val="20"/>
                <w:szCs w:val="20"/>
                <w:color w:val="auto"/>
              </w:rPr>
            </w:pPr>
            <w:r>
              <w:rPr>
                <w:rFonts w:ascii="Arial" w:cs="Arial" w:eastAsia="Arial" w:hAnsi="Arial"/>
                <w:sz w:val="12"/>
                <w:szCs w:val="12"/>
                <w:color w:val="auto"/>
              </w:rPr>
              <w:t>C $</w:t>
            </w:r>
          </w:p>
        </w:tc>
        <w:tc>
          <w:tcPr>
            <w:tcW w:w="560" w:type="dxa"/>
            <w:vAlign w:val="bottom"/>
          </w:tcPr>
          <w:p>
            <w:pPr>
              <w:jc w:val="right"/>
              <w:spacing w:after="0"/>
              <w:rPr>
                <w:sz w:val="20"/>
                <w:szCs w:val="20"/>
                <w:color w:val="auto"/>
              </w:rPr>
            </w:pPr>
            <w:r>
              <w:rPr>
                <w:rFonts w:ascii="Arial" w:cs="Arial" w:eastAsia="Arial" w:hAnsi="Arial"/>
                <w:sz w:val="12"/>
                <w:szCs w:val="12"/>
                <w:color w:val="auto"/>
                <w:w w:val="97"/>
              </w:rPr>
              <w:t>5,835,254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4,492,564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4,435,937</w:t>
            </w:r>
          </w:p>
        </w:tc>
        <w:tc>
          <w:tcPr>
            <w:tcW w:w="100" w:type="dxa"/>
            <w:vAlign w:val="bottom"/>
          </w:tcPr>
          <w:p>
            <w:pPr>
              <w:spacing w:after="0"/>
              <w:rPr>
                <w:sz w:val="12"/>
                <w:szCs w:val="12"/>
                <w:color w:val="auto"/>
              </w:rPr>
            </w:pPr>
          </w:p>
        </w:tc>
      </w:tr>
      <w:tr>
        <w:trPr>
          <w:trHeight w:val="148"/>
        </w:trPr>
        <w:tc>
          <w:tcPr>
            <w:tcW w:w="2840" w:type="dxa"/>
            <w:vAlign w:val="bottom"/>
            <w:shd w:val="clear" w:color="auto" w:fill="CCECFF"/>
          </w:tcPr>
          <w:p>
            <w:pPr>
              <w:spacing w:after="0"/>
              <w:rPr>
                <w:sz w:val="20"/>
                <w:szCs w:val="20"/>
                <w:color w:val="auto"/>
              </w:rPr>
            </w:pPr>
            <w:r>
              <w:rPr>
                <w:rFonts w:ascii="Arial" w:cs="Arial" w:eastAsia="Arial" w:hAnsi="Arial"/>
                <w:sz w:val="12"/>
                <w:szCs w:val="12"/>
                <w:color w:val="auto"/>
              </w:rPr>
              <w:t>Maytex Mills, Inc.</w:t>
            </w:r>
          </w:p>
        </w:tc>
        <w:tc>
          <w:tcPr>
            <w:tcW w:w="11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9"/>
              </w:rPr>
              <w:t>12/27/2023</w:t>
            </w:r>
          </w:p>
        </w:tc>
        <w:tc>
          <w:tcPr>
            <w:tcW w:w="2620" w:type="dxa"/>
            <w:vAlign w:val="bottom"/>
            <w:gridSpan w:val="2"/>
            <w:shd w:val="clear" w:color="auto" w:fill="CCECFF"/>
          </w:tcPr>
          <w:p>
            <w:pPr>
              <w:jc w:val="center"/>
              <w:ind w:right="240"/>
              <w:spacing w:after="0"/>
              <w:rPr>
                <w:sz w:val="20"/>
                <w:szCs w:val="20"/>
                <w:color w:val="auto"/>
              </w:rPr>
            </w:pPr>
            <w:r>
              <w:rPr>
                <w:rFonts w:ascii="Arial" w:cs="Arial" w:eastAsia="Arial" w:hAnsi="Arial"/>
                <w:sz w:val="12"/>
                <w:szCs w:val="12"/>
                <w:color w:val="auto"/>
                <w:w w:val="88"/>
              </w:rPr>
              <w:t>Consumer Goods: Durable</w:t>
            </w:r>
          </w:p>
        </w:tc>
        <w:tc>
          <w:tcPr>
            <w:tcW w:w="92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6.58%</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L+450</w:t>
            </w: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8,955,000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8,912,698</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8,955,000</w:t>
            </w:r>
          </w:p>
        </w:tc>
        <w:tc>
          <w:tcPr>
            <w:tcW w:w="100" w:type="dxa"/>
            <w:vAlign w:val="bottom"/>
            <w:shd w:val="clear" w:color="auto" w:fill="CCECFF"/>
          </w:tcPr>
          <w:p>
            <w:pPr>
              <w:spacing w:after="0"/>
              <w:rPr>
                <w:sz w:val="12"/>
                <w:szCs w:val="12"/>
                <w:color w:val="auto"/>
              </w:rPr>
            </w:pPr>
          </w:p>
        </w:tc>
      </w:tr>
      <w:tr>
        <w:trPr>
          <w:trHeight w:val="148"/>
        </w:trPr>
        <w:tc>
          <w:tcPr>
            <w:tcW w:w="2840" w:type="dxa"/>
            <w:vAlign w:val="bottom"/>
          </w:tcPr>
          <w:p>
            <w:pPr>
              <w:spacing w:after="0"/>
              <w:rPr>
                <w:sz w:val="20"/>
                <w:szCs w:val="20"/>
                <w:color w:val="auto"/>
              </w:rPr>
            </w:pPr>
            <w:r>
              <w:rPr>
                <w:rFonts w:ascii="Arial" w:cs="Arial" w:eastAsia="Arial" w:hAnsi="Arial"/>
                <w:sz w:val="12"/>
                <w:szCs w:val="12"/>
                <w:color w:val="auto"/>
              </w:rPr>
              <w:t>McAfee, LLC</w:t>
            </w:r>
          </w:p>
        </w:tc>
        <w:tc>
          <w:tcPr>
            <w:tcW w:w="1180" w:type="dxa"/>
            <w:vAlign w:val="bottom"/>
          </w:tcPr>
          <w:p>
            <w:pPr>
              <w:jc w:val="center"/>
              <w:spacing w:after="0"/>
              <w:rPr>
                <w:sz w:val="20"/>
                <w:szCs w:val="20"/>
                <w:color w:val="auto"/>
              </w:rPr>
            </w:pPr>
            <w:r>
              <w:rPr>
                <w:rFonts w:ascii="Arial" w:cs="Arial" w:eastAsia="Arial" w:hAnsi="Arial"/>
                <w:sz w:val="12"/>
                <w:szCs w:val="12"/>
                <w:color w:val="auto"/>
                <w:w w:val="89"/>
              </w:rPr>
              <w:t>09/30/2024</w:t>
            </w:r>
          </w:p>
        </w:tc>
        <w:tc>
          <w:tcPr>
            <w:tcW w:w="2620" w:type="dxa"/>
            <w:vAlign w:val="bottom"/>
            <w:gridSpan w:val="2"/>
          </w:tcPr>
          <w:p>
            <w:pPr>
              <w:jc w:val="center"/>
              <w:ind w:right="240"/>
              <w:spacing w:after="0"/>
              <w:rPr>
                <w:sz w:val="20"/>
                <w:szCs w:val="20"/>
                <w:color w:val="auto"/>
              </w:rPr>
            </w:pPr>
            <w:r>
              <w:rPr>
                <w:rFonts w:ascii="Arial" w:cs="Arial" w:eastAsia="Arial" w:hAnsi="Arial"/>
                <w:sz w:val="12"/>
                <w:szCs w:val="12"/>
                <w:color w:val="auto"/>
                <w:w w:val="89"/>
              </w:rPr>
              <w:t>High Tech Industries</w:t>
            </w: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6.59%</w:t>
            </w:r>
          </w:p>
        </w:tc>
        <w:tc>
          <w:tcPr>
            <w:tcW w:w="660" w:type="dxa"/>
            <w:vAlign w:val="bottom"/>
          </w:tcPr>
          <w:p>
            <w:pPr>
              <w:jc w:val="right"/>
              <w:spacing w:after="0"/>
              <w:rPr>
                <w:sz w:val="20"/>
                <w:szCs w:val="20"/>
                <w:color w:val="auto"/>
              </w:rPr>
            </w:pPr>
            <w:r>
              <w:rPr>
                <w:rFonts w:ascii="Arial" w:cs="Arial" w:eastAsia="Arial" w:hAnsi="Arial"/>
                <w:sz w:val="12"/>
                <w:szCs w:val="12"/>
                <w:color w:val="auto"/>
              </w:rPr>
              <w:t>1M L+450</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97"/>
              </w:rPr>
              <w:t>7,443,750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7,375,905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7,474,344</w:t>
            </w:r>
          </w:p>
        </w:tc>
        <w:tc>
          <w:tcPr>
            <w:tcW w:w="100" w:type="dxa"/>
            <w:vAlign w:val="bottom"/>
          </w:tcPr>
          <w:p>
            <w:pPr>
              <w:spacing w:after="0"/>
              <w:rPr>
                <w:sz w:val="12"/>
                <w:szCs w:val="12"/>
                <w:color w:val="auto"/>
              </w:rPr>
            </w:pPr>
          </w:p>
        </w:tc>
      </w:tr>
      <w:tr>
        <w:trPr>
          <w:trHeight w:val="148"/>
        </w:trPr>
        <w:tc>
          <w:tcPr>
            <w:tcW w:w="2840" w:type="dxa"/>
            <w:vAlign w:val="bottom"/>
            <w:shd w:val="clear" w:color="auto" w:fill="CCECFF"/>
          </w:tcPr>
          <w:p>
            <w:pPr>
              <w:spacing w:after="0"/>
              <w:rPr>
                <w:sz w:val="20"/>
                <w:szCs w:val="20"/>
                <w:color w:val="auto"/>
              </w:rPr>
            </w:pPr>
            <w:r>
              <w:rPr>
                <w:rFonts w:ascii="Arial" w:cs="Arial" w:eastAsia="Arial" w:hAnsi="Arial"/>
                <w:sz w:val="12"/>
                <w:szCs w:val="12"/>
                <w:color w:val="auto"/>
              </w:rPr>
              <w:t>Mission Critical Electronics, Inc.</w:t>
            </w:r>
          </w:p>
        </w:tc>
        <w:tc>
          <w:tcPr>
            <w:tcW w:w="11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9"/>
              </w:rPr>
              <w:t>09/28/2022</w:t>
            </w:r>
          </w:p>
        </w:tc>
        <w:tc>
          <w:tcPr>
            <w:tcW w:w="2620" w:type="dxa"/>
            <w:vAlign w:val="bottom"/>
            <w:gridSpan w:val="2"/>
            <w:shd w:val="clear" w:color="auto" w:fill="CCECFF"/>
          </w:tcPr>
          <w:p>
            <w:pPr>
              <w:jc w:val="center"/>
              <w:ind w:right="260"/>
              <w:spacing w:after="0"/>
              <w:rPr>
                <w:sz w:val="20"/>
                <w:szCs w:val="20"/>
                <w:color w:val="auto"/>
              </w:rPr>
            </w:pPr>
            <w:r>
              <w:rPr>
                <w:rFonts w:ascii="Arial" w:cs="Arial" w:eastAsia="Arial" w:hAnsi="Arial"/>
                <w:sz w:val="12"/>
                <w:szCs w:val="12"/>
                <w:color w:val="auto"/>
                <w:w w:val="89"/>
              </w:rPr>
              <w:t>Capital Equipment</w:t>
            </w:r>
          </w:p>
        </w:tc>
        <w:tc>
          <w:tcPr>
            <w:tcW w:w="92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7.17%</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2M L+500</w:t>
            </w: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4,005,973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3,985,004</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3,999,261</w:t>
            </w:r>
          </w:p>
        </w:tc>
        <w:tc>
          <w:tcPr>
            <w:tcW w:w="100" w:type="dxa"/>
            <w:vAlign w:val="bottom"/>
            <w:shd w:val="clear" w:color="auto" w:fill="CCECFF"/>
          </w:tcPr>
          <w:p>
            <w:pPr>
              <w:spacing w:after="0"/>
              <w:rPr>
                <w:sz w:val="12"/>
                <w:szCs w:val="12"/>
                <w:color w:val="auto"/>
              </w:rPr>
            </w:pPr>
          </w:p>
        </w:tc>
      </w:tr>
      <w:tr>
        <w:trPr>
          <w:trHeight w:val="149"/>
        </w:trPr>
        <w:tc>
          <w:tcPr>
            <w:tcW w:w="2840" w:type="dxa"/>
            <w:vAlign w:val="bottom"/>
          </w:tcPr>
          <w:p>
            <w:pPr>
              <w:spacing w:after="0"/>
              <w:rPr>
                <w:sz w:val="20"/>
                <w:szCs w:val="20"/>
                <w:color w:val="auto"/>
              </w:rPr>
            </w:pPr>
            <w:r>
              <w:rPr>
                <w:rFonts w:ascii="Arial" w:cs="Arial" w:eastAsia="Arial" w:hAnsi="Arial"/>
                <w:sz w:val="12"/>
                <w:szCs w:val="12"/>
                <w:color w:val="auto"/>
              </w:rPr>
              <w:t>Morphe, LLC</w:t>
            </w:r>
          </w:p>
        </w:tc>
        <w:tc>
          <w:tcPr>
            <w:tcW w:w="1180" w:type="dxa"/>
            <w:vAlign w:val="bottom"/>
          </w:tcPr>
          <w:p>
            <w:pPr>
              <w:jc w:val="center"/>
              <w:spacing w:after="0"/>
              <w:rPr>
                <w:sz w:val="20"/>
                <w:szCs w:val="20"/>
                <w:color w:val="auto"/>
              </w:rPr>
            </w:pPr>
            <w:r>
              <w:rPr>
                <w:rFonts w:ascii="Arial" w:cs="Arial" w:eastAsia="Arial" w:hAnsi="Arial"/>
                <w:sz w:val="12"/>
                <w:szCs w:val="12"/>
                <w:color w:val="auto"/>
                <w:w w:val="89"/>
              </w:rPr>
              <w:t>02/10/2023</w:t>
            </w:r>
          </w:p>
        </w:tc>
        <w:tc>
          <w:tcPr>
            <w:tcW w:w="2620" w:type="dxa"/>
            <w:vAlign w:val="bottom"/>
            <w:gridSpan w:val="2"/>
          </w:tcPr>
          <w:p>
            <w:pPr>
              <w:jc w:val="center"/>
              <w:ind w:right="240"/>
              <w:spacing w:after="0"/>
              <w:rPr>
                <w:sz w:val="20"/>
                <w:szCs w:val="20"/>
                <w:color w:val="auto"/>
              </w:rPr>
            </w:pPr>
            <w:r>
              <w:rPr>
                <w:rFonts w:ascii="Arial" w:cs="Arial" w:eastAsia="Arial" w:hAnsi="Arial"/>
                <w:sz w:val="12"/>
                <w:szCs w:val="12"/>
                <w:color w:val="auto"/>
                <w:w w:val="88"/>
              </w:rPr>
              <w:t>Consumer Goods: Non-Durable</w:t>
            </w: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8.33%</w:t>
            </w:r>
          </w:p>
        </w:tc>
        <w:tc>
          <w:tcPr>
            <w:tcW w:w="660" w:type="dxa"/>
            <w:vAlign w:val="bottom"/>
          </w:tcPr>
          <w:p>
            <w:pPr>
              <w:jc w:val="right"/>
              <w:spacing w:after="0"/>
              <w:rPr>
                <w:sz w:val="20"/>
                <w:szCs w:val="20"/>
                <w:color w:val="auto"/>
              </w:rPr>
            </w:pPr>
            <w:r>
              <w:rPr>
                <w:rFonts w:ascii="Arial" w:cs="Arial" w:eastAsia="Arial" w:hAnsi="Arial"/>
                <w:sz w:val="12"/>
                <w:szCs w:val="12"/>
                <w:color w:val="auto"/>
              </w:rPr>
              <w:t>3M L+600</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6"/>
              </w:rPr>
              <w:t>13,081,250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12,946,963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13,015,844</w:t>
            </w:r>
          </w:p>
        </w:tc>
        <w:tc>
          <w:tcPr>
            <w:tcW w:w="100" w:type="dxa"/>
            <w:vAlign w:val="bottom"/>
          </w:tcPr>
          <w:p>
            <w:pPr>
              <w:spacing w:after="0"/>
              <w:rPr>
                <w:sz w:val="12"/>
                <w:szCs w:val="12"/>
                <w:color w:val="auto"/>
              </w:rPr>
            </w:pPr>
          </w:p>
        </w:tc>
      </w:tr>
      <w:tr>
        <w:trPr>
          <w:trHeight w:val="148"/>
        </w:trPr>
        <w:tc>
          <w:tcPr>
            <w:tcW w:w="2840" w:type="dxa"/>
            <w:vAlign w:val="bottom"/>
            <w:shd w:val="clear" w:color="auto" w:fill="CCECFF"/>
          </w:tcPr>
          <w:p>
            <w:pPr>
              <w:spacing w:after="0"/>
              <w:rPr>
                <w:sz w:val="20"/>
                <w:szCs w:val="20"/>
                <w:color w:val="auto"/>
              </w:rPr>
            </w:pPr>
            <w:r>
              <w:rPr>
                <w:rFonts w:ascii="Arial" w:cs="Arial" w:eastAsia="Arial" w:hAnsi="Arial"/>
                <w:sz w:val="12"/>
                <w:szCs w:val="12"/>
                <w:color w:val="auto"/>
              </w:rPr>
              <w:t>New Milani Group LLC</w:t>
            </w:r>
          </w:p>
        </w:tc>
        <w:tc>
          <w:tcPr>
            <w:tcW w:w="11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9"/>
              </w:rPr>
              <w:t>06/06/2024</w:t>
            </w:r>
          </w:p>
        </w:tc>
        <w:tc>
          <w:tcPr>
            <w:tcW w:w="2620" w:type="dxa"/>
            <w:vAlign w:val="bottom"/>
            <w:gridSpan w:val="2"/>
            <w:shd w:val="clear" w:color="auto" w:fill="CCECFF"/>
          </w:tcPr>
          <w:p>
            <w:pPr>
              <w:jc w:val="center"/>
              <w:ind w:right="240"/>
              <w:spacing w:after="0"/>
              <w:rPr>
                <w:sz w:val="20"/>
                <w:szCs w:val="20"/>
                <w:color w:val="auto"/>
              </w:rPr>
            </w:pPr>
            <w:r>
              <w:rPr>
                <w:rFonts w:ascii="Arial" w:cs="Arial" w:eastAsia="Arial" w:hAnsi="Arial"/>
                <w:sz w:val="12"/>
                <w:szCs w:val="12"/>
                <w:color w:val="auto"/>
                <w:w w:val="88"/>
              </w:rPr>
              <w:t>Consumer Goods: Non-Durable</w:t>
            </w:r>
          </w:p>
        </w:tc>
        <w:tc>
          <w:tcPr>
            <w:tcW w:w="92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6.34%</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L+425</w:t>
            </w: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6"/>
              </w:rPr>
              <w:t>15,000,000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14,850,858</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14,850,000</w:t>
            </w:r>
          </w:p>
        </w:tc>
        <w:tc>
          <w:tcPr>
            <w:tcW w:w="100" w:type="dxa"/>
            <w:vAlign w:val="bottom"/>
            <w:shd w:val="clear" w:color="auto" w:fill="CCECFF"/>
          </w:tcPr>
          <w:p>
            <w:pPr>
              <w:spacing w:after="0"/>
              <w:rPr>
                <w:sz w:val="12"/>
                <w:szCs w:val="12"/>
                <w:color w:val="auto"/>
              </w:rPr>
            </w:pPr>
          </w:p>
        </w:tc>
      </w:tr>
      <w:tr>
        <w:trPr>
          <w:trHeight w:val="148"/>
        </w:trPr>
        <w:tc>
          <w:tcPr>
            <w:tcW w:w="2840" w:type="dxa"/>
            <w:vAlign w:val="bottom"/>
          </w:tcPr>
          <w:p>
            <w:pPr>
              <w:spacing w:after="0"/>
              <w:rPr>
                <w:sz w:val="20"/>
                <w:szCs w:val="20"/>
                <w:color w:val="auto"/>
              </w:rPr>
            </w:pPr>
            <w:r>
              <w:rPr>
                <w:rFonts w:ascii="Arial" w:cs="Arial" w:eastAsia="Arial" w:hAnsi="Arial"/>
                <w:sz w:val="12"/>
                <w:szCs w:val="12"/>
                <w:color w:val="auto"/>
              </w:rPr>
              <w:t>Olde Thompson, LLC</w:t>
            </w:r>
          </w:p>
        </w:tc>
        <w:tc>
          <w:tcPr>
            <w:tcW w:w="1180" w:type="dxa"/>
            <w:vAlign w:val="bottom"/>
          </w:tcPr>
          <w:p>
            <w:pPr>
              <w:jc w:val="center"/>
              <w:spacing w:after="0"/>
              <w:rPr>
                <w:sz w:val="20"/>
                <w:szCs w:val="20"/>
                <w:color w:val="auto"/>
              </w:rPr>
            </w:pPr>
            <w:r>
              <w:rPr>
                <w:rFonts w:ascii="Arial" w:cs="Arial" w:eastAsia="Arial" w:hAnsi="Arial"/>
                <w:sz w:val="12"/>
                <w:szCs w:val="12"/>
                <w:color w:val="auto"/>
                <w:w w:val="89"/>
              </w:rPr>
              <w:t>05/14/2024</w:t>
            </w:r>
          </w:p>
        </w:tc>
        <w:tc>
          <w:tcPr>
            <w:tcW w:w="2620" w:type="dxa"/>
            <w:vAlign w:val="bottom"/>
            <w:gridSpan w:val="2"/>
          </w:tcPr>
          <w:p>
            <w:pPr>
              <w:jc w:val="center"/>
              <w:ind w:right="260"/>
              <w:spacing w:after="0"/>
              <w:rPr>
                <w:sz w:val="20"/>
                <w:szCs w:val="20"/>
                <w:color w:val="auto"/>
              </w:rPr>
            </w:pPr>
            <w:r>
              <w:rPr>
                <w:rFonts w:ascii="Arial" w:cs="Arial" w:eastAsia="Arial" w:hAnsi="Arial"/>
                <w:sz w:val="12"/>
                <w:szCs w:val="12"/>
                <w:color w:val="auto"/>
                <w:w w:val="85"/>
              </w:rPr>
              <w:t>Beverage, Food and Tobacco</w:t>
            </w: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6.56%</w:t>
            </w:r>
          </w:p>
        </w:tc>
        <w:tc>
          <w:tcPr>
            <w:tcW w:w="660" w:type="dxa"/>
            <w:vAlign w:val="bottom"/>
          </w:tcPr>
          <w:p>
            <w:pPr>
              <w:jc w:val="right"/>
              <w:spacing w:after="0"/>
              <w:rPr>
                <w:sz w:val="20"/>
                <w:szCs w:val="20"/>
                <w:color w:val="auto"/>
              </w:rPr>
            </w:pPr>
            <w:r>
              <w:rPr>
                <w:rFonts w:ascii="Arial" w:cs="Arial" w:eastAsia="Arial" w:hAnsi="Arial"/>
                <w:sz w:val="12"/>
                <w:szCs w:val="12"/>
                <w:color w:val="auto"/>
              </w:rPr>
              <w:t>1M L+450</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6"/>
              </w:rPr>
              <w:t>14,000,000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13,860,000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13,860,000</w:t>
            </w:r>
          </w:p>
        </w:tc>
        <w:tc>
          <w:tcPr>
            <w:tcW w:w="100" w:type="dxa"/>
            <w:vAlign w:val="bottom"/>
          </w:tcPr>
          <w:p>
            <w:pPr>
              <w:spacing w:after="0"/>
              <w:rPr>
                <w:sz w:val="12"/>
                <w:szCs w:val="12"/>
                <w:color w:val="auto"/>
              </w:rPr>
            </w:pPr>
          </w:p>
        </w:tc>
      </w:tr>
      <w:tr>
        <w:trPr>
          <w:trHeight w:val="148"/>
        </w:trPr>
        <w:tc>
          <w:tcPr>
            <w:tcW w:w="2840" w:type="dxa"/>
            <w:vAlign w:val="bottom"/>
            <w:shd w:val="clear" w:color="auto" w:fill="CCECFF"/>
          </w:tcPr>
          <w:p>
            <w:pPr>
              <w:spacing w:after="0"/>
              <w:rPr>
                <w:sz w:val="20"/>
                <w:szCs w:val="20"/>
                <w:color w:val="auto"/>
              </w:rPr>
            </w:pPr>
            <w:r>
              <w:rPr>
                <w:rFonts w:ascii="Arial" w:cs="Arial" w:eastAsia="Arial" w:hAnsi="Arial"/>
                <w:sz w:val="12"/>
                <w:szCs w:val="12"/>
                <w:color w:val="auto"/>
              </w:rPr>
              <w:t>Output Services Group, Inc.</w:t>
            </w:r>
          </w:p>
        </w:tc>
        <w:tc>
          <w:tcPr>
            <w:tcW w:w="11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9"/>
              </w:rPr>
              <w:t>03/27/2024</w:t>
            </w:r>
          </w:p>
        </w:tc>
        <w:tc>
          <w:tcPr>
            <w:tcW w:w="2620" w:type="dxa"/>
            <w:vAlign w:val="bottom"/>
            <w:gridSpan w:val="2"/>
            <w:shd w:val="clear" w:color="auto" w:fill="CCECFF"/>
          </w:tcPr>
          <w:p>
            <w:pPr>
              <w:jc w:val="center"/>
              <w:ind w:right="260"/>
              <w:spacing w:after="0"/>
              <w:rPr>
                <w:sz w:val="20"/>
                <w:szCs w:val="20"/>
                <w:color w:val="auto"/>
              </w:rPr>
            </w:pPr>
            <w:r>
              <w:rPr>
                <w:rFonts w:ascii="Arial" w:cs="Arial" w:eastAsia="Arial" w:hAnsi="Arial"/>
                <w:sz w:val="12"/>
                <w:szCs w:val="12"/>
                <w:color w:val="auto"/>
                <w:w w:val="85"/>
              </w:rPr>
              <w:t>Business Services</w:t>
            </w:r>
          </w:p>
        </w:tc>
        <w:tc>
          <w:tcPr>
            <w:tcW w:w="92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6.34%</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L+425</w:t>
            </w: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6,615,897</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6,656,466</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6,657,247</w:t>
            </w:r>
          </w:p>
        </w:tc>
        <w:tc>
          <w:tcPr>
            <w:tcW w:w="100" w:type="dxa"/>
            <w:vAlign w:val="bottom"/>
            <w:shd w:val="clear" w:color="auto" w:fill="CCECFF"/>
          </w:tcPr>
          <w:p>
            <w:pPr>
              <w:spacing w:after="0"/>
              <w:rPr>
                <w:sz w:val="12"/>
                <w:szCs w:val="12"/>
                <w:color w:val="auto"/>
              </w:rPr>
            </w:pPr>
          </w:p>
        </w:tc>
      </w:tr>
      <w:tr>
        <w:trPr>
          <w:trHeight w:val="149"/>
        </w:trPr>
        <w:tc>
          <w:tcPr>
            <w:tcW w:w="2840" w:type="dxa"/>
            <w:vAlign w:val="bottom"/>
          </w:tcPr>
          <w:p>
            <w:pPr>
              <w:spacing w:after="0"/>
              <w:rPr>
                <w:sz w:val="20"/>
                <w:szCs w:val="20"/>
                <w:color w:val="auto"/>
              </w:rPr>
            </w:pPr>
            <w:r>
              <w:rPr>
                <w:rFonts w:ascii="Arial" w:cs="Arial" w:eastAsia="Arial" w:hAnsi="Arial"/>
                <w:sz w:val="12"/>
                <w:szCs w:val="12"/>
                <w:color w:val="auto"/>
              </w:rPr>
              <w:t xml:space="preserve">Output Services Group, Inc. </w:t>
            </w:r>
            <w:r>
              <w:rPr>
                <w:rFonts w:ascii="Arial" w:cs="Arial" w:eastAsia="Arial" w:hAnsi="Arial"/>
                <w:sz w:val="9"/>
                <w:szCs w:val="9"/>
                <w:color w:val="auto"/>
              </w:rPr>
              <w:t>(5)</w:t>
            </w:r>
          </w:p>
        </w:tc>
        <w:tc>
          <w:tcPr>
            <w:tcW w:w="1180" w:type="dxa"/>
            <w:vAlign w:val="bottom"/>
          </w:tcPr>
          <w:p>
            <w:pPr>
              <w:jc w:val="center"/>
              <w:spacing w:after="0"/>
              <w:rPr>
                <w:sz w:val="20"/>
                <w:szCs w:val="20"/>
                <w:color w:val="auto"/>
              </w:rPr>
            </w:pPr>
            <w:r>
              <w:rPr>
                <w:rFonts w:ascii="Arial" w:cs="Arial" w:eastAsia="Arial" w:hAnsi="Arial"/>
                <w:sz w:val="12"/>
                <w:szCs w:val="12"/>
                <w:color w:val="auto"/>
                <w:w w:val="89"/>
              </w:rPr>
              <w:t>03/27/2024</w:t>
            </w:r>
          </w:p>
        </w:tc>
        <w:tc>
          <w:tcPr>
            <w:tcW w:w="2620" w:type="dxa"/>
            <w:vAlign w:val="bottom"/>
            <w:gridSpan w:val="2"/>
          </w:tcPr>
          <w:p>
            <w:pPr>
              <w:jc w:val="center"/>
              <w:ind w:right="260"/>
              <w:spacing w:after="0"/>
              <w:rPr>
                <w:sz w:val="20"/>
                <w:szCs w:val="20"/>
                <w:color w:val="auto"/>
              </w:rPr>
            </w:pPr>
            <w:r>
              <w:rPr>
                <w:rFonts w:ascii="Arial" w:cs="Arial" w:eastAsia="Arial" w:hAnsi="Arial"/>
                <w:sz w:val="12"/>
                <w:szCs w:val="12"/>
                <w:color w:val="auto"/>
                <w:w w:val="85"/>
              </w:rPr>
              <w:t>Business Services</w:t>
            </w:r>
          </w:p>
        </w:tc>
        <w:tc>
          <w:tcPr>
            <w:tcW w:w="9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97"/>
              </w:rPr>
              <w:t>1,367,521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15,384</w:t>
            </w:r>
          </w:p>
        </w:tc>
        <w:tc>
          <w:tcPr>
            <w:tcW w:w="100" w:type="dxa"/>
            <w:vAlign w:val="bottom"/>
          </w:tcPr>
          <w:p>
            <w:pPr>
              <w:spacing w:after="0"/>
              <w:rPr>
                <w:sz w:val="12"/>
                <w:szCs w:val="12"/>
                <w:color w:val="auto"/>
              </w:rPr>
            </w:pPr>
          </w:p>
        </w:tc>
      </w:tr>
      <w:tr>
        <w:trPr>
          <w:trHeight w:val="148"/>
        </w:trPr>
        <w:tc>
          <w:tcPr>
            <w:tcW w:w="2840" w:type="dxa"/>
            <w:vAlign w:val="bottom"/>
            <w:shd w:val="clear" w:color="auto" w:fill="CCECFF"/>
          </w:tcPr>
          <w:p>
            <w:pPr>
              <w:spacing w:after="0"/>
              <w:rPr>
                <w:sz w:val="20"/>
                <w:szCs w:val="20"/>
                <w:color w:val="auto"/>
              </w:rPr>
            </w:pPr>
            <w:r>
              <w:rPr>
                <w:rFonts w:ascii="Arial" w:cs="Arial" w:eastAsia="Arial" w:hAnsi="Arial"/>
                <w:sz w:val="12"/>
                <w:szCs w:val="12"/>
                <w:color w:val="auto"/>
              </w:rPr>
              <w:t>Snak Club, LLC</w:t>
            </w:r>
          </w:p>
        </w:tc>
        <w:tc>
          <w:tcPr>
            <w:tcW w:w="11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9"/>
              </w:rPr>
              <w:t>07/19/2021</w:t>
            </w:r>
          </w:p>
        </w:tc>
        <w:tc>
          <w:tcPr>
            <w:tcW w:w="2620" w:type="dxa"/>
            <w:vAlign w:val="bottom"/>
            <w:gridSpan w:val="2"/>
            <w:shd w:val="clear" w:color="auto" w:fill="CCECFF"/>
          </w:tcPr>
          <w:p>
            <w:pPr>
              <w:jc w:val="center"/>
              <w:ind w:right="260"/>
              <w:spacing w:after="0"/>
              <w:rPr>
                <w:sz w:val="20"/>
                <w:szCs w:val="20"/>
                <w:color w:val="auto"/>
              </w:rPr>
            </w:pPr>
            <w:r>
              <w:rPr>
                <w:rFonts w:ascii="Arial" w:cs="Arial" w:eastAsia="Arial" w:hAnsi="Arial"/>
                <w:sz w:val="12"/>
                <w:szCs w:val="12"/>
                <w:color w:val="auto"/>
                <w:w w:val="85"/>
              </w:rPr>
              <w:t>Beverage, Food and Tobacco</w:t>
            </w:r>
          </w:p>
        </w:tc>
        <w:tc>
          <w:tcPr>
            <w:tcW w:w="92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7.98%</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1M L+600</w:t>
            </w: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4,749,995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4,749,995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4,726,245</w:t>
            </w:r>
          </w:p>
        </w:tc>
        <w:tc>
          <w:tcPr>
            <w:tcW w:w="100" w:type="dxa"/>
            <w:vAlign w:val="bottom"/>
            <w:shd w:val="clear" w:color="auto" w:fill="CCECFF"/>
          </w:tcPr>
          <w:p>
            <w:pPr>
              <w:spacing w:after="0"/>
              <w:rPr>
                <w:sz w:val="12"/>
                <w:szCs w:val="12"/>
                <w:color w:val="auto"/>
              </w:rPr>
            </w:pPr>
          </w:p>
        </w:tc>
      </w:tr>
      <w:tr>
        <w:trPr>
          <w:trHeight w:val="148"/>
        </w:trPr>
        <w:tc>
          <w:tcPr>
            <w:tcW w:w="2840" w:type="dxa"/>
            <w:vAlign w:val="bottom"/>
          </w:tcPr>
          <w:p>
            <w:pPr>
              <w:spacing w:after="0"/>
              <w:rPr>
                <w:sz w:val="20"/>
                <w:szCs w:val="20"/>
                <w:color w:val="auto"/>
              </w:rPr>
            </w:pPr>
            <w:r>
              <w:rPr>
                <w:rFonts w:ascii="Arial" w:cs="Arial" w:eastAsia="Arial" w:hAnsi="Arial"/>
                <w:sz w:val="12"/>
                <w:szCs w:val="12"/>
                <w:color w:val="auto"/>
              </w:rPr>
              <w:t>Sonny's Enterprises, LLC</w:t>
            </w:r>
          </w:p>
        </w:tc>
        <w:tc>
          <w:tcPr>
            <w:tcW w:w="1180" w:type="dxa"/>
            <w:vAlign w:val="bottom"/>
          </w:tcPr>
          <w:p>
            <w:pPr>
              <w:jc w:val="center"/>
              <w:spacing w:after="0"/>
              <w:rPr>
                <w:sz w:val="20"/>
                <w:szCs w:val="20"/>
                <w:color w:val="auto"/>
              </w:rPr>
            </w:pPr>
            <w:r>
              <w:rPr>
                <w:rFonts w:ascii="Arial" w:cs="Arial" w:eastAsia="Arial" w:hAnsi="Arial"/>
                <w:sz w:val="12"/>
                <w:szCs w:val="12"/>
                <w:color w:val="auto"/>
                <w:w w:val="89"/>
              </w:rPr>
              <w:t>12/01/2022</w:t>
            </w:r>
          </w:p>
        </w:tc>
        <w:tc>
          <w:tcPr>
            <w:tcW w:w="2620" w:type="dxa"/>
            <w:vAlign w:val="bottom"/>
            <w:gridSpan w:val="2"/>
          </w:tcPr>
          <w:p>
            <w:pPr>
              <w:jc w:val="center"/>
              <w:ind w:right="260"/>
              <w:spacing w:after="0"/>
              <w:rPr>
                <w:sz w:val="20"/>
                <w:szCs w:val="20"/>
                <w:color w:val="auto"/>
              </w:rPr>
            </w:pPr>
            <w:r>
              <w:rPr>
                <w:rFonts w:ascii="Arial" w:cs="Arial" w:eastAsia="Arial" w:hAnsi="Arial"/>
                <w:sz w:val="12"/>
                <w:szCs w:val="12"/>
                <w:color w:val="auto"/>
                <w:w w:val="89"/>
              </w:rPr>
              <w:t>Capital Equipment</w:t>
            </w: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6.59%</w:t>
            </w:r>
          </w:p>
        </w:tc>
        <w:tc>
          <w:tcPr>
            <w:tcW w:w="660" w:type="dxa"/>
            <w:vAlign w:val="bottom"/>
          </w:tcPr>
          <w:p>
            <w:pPr>
              <w:jc w:val="right"/>
              <w:spacing w:after="0"/>
              <w:rPr>
                <w:sz w:val="20"/>
                <w:szCs w:val="20"/>
                <w:color w:val="auto"/>
              </w:rPr>
            </w:pPr>
            <w:r>
              <w:rPr>
                <w:rFonts w:ascii="Arial" w:cs="Arial" w:eastAsia="Arial" w:hAnsi="Arial"/>
                <w:sz w:val="12"/>
                <w:szCs w:val="12"/>
                <w:color w:val="auto"/>
              </w:rPr>
              <w:t>1M L+450</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97"/>
              </w:rPr>
              <w:t>9,950,000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9,953,109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9,950,000</w:t>
            </w:r>
          </w:p>
        </w:tc>
        <w:tc>
          <w:tcPr>
            <w:tcW w:w="100" w:type="dxa"/>
            <w:vAlign w:val="bottom"/>
          </w:tcPr>
          <w:p>
            <w:pPr>
              <w:spacing w:after="0"/>
              <w:rPr>
                <w:sz w:val="12"/>
                <w:szCs w:val="12"/>
                <w:color w:val="auto"/>
              </w:rPr>
            </w:pPr>
          </w:p>
        </w:tc>
      </w:tr>
      <w:tr>
        <w:trPr>
          <w:trHeight w:val="149"/>
        </w:trPr>
        <w:tc>
          <w:tcPr>
            <w:tcW w:w="2840" w:type="dxa"/>
            <w:vAlign w:val="bottom"/>
            <w:shd w:val="clear" w:color="auto" w:fill="CCECFF"/>
          </w:tcPr>
          <w:p>
            <w:pPr>
              <w:spacing w:after="0"/>
              <w:rPr>
                <w:sz w:val="20"/>
                <w:szCs w:val="20"/>
                <w:color w:val="auto"/>
              </w:rPr>
            </w:pPr>
            <w:r>
              <w:rPr>
                <w:rFonts w:ascii="Arial" w:cs="Arial" w:eastAsia="Arial" w:hAnsi="Arial"/>
                <w:sz w:val="12"/>
                <w:szCs w:val="12"/>
                <w:color w:val="auto"/>
              </w:rPr>
              <w:t>The Infosoft Group, LLC</w:t>
            </w:r>
          </w:p>
        </w:tc>
        <w:tc>
          <w:tcPr>
            <w:tcW w:w="11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9"/>
              </w:rPr>
              <w:t>12/02/2021</w:t>
            </w:r>
          </w:p>
        </w:tc>
        <w:tc>
          <w:tcPr>
            <w:tcW w:w="2620" w:type="dxa"/>
            <w:vAlign w:val="bottom"/>
            <w:gridSpan w:val="2"/>
            <w:shd w:val="clear" w:color="auto" w:fill="CCECFF"/>
          </w:tcPr>
          <w:p>
            <w:pPr>
              <w:jc w:val="center"/>
              <w:ind w:right="260"/>
              <w:spacing w:after="0"/>
              <w:rPr>
                <w:sz w:val="20"/>
                <w:szCs w:val="20"/>
                <w:color w:val="auto"/>
              </w:rPr>
            </w:pPr>
            <w:r>
              <w:rPr>
                <w:rFonts w:ascii="Arial" w:cs="Arial" w:eastAsia="Arial" w:hAnsi="Arial"/>
                <w:sz w:val="12"/>
                <w:szCs w:val="12"/>
                <w:color w:val="auto"/>
                <w:w w:val="89"/>
              </w:rPr>
              <w:t>Media: Broadcasting and Subscription</w:t>
            </w:r>
          </w:p>
        </w:tc>
        <w:tc>
          <w:tcPr>
            <w:tcW w:w="92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7.57%</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L+525</w:t>
            </w: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4,740,341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4,740,341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4,740,341</w:t>
            </w:r>
          </w:p>
        </w:tc>
        <w:tc>
          <w:tcPr>
            <w:tcW w:w="100" w:type="dxa"/>
            <w:vAlign w:val="bottom"/>
            <w:shd w:val="clear" w:color="auto" w:fill="CCECFF"/>
          </w:tcPr>
          <w:p>
            <w:pPr>
              <w:spacing w:after="0"/>
              <w:rPr>
                <w:sz w:val="12"/>
                <w:szCs w:val="12"/>
                <w:color w:val="auto"/>
              </w:rPr>
            </w:pPr>
          </w:p>
        </w:tc>
      </w:tr>
      <w:tr>
        <w:trPr>
          <w:trHeight w:val="148"/>
        </w:trPr>
        <w:tc>
          <w:tcPr>
            <w:tcW w:w="2840" w:type="dxa"/>
            <w:vAlign w:val="bottom"/>
          </w:tcPr>
          <w:p>
            <w:pPr>
              <w:spacing w:after="0"/>
              <w:rPr>
                <w:sz w:val="20"/>
                <w:szCs w:val="20"/>
                <w:color w:val="auto"/>
              </w:rPr>
            </w:pPr>
            <w:r>
              <w:rPr>
                <w:rFonts w:ascii="Arial" w:cs="Arial" w:eastAsia="Arial" w:hAnsi="Arial"/>
                <w:sz w:val="12"/>
                <w:szCs w:val="12"/>
                <w:color w:val="auto"/>
              </w:rPr>
              <w:t>UBEO, LLC</w:t>
            </w:r>
          </w:p>
        </w:tc>
        <w:tc>
          <w:tcPr>
            <w:tcW w:w="1180" w:type="dxa"/>
            <w:vAlign w:val="bottom"/>
          </w:tcPr>
          <w:p>
            <w:pPr>
              <w:jc w:val="center"/>
              <w:spacing w:after="0"/>
              <w:rPr>
                <w:sz w:val="20"/>
                <w:szCs w:val="20"/>
                <w:color w:val="auto"/>
              </w:rPr>
            </w:pPr>
            <w:r>
              <w:rPr>
                <w:rFonts w:ascii="Arial" w:cs="Arial" w:eastAsia="Arial" w:hAnsi="Arial"/>
                <w:sz w:val="12"/>
                <w:szCs w:val="12"/>
                <w:color w:val="auto"/>
                <w:w w:val="89"/>
              </w:rPr>
              <w:t>04/03/2024</w:t>
            </w:r>
          </w:p>
        </w:tc>
        <w:tc>
          <w:tcPr>
            <w:tcW w:w="2620" w:type="dxa"/>
            <w:vAlign w:val="bottom"/>
            <w:gridSpan w:val="2"/>
          </w:tcPr>
          <w:p>
            <w:pPr>
              <w:jc w:val="center"/>
              <w:ind w:right="260"/>
              <w:spacing w:after="0"/>
              <w:rPr>
                <w:sz w:val="20"/>
                <w:szCs w:val="20"/>
                <w:color w:val="auto"/>
              </w:rPr>
            </w:pPr>
            <w:r>
              <w:rPr>
                <w:rFonts w:ascii="Arial" w:cs="Arial" w:eastAsia="Arial" w:hAnsi="Arial"/>
                <w:sz w:val="12"/>
                <w:szCs w:val="12"/>
                <w:color w:val="auto"/>
                <w:w w:val="89"/>
              </w:rPr>
              <w:t>Capital Equipment</w:t>
            </w: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6.50%</w:t>
            </w:r>
          </w:p>
        </w:tc>
        <w:tc>
          <w:tcPr>
            <w:tcW w:w="660" w:type="dxa"/>
            <w:vAlign w:val="bottom"/>
          </w:tcPr>
          <w:p>
            <w:pPr>
              <w:jc w:val="right"/>
              <w:spacing w:after="0"/>
              <w:rPr>
                <w:sz w:val="20"/>
                <w:szCs w:val="20"/>
                <w:color w:val="auto"/>
              </w:rPr>
            </w:pPr>
            <w:r>
              <w:rPr>
                <w:rFonts w:ascii="Arial" w:cs="Arial" w:eastAsia="Arial" w:hAnsi="Arial"/>
                <w:sz w:val="12"/>
                <w:szCs w:val="12"/>
                <w:color w:val="auto"/>
              </w:rPr>
              <w:t>1M L+450</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86"/>
              </w:rPr>
              <w:t>12,500,000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12,379,229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12,375,000</w:t>
            </w:r>
          </w:p>
        </w:tc>
        <w:tc>
          <w:tcPr>
            <w:tcW w:w="100" w:type="dxa"/>
            <w:vAlign w:val="bottom"/>
          </w:tcPr>
          <w:p>
            <w:pPr>
              <w:spacing w:after="0"/>
              <w:rPr>
                <w:sz w:val="12"/>
                <w:szCs w:val="12"/>
                <w:color w:val="auto"/>
              </w:rPr>
            </w:pPr>
          </w:p>
        </w:tc>
      </w:tr>
      <w:tr>
        <w:trPr>
          <w:trHeight w:val="149"/>
        </w:trPr>
        <w:tc>
          <w:tcPr>
            <w:tcW w:w="2840" w:type="dxa"/>
            <w:vAlign w:val="bottom"/>
            <w:shd w:val="clear" w:color="auto" w:fill="CCECFF"/>
          </w:tcPr>
          <w:p>
            <w:pPr>
              <w:spacing w:after="0"/>
              <w:rPr>
                <w:sz w:val="20"/>
                <w:szCs w:val="20"/>
                <w:color w:val="auto"/>
              </w:rPr>
            </w:pPr>
            <w:r>
              <w:rPr>
                <w:rFonts w:ascii="Arial" w:cs="Arial" w:eastAsia="Arial" w:hAnsi="Arial"/>
                <w:sz w:val="12"/>
                <w:szCs w:val="12"/>
                <w:color w:val="auto"/>
              </w:rPr>
              <w:t>VIP Cinema Holdings, Inc.</w:t>
            </w:r>
          </w:p>
        </w:tc>
        <w:tc>
          <w:tcPr>
            <w:tcW w:w="11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9"/>
              </w:rPr>
              <w:t>03/01/2023</w:t>
            </w:r>
          </w:p>
        </w:tc>
        <w:tc>
          <w:tcPr>
            <w:tcW w:w="2620" w:type="dxa"/>
            <w:vAlign w:val="bottom"/>
            <w:gridSpan w:val="2"/>
            <w:shd w:val="clear" w:color="auto" w:fill="CCECFF"/>
          </w:tcPr>
          <w:p>
            <w:pPr>
              <w:jc w:val="center"/>
              <w:ind w:right="240"/>
              <w:spacing w:after="0"/>
              <w:rPr>
                <w:sz w:val="20"/>
                <w:szCs w:val="20"/>
                <w:color w:val="auto"/>
              </w:rPr>
            </w:pPr>
            <w:r>
              <w:rPr>
                <w:rFonts w:ascii="Arial" w:cs="Arial" w:eastAsia="Arial" w:hAnsi="Arial"/>
                <w:sz w:val="12"/>
                <w:szCs w:val="12"/>
                <w:color w:val="auto"/>
                <w:w w:val="88"/>
              </w:rPr>
              <w:t>Consumer Goods: Durable</w:t>
            </w:r>
          </w:p>
        </w:tc>
        <w:tc>
          <w:tcPr>
            <w:tcW w:w="92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8.34%</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L+600</w:t>
            </w: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4,687,500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4,744,600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4,716,797</w:t>
            </w:r>
          </w:p>
        </w:tc>
        <w:tc>
          <w:tcPr>
            <w:tcW w:w="100" w:type="dxa"/>
            <w:vAlign w:val="bottom"/>
            <w:shd w:val="clear" w:color="auto" w:fill="CCECFF"/>
          </w:tcPr>
          <w:p>
            <w:pPr>
              <w:spacing w:after="0"/>
              <w:rPr>
                <w:sz w:val="12"/>
                <w:szCs w:val="12"/>
                <w:color w:val="auto"/>
              </w:rPr>
            </w:pPr>
          </w:p>
        </w:tc>
      </w:tr>
      <w:tr>
        <w:trPr>
          <w:trHeight w:val="148"/>
        </w:trPr>
        <w:tc>
          <w:tcPr>
            <w:tcW w:w="2840" w:type="dxa"/>
            <w:vAlign w:val="bottom"/>
          </w:tcPr>
          <w:p>
            <w:pPr>
              <w:spacing w:after="0"/>
              <w:rPr>
                <w:sz w:val="20"/>
                <w:szCs w:val="20"/>
                <w:color w:val="auto"/>
              </w:rPr>
            </w:pPr>
            <w:r>
              <w:rPr>
                <w:rFonts w:ascii="Arial" w:cs="Arial" w:eastAsia="Arial" w:hAnsi="Arial"/>
                <w:sz w:val="12"/>
                <w:szCs w:val="12"/>
                <w:color w:val="auto"/>
              </w:rPr>
              <w:t>Whitney, Bradley &amp; Brown, Inc.</w:t>
            </w:r>
          </w:p>
        </w:tc>
        <w:tc>
          <w:tcPr>
            <w:tcW w:w="1180" w:type="dxa"/>
            <w:vAlign w:val="bottom"/>
          </w:tcPr>
          <w:p>
            <w:pPr>
              <w:jc w:val="center"/>
              <w:spacing w:after="0"/>
              <w:rPr>
                <w:sz w:val="20"/>
                <w:szCs w:val="20"/>
                <w:color w:val="auto"/>
              </w:rPr>
            </w:pPr>
            <w:r>
              <w:rPr>
                <w:rFonts w:ascii="Arial" w:cs="Arial" w:eastAsia="Arial" w:hAnsi="Arial"/>
                <w:sz w:val="12"/>
                <w:szCs w:val="12"/>
                <w:color w:val="auto"/>
                <w:w w:val="89"/>
              </w:rPr>
              <w:t>10/18/2022</w:t>
            </w:r>
          </w:p>
        </w:tc>
        <w:tc>
          <w:tcPr>
            <w:tcW w:w="2620" w:type="dxa"/>
            <w:vAlign w:val="bottom"/>
            <w:gridSpan w:val="2"/>
          </w:tcPr>
          <w:p>
            <w:pPr>
              <w:jc w:val="center"/>
              <w:ind w:right="240"/>
              <w:spacing w:after="0"/>
              <w:rPr>
                <w:sz w:val="20"/>
                <w:szCs w:val="20"/>
                <w:color w:val="auto"/>
              </w:rPr>
            </w:pPr>
            <w:r>
              <w:rPr>
                <w:rFonts w:ascii="Arial" w:cs="Arial" w:eastAsia="Arial" w:hAnsi="Arial"/>
                <w:sz w:val="12"/>
                <w:szCs w:val="12"/>
                <w:color w:val="auto"/>
                <w:w w:val="85"/>
              </w:rPr>
              <w:t>Aerospace and Defense</w:t>
            </w: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11.10%</w:t>
            </w:r>
          </w:p>
        </w:tc>
        <w:tc>
          <w:tcPr>
            <w:tcW w:w="660" w:type="dxa"/>
            <w:vAlign w:val="bottom"/>
          </w:tcPr>
          <w:p>
            <w:pPr>
              <w:jc w:val="right"/>
              <w:spacing w:after="0"/>
              <w:rPr>
                <w:sz w:val="20"/>
                <w:szCs w:val="20"/>
                <w:color w:val="auto"/>
              </w:rPr>
            </w:pPr>
            <w:r>
              <w:rPr>
                <w:rFonts w:ascii="Arial" w:cs="Arial" w:eastAsia="Arial" w:hAnsi="Arial"/>
                <w:sz w:val="12"/>
                <w:szCs w:val="12"/>
                <w:color w:val="auto"/>
              </w:rPr>
              <w:t>1M L+900</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w w:val="97"/>
              </w:rPr>
              <w:t>4,962,500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4,874,462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4,962,500</w:t>
            </w:r>
          </w:p>
        </w:tc>
        <w:tc>
          <w:tcPr>
            <w:tcW w:w="100" w:type="dxa"/>
            <w:vAlign w:val="bottom"/>
          </w:tcPr>
          <w:p>
            <w:pPr>
              <w:spacing w:after="0"/>
              <w:rPr>
                <w:sz w:val="12"/>
                <w:szCs w:val="12"/>
                <w:color w:val="auto"/>
              </w:rPr>
            </w:pPr>
          </w:p>
        </w:tc>
      </w:tr>
      <w:tr>
        <w:trPr>
          <w:trHeight w:val="148"/>
        </w:trPr>
        <w:tc>
          <w:tcPr>
            <w:tcW w:w="2840" w:type="dxa"/>
            <w:vAlign w:val="bottom"/>
            <w:shd w:val="clear" w:color="auto" w:fill="CCECFF"/>
          </w:tcPr>
          <w:p>
            <w:pPr>
              <w:spacing w:after="0"/>
              <w:rPr>
                <w:sz w:val="20"/>
                <w:szCs w:val="20"/>
                <w:color w:val="auto"/>
              </w:rPr>
            </w:pPr>
            <w:r>
              <w:rPr>
                <w:rFonts w:ascii="Arial" w:cs="Arial" w:eastAsia="Arial" w:hAnsi="Arial"/>
                <w:sz w:val="12"/>
                <w:szCs w:val="12"/>
                <w:color w:val="auto"/>
              </w:rPr>
              <w:t>Xebec Global Holdings, LLC</w:t>
            </w:r>
          </w:p>
        </w:tc>
        <w:tc>
          <w:tcPr>
            <w:tcW w:w="11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9"/>
              </w:rPr>
              <w:t>02/12/2024</w:t>
            </w:r>
          </w:p>
        </w:tc>
        <w:tc>
          <w:tcPr>
            <w:tcW w:w="2620" w:type="dxa"/>
            <w:vAlign w:val="bottom"/>
            <w:gridSpan w:val="2"/>
            <w:shd w:val="clear" w:color="auto" w:fill="CCECFF"/>
          </w:tcPr>
          <w:p>
            <w:pPr>
              <w:jc w:val="center"/>
              <w:ind w:right="240"/>
              <w:spacing w:after="0"/>
              <w:rPr>
                <w:sz w:val="20"/>
                <w:szCs w:val="20"/>
                <w:color w:val="auto"/>
              </w:rPr>
            </w:pPr>
            <w:r>
              <w:rPr>
                <w:rFonts w:ascii="Arial" w:cs="Arial" w:eastAsia="Arial" w:hAnsi="Arial"/>
                <w:sz w:val="12"/>
                <w:szCs w:val="12"/>
                <w:color w:val="auto"/>
                <w:w w:val="85"/>
              </w:rPr>
              <w:t>Aerospace and Defense</w:t>
            </w:r>
          </w:p>
        </w:tc>
        <w:tc>
          <w:tcPr>
            <w:tcW w:w="92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7.32%</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3M L+550</w:t>
            </w: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5,735,625</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5,706,991</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5,663,930</w:t>
            </w:r>
          </w:p>
        </w:tc>
        <w:tc>
          <w:tcPr>
            <w:tcW w:w="100" w:type="dxa"/>
            <w:vAlign w:val="bottom"/>
            <w:shd w:val="clear" w:color="auto" w:fill="CCECFF"/>
          </w:tcPr>
          <w:p>
            <w:pPr>
              <w:spacing w:after="0"/>
              <w:rPr>
                <w:sz w:val="12"/>
                <w:szCs w:val="12"/>
                <w:color w:val="auto"/>
              </w:rPr>
            </w:pPr>
          </w:p>
        </w:tc>
      </w:tr>
      <w:tr>
        <w:trPr>
          <w:trHeight w:val="142"/>
        </w:trPr>
        <w:tc>
          <w:tcPr>
            <w:tcW w:w="284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First Lien Secured Debt</w:t>
            </w:r>
          </w:p>
        </w:tc>
        <w:tc>
          <w:tcPr>
            <w:tcW w:w="1180" w:type="dxa"/>
            <w:vAlign w:val="bottom"/>
            <w:tcBorders>
              <w:bottom w:val="single" w:sz="8" w:color="CCECFF"/>
            </w:tcBorders>
          </w:tcPr>
          <w:p>
            <w:pPr>
              <w:spacing w:after="0"/>
              <w:rPr>
                <w:sz w:val="12"/>
                <w:szCs w:val="12"/>
                <w:color w:val="auto"/>
              </w:rPr>
            </w:pPr>
          </w:p>
        </w:tc>
        <w:tc>
          <w:tcPr>
            <w:tcW w:w="250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32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56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346,547,032</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5"/>
              </w:rPr>
              <w:t>346,936,205</w:t>
            </w:r>
          </w:p>
        </w:tc>
        <w:tc>
          <w:tcPr>
            <w:tcW w:w="100" w:type="dxa"/>
            <w:vAlign w:val="bottom"/>
            <w:tcBorders>
              <w:bottom w:val="single" w:sz="8" w:color="CCECFF"/>
            </w:tcBorders>
          </w:tcPr>
          <w:p>
            <w:pPr>
              <w:spacing w:after="0"/>
              <w:rPr>
                <w:sz w:val="12"/>
                <w:szCs w:val="12"/>
                <w:color w:val="auto"/>
              </w:rPr>
            </w:pPr>
          </w:p>
        </w:tc>
      </w:tr>
      <w:tr>
        <w:trPr>
          <w:trHeight w:val="142"/>
        </w:trPr>
        <w:tc>
          <w:tcPr>
            <w:tcW w:w="4020" w:type="dxa"/>
            <w:vAlign w:val="bottom"/>
            <w:gridSpan w:val="2"/>
            <w:shd w:val="clear" w:color="auto" w:fill="CCECFF"/>
          </w:tcPr>
          <w:p>
            <w:pPr>
              <w:spacing w:after="0"/>
              <w:rPr>
                <w:sz w:val="20"/>
                <w:szCs w:val="20"/>
                <w:color w:val="auto"/>
              </w:rPr>
            </w:pPr>
            <w:r>
              <w:rPr>
                <w:rFonts w:ascii="Arial" w:cs="Arial" w:eastAsia="Arial" w:hAnsi="Arial"/>
                <w:sz w:val="12"/>
                <w:szCs w:val="12"/>
                <w:b w:val="1"/>
                <w:bCs w:val="1"/>
                <w:color w:val="auto"/>
                <w:w w:val="96"/>
              </w:rPr>
              <w:t>Total Investments in Non-Controlled, Non-Affiliated Portfolio Companies</w:t>
            </w:r>
          </w:p>
        </w:tc>
        <w:tc>
          <w:tcPr>
            <w:tcW w:w="25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89"/>
              </w:rPr>
              <w:t>346,547,032</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5"/>
              </w:rPr>
              <w:t>346,936,205</w:t>
            </w:r>
          </w:p>
        </w:tc>
        <w:tc>
          <w:tcPr>
            <w:tcW w:w="100" w:type="dxa"/>
            <w:vAlign w:val="bottom"/>
            <w:shd w:val="clear" w:color="auto" w:fill="CCECFF"/>
          </w:tcPr>
          <w:p>
            <w:pPr>
              <w:spacing w:after="0"/>
              <w:rPr>
                <w:sz w:val="12"/>
                <w:szCs w:val="12"/>
                <w:color w:val="auto"/>
              </w:rPr>
            </w:pPr>
          </w:p>
        </w:tc>
      </w:tr>
      <w:tr>
        <w:trPr>
          <w:trHeight w:val="142"/>
        </w:trPr>
        <w:tc>
          <w:tcPr>
            <w:tcW w:w="2840" w:type="dxa"/>
            <w:vAlign w:val="bottom"/>
          </w:tcPr>
          <w:p>
            <w:pPr>
              <w:spacing w:after="0"/>
              <w:rPr>
                <w:sz w:val="20"/>
                <w:szCs w:val="20"/>
                <w:color w:val="auto"/>
              </w:rPr>
            </w:pPr>
            <w:r>
              <w:rPr>
                <w:rFonts w:ascii="Arial" w:cs="Arial" w:eastAsia="Arial" w:hAnsi="Arial"/>
                <w:sz w:val="12"/>
                <w:szCs w:val="12"/>
                <w:b w:val="1"/>
                <w:bCs w:val="1"/>
                <w:color w:val="auto"/>
              </w:rPr>
              <w:t>Cash and Cash Equivalents—9.9%</w:t>
            </w:r>
          </w:p>
        </w:tc>
        <w:tc>
          <w:tcPr>
            <w:tcW w:w="11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2840" w:type="dxa"/>
            <w:vAlign w:val="bottom"/>
            <w:shd w:val="clear" w:color="auto" w:fill="CCECFF"/>
          </w:tcPr>
          <w:p>
            <w:pPr>
              <w:spacing w:after="0"/>
              <w:rPr>
                <w:sz w:val="20"/>
                <w:szCs w:val="20"/>
                <w:color w:val="auto"/>
              </w:rPr>
            </w:pPr>
            <w:r>
              <w:rPr>
                <w:rFonts w:ascii="Arial" w:cs="Arial" w:eastAsia="Arial" w:hAnsi="Arial"/>
                <w:sz w:val="12"/>
                <w:szCs w:val="12"/>
                <w:color w:val="auto"/>
              </w:rPr>
              <w:t>BlackRock Federal FD Institutional 30</w:t>
            </w:r>
          </w:p>
        </w:tc>
        <w:tc>
          <w:tcPr>
            <w:tcW w:w="1180" w:type="dxa"/>
            <w:vAlign w:val="bottom"/>
            <w:shd w:val="clear" w:color="auto" w:fill="CCECFF"/>
          </w:tcPr>
          <w:p>
            <w:pPr>
              <w:spacing w:after="0"/>
              <w:rPr>
                <w:sz w:val="12"/>
                <w:szCs w:val="12"/>
                <w:color w:val="auto"/>
              </w:rPr>
            </w:pPr>
          </w:p>
        </w:tc>
        <w:tc>
          <w:tcPr>
            <w:tcW w:w="25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2,969,162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2,969,162</w:t>
            </w:r>
          </w:p>
        </w:tc>
        <w:tc>
          <w:tcPr>
            <w:tcW w:w="100" w:type="dxa"/>
            <w:vAlign w:val="bottom"/>
            <w:shd w:val="clear" w:color="auto" w:fill="CCECFF"/>
          </w:tcPr>
          <w:p>
            <w:pPr>
              <w:spacing w:after="0"/>
              <w:rPr>
                <w:sz w:val="12"/>
                <w:szCs w:val="12"/>
                <w:color w:val="auto"/>
              </w:rPr>
            </w:pPr>
          </w:p>
        </w:tc>
      </w:tr>
      <w:tr>
        <w:trPr>
          <w:trHeight w:val="148"/>
        </w:trPr>
        <w:tc>
          <w:tcPr>
            <w:tcW w:w="2840" w:type="dxa"/>
            <w:vAlign w:val="bottom"/>
            <w:tcBorders>
              <w:bottom w:val="single" w:sz="8" w:color="CCECFF"/>
            </w:tcBorders>
          </w:tcPr>
          <w:p>
            <w:pPr>
              <w:spacing w:after="0"/>
              <w:rPr>
                <w:sz w:val="20"/>
                <w:szCs w:val="20"/>
                <w:color w:val="auto"/>
              </w:rPr>
            </w:pPr>
            <w:r>
              <w:rPr>
                <w:rFonts w:ascii="Arial" w:cs="Arial" w:eastAsia="Arial" w:hAnsi="Arial"/>
                <w:sz w:val="12"/>
                <w:szCs w:val="12"/>
                <w:color w:val="auto"/>
              </w:rPr>
              <w:t>US Bank Cash</w:t>
            </w:r>
          </w:p>
        </w:tc>
        <w:tc>
          <w:tcPr>
            <w:tcW w:w="1180" w:type="dxa"/>
            <w:vAlign w:val="bottom"/>
            <w:tcBorders>
              <w:bottom w:val="single" w:sz="8" w:color="CCECFF"/>
            </w:tcBorders>
          </w:tcPr>
          <w:p>
            <w:pPr>
              <w:spacing w:after="0"/>
              <w:rPr>
                <w:sz w:val="12"/>
                <w:szCs w:val="12"/>
                <w:color w:val="auto"/>
              </w:rPr>
            </w:pPr>
          </w:p>
        </w:tc>
        <w:tc>
          <w:tcPr>
            <w:tcW w:w="250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32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56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1,196,654</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1,184,331</w:t>
            </w:r>
          </w:p>
        </w:tc>
        <w:tc>
          <w:tcPr>
            <w:tcW w:w="100" w:type="dxa"/>
            <w:vAlign w:val="bottom"/>
            <w:tcBorders>
              <w:bottom w:val="single" w:sz="8" w:color="CCECFF"/>
            </w:tcBorders>
          </w:tcPr>
          <w:p>
            <w:pPr>
              <w:spacing w:after="0"/>
              <w:rPr>
                <w:sz w:val="12"/>
                <w:szCs w:val="12"/>
                <w:color w:val="auto"/>
              </w:rPr>
            </w:pPr>
          </w:p>
        </w:tc>
      </w:tr>
      <w:tr>
        <w:trPr>
          <w:trHeight w:val="142"/>
        </w:trPr>
        <w:tc>
          <w:tcPr>
            <w:tcW w:w="284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Cash and Cash Equivalents</w:t>
            </w:r>
          </w:p>
        </w:tc>
        <w:tc>
          <w:tcPr>
            <w:tcW w:w="1180" w:type="dxa"/>
            <w:vAlign w:val="bottom"/>
            <w:shd w:val="clear" w:color="auto" w:fill="CCECFF"/>
          </w:tcPr>
          <w:p>
            <w:pPr>
              <w:spacing w:after="0"/>
              <w:rPr>
                <w:sz w:val="12"/>
                <w:szCs w:val="12"/>
                <w:color w:val="auto"/>
              </w:rPr>
            </w:pPr>
          </w:p>
        </w:tc>
        <w:tc>
          <w:tcPr>
            <w:tcW w:w="25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4,165,816</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4,153,493</w:t>
            </w:r>
          </w:p>
        </w:tc>
        <w:tc>
          <w:tcPr>
            <w:tcW w:w="100" w:type="dxa"/>
            <w:vAlign w:val="bottom"/>
            <w:shd w:val="clear" w:color="auto" w:fill="CCECFF"/>
          </w:tcPr>
          <w:p>
            <w:pPr>
              <w:spacing w:after="0"/>
              <w:rPr>
                <w:sz w:val="12"/>
                <w:szCs w:val="12"/>
                <w:color w:val="auto"/>
              </w:rPr>
            </w:pPr>
          </w:p>
        </w:tc>
      </w:tr>
      <w:tr>
        <w:trPr>
          <w:trHeight w:val="182"/>
        </w:trPr>
        <w:tc>
          <w:tcPr>
            <w:tcW w:w="284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w w:val="99"/>
              </w:rPr>
              <w:t>Total Investments and Cash Equivalents—832.6%</w:t>
            </w:r>
          </w:p>
        </w:tc>
        <w:tc>
          <w:tcPr>
            <w:tcW w:w="1180" w:type="dxa"/>
            <w:vAlign w:val="bottom"/>
            <w:tcBorders>
              <w:bottom w:val="single" w:sz="8" w:color="CCECFF"/>
            </w:tcBorders>
          </w:tcPr>
          <w:p>
            <w:pPr>
              <w:spacing w:after="0"/>
              <w:rPr>
                <w:sz w:val="15"/>
                <w:szCs w:val="15"/>
                <w:color w:val="auto"/>
              </w:rPr>
            </w:pPr>
          </w:p>
        </w:tc>
        <w:tc>
          <w:tcPr>
            <w:tcW w:w="2500" w:type="dxa"/>
            <w:vAlign w:val="bottom"/>
            <w:tcBorders>
              <w:bottom w:val="single" w:sz="8" w:color="CCECFF"/>
            </w:tcBorders>
          </w:tcPr>
          <w:p>
            <w:pPr>
              <w:spacing w:after="0"/>
              <w:rPr>
                <w:sz w:val="15"/>
                <w:szCs w:val="15"/>
                <w:color w:val="auto"/>
              </w:rPr>
            </w:pPr>
          </w:p>
        </w:tc>
        <w:tc>
          <w:tcPr>
            <w:tcW w:w="120" w:type="dxa"/>
            <w:vAlign w:val="bottom"/>
            <w:tcBorders>
              <w:bottom w:val="single" w:sz="8" w:color="CCECFF"/>
            </w:tcBorders>
          </w:tcPr>
          <w:p>
            <w:pPr>
              <w:spacing w:after="0"/>
              <w:rPr>
                <w:sz w:val="15"/>
                <w:szCs w:val="15"/>
                <w:color w:val="auto"/>
              </w:rPr>
            </w:pPr>
          </w:p>
        </w:tc>
        <w:tc>
          <w:tcPr>
            <w:tcW w:w="680" w:type="dxa"/>
            <w:vAlign w:val="bottom"/>
            <w:tcBorders>
              <w:bottom w:val="single" w:sz="8" w:color="CCECFF"/>
            </w:tcBorders>
          </w:tcPr>
          <w:p>
            <w:pPr>
              <w:spacing w:after="0"/>
              <w:rPr>
                <w:sz w:val="15"/>
                <w:szCs w:val="15"/>
                <w:color w:val="auto"/>
              </w:rPr>
            </w:pPr>
          </w:p>
        </w:tc>
        <w:tc>
          <w:tcPr>
            <w:tcW w:w="240" w:type="dxa"/>
            <w:vAlign w:val="bottom"/>
            <w:tcBorders>
              <w:bottom w:val="single" w:sz="8" w:color="CCECFF"/>
            </w:tcBorders>
          </w:tcPr>
          <w:p>
            <w:pPr>
              <w:spacing w:after="0"/>
              <w:rPr>
                <w:sz w:val="15"/>
                <w:szCs w:val="15"/>
                <w:color w:val="auto"/>
              </w:rPr>
            </w:pPr>
          </w:p>
        </w:tc>
        <w:tc>
          <w:tcPr>
            <w:tcW w:w="660" w:type="dxa"/>
            <w:vAlign w:val="bottom"/>
            <w:tcBorders>
              <w:bottom w:val="single" w:sz="8" w:color="CCECFF"/>
            </w:tcBorders>
          </w:tcPr>
          <w:p>
            <w:pPr>
              <w:spacing w:after="0"/>
              <w:rPr>
                <w:sz w:val="15"/>
                <w:szCs w:val="15"/>
                <w:color w:val="auto"/>
              </w:rPr>
            </w:pPr>
          </w:p>
        </w:tc>
        <w:tc>
          <w:tcPr>
            <w:tcW w:w="320" w:type="dxa"/>
            <w:vAlign w:val="bottom"/>
            <w:tcBorders>
              <w:bottom w:val="single" w:sz="8" w:color="CCECFF"/>
            </w:tcBorders>
          </w:tcPr>
          <w:p>
            <w:pPr>
              <w:spacing w:after="0"/>
              <w:rPr>
                <w:sz w:val="15"/>
                <w:szCs w:val="15"/>
                <w:color w:val="auto"/>
              </w:rPr>
            </w:pPr>
          </w:p>
        </w:tc>
        <w:tc>
          <w:tcPr>
            <w:tcW w:w="100" w:type="dxa"/>
            <w:vAlign w:val="bottom"/>
            <w:tcBorders>
              <w:bottom w:val="single" w:sz="8" w:color="CCECFF"/>
            </w:tcBorders>
          </w:tcPr>
          <w:p>
            <w:pPr>
              <w:spacing w:after="0"/>
              <w:rPr>
                <w:sz w:val="15"/>
                <w:szCs w:val="15"/>
                <w:color w:val="auto"/>
              </w:rPr>
            </w:pPr>
          </w:p>
        </w:tc>
        <w:tc>
          <w:tcPr>
            <w:tcW w:w="560" w:type="dxa"/>
            <w:vAlign w:val="bottom"/>
            <w:tcBorders>
              <w:bottom w:val="single" w:sz="8" w:color="CCECFF"/>
            </w:tcBorders>
          </w:tcPr>
          <w:p>
            <w:pPr>
              <w:spacing w:after="0"/>
              <w:rPr>
                <w:sz w:val="15"/>
                <w:szCs w:val="15"/>
                <w:color w:val="auto"/>
              </w:rPr>
            </w:pPr>
          </w:p>
        </w:tc>
        <w:tc>
          <w:tcPr>
            <w:tcW w:w="240" w:type="dxa"/>
            <w:vAlign w:val="bottom"/>
            <w:tcBorders>
              <w:bottom w:val="single" w:sz="8" w:color="CCECFF"/>
            </w:tcBorders>
          </w:tcPr>
          <w:p>
            <w:pPr>
              <w:spacing w:after="0"/>
              <w:rPr>
                <w:sz w:val="15"/>
                <w:szCs w:val="15"/>
                <w:color w:val="auto"/>
              </w:rPr>
            </w:pPr>
          </w:p>
        </w:tc>
        <w:tc>
          <w:tcPr>
            <w:tcW w:w="80" w:type="dxa"/>
            <w:vAlign w:val="bottom"/>
            <w:tcBorders>
              <w:bottom w:val="single" w:sz="8" w:color="auto"/>
            </w:tcBorders>
          </w:tcPr>
          <w:p>
            <w:pPr>
              <w:jc w:val="right"/>
              <w:ind w:right="17"/>
              <w:spacing w:after="0"/>
              <w:rPr>
                <w:sz w:val="20"/>
                <w:szCs w:val="20"/>
                <w:color w:val="auto"/>
              </w:rPr>
            </w:pPr>
            <w:r>
              <w:rPr>
                <w:rFonts w:ascii="Arial" w:cs="Arial" w:eastAsia="Arial" w:hAnsi="Arial"/>
                <w:sz w:val="5"/>
                <w:szCs w:val="5"/>
                <w:color w:val="auto"/>
                <w:w w:val="70"/>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350,712,848</w:t>
            </w:r>
          </w:p>
        </w:tc>
        <w:tc>
          <w:tcPr>
            <w:tcW w:w="240" w:type="dxa"/>
            <w:vAlign w:val="bottom"/>
            <w:tcBorders>
              <w:bottom w:val="single" w:sz="8" w:color="CCECFF"/>
            </w:tcBorders>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5"/>
              </w:rPr>
              <w:t>351,089,698</w:t>
            </w:r>
          </w:p>
        </w:tc>
        <w:tc>
          <w:tcPr>
            <w:tcW w:w="100" w:type="dxa"/>
            <w:vAlign w:val="bottom"/>
            <w:tcBorders>
              <w:bottom w:val="single" w:sz="8" w:color="CCECFF"/>
            </w:tcBorders>
          </w:tcPr>
          <w:p>
            <w:pPr>
              <w:spacing w:after="0"/>
              <w:rPr>
                <w:sz w:val="15"/>
                <w:szCs w:val="15"/>
                <w:color w:val="auto"/>
              </w:rPr>
            </w:pPr>
          </w:p>
        </w:tc>
      </w:tr>
      <w:tr>
        <w:trPr>
          <w:trHeight w:val="129"/>
        </w:trPr>
        <w:tc>
          <w:tcPr>
            <w:tcW w:w="2840" w:type="dxa"/>
            <w:vAlign w:val="bottom"/>
            <w:shd w:val="clear" w:color="auto" w:fill="CCECFF"/>
          </w:tcPr>
          <w:p>
            <w:pPr>
              <w:spacing w:after="0" w:line="129" w:lineRule="exact"/>
              <w:rPr>
                <w:sz w:val="20"/>
                <w:szCs w:val="20"/>
                <w:color w:val="auto"/>
              </w:rPr>
            </w:pPr>
            <w:r>
              <w:rPr>
                <w:rFonts w:ascii="Arial" w:cs="Arial" w:eastAsia="Arial" w:hAnsi="Arial"/>
                <w:sz w:val="12"/>
                <w:szCs w:val="12"/>
                <w:b w:val="1"/>
                <w:bCs w:val="1"/>
                <w:color w:val="auto"/>
              </w:rPr>
              <w:t>Liabilities in Excess of Other Assets—(732.6)%</w:t>
            </w:r>
          </w:p>
        </w:tc>
        <w:tc>
          <w:tcPr>
            <w:tcW w:w="1180" w:type="dxa"/>
            <w:vAlign w:val="bottom"/>
            <w:shd w:val="clear" w:color="auto" w:fill="CCECFF"/>
          </w:tcPr>
          <w:p>
            <w:pPr>
              <w:spacing w:after="0"/>
              <w:rPr>
                <w:sz w:val="11"/>
                <w:szCs w:val="11"/>
                <w:color w:val="auto"/>
              </w:rPr>
            </w:pPr>
          </w:p>
        </w:tc>
        <w:tc>
          <w:tcPr>
            <w:tcW w:w="25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80" w:type="dxa"/>
            <w:vAlign w:val="bottom"/>
            <w:gridSpan w:val="2"/>
            <w:shd w:val="clear" w:color="auto" w:fill="CCECFF"/>
          </w:tcPr>
          <w:p>
            <w:pPr>
              <w:jc w:val="right"/>
              <w:ind w:right="60"/>
              <w:spacing w:after="0" w:line="129" w:lineRule="exact"/>
              <w:rPr>
                <w:sz w:val="20"/>
                <w:szCs w:val="20"/>
                <w:color w:val="auto"/>
              </w:rPr>
            </w:pPr>
            <w:r>
              <w:rPr>
                <w:rFonts w:ascii="Arial" w:cs="Arial" w:eastAsia="Arial" w:hAnsi="Arial"/>
                <w:sz w:val="12"/>
                <w:szCs w:val="12"/>
                <w:color w:val="auto"/>
                <w:w w:val="93"/>
              </w:rPr>
              <w:t>(308,919,445)</w:t>
            </w:r>
          </w:p>
        </w:tc>
      </w:tr>
      <w:tr>
        <w:trPr>
          <w:trHeight w:val="148"/>
        </w:trPr>
        <w:tc>
          <w:tcPr>
            <w:tcW w:w="2840" w:type="dxa"/>
            <w:vAlign w:val="bottom"/>
          </w:tcPr>
          <w:p>
            <w:pPr>
              <w:spacing w:after="0"/>
              <w:rPr>
                <w:sz w:val="20"/>
                <w:szCs w:val="20"/>
                <w:color w:val="auto"/>
              </w:rPr>
            </w:pPr>
            <w:r>
              <w:rPr>
                <w:rFonts w:ascii="Arial" w:cs="Arial" w:eastAsia="Arial" w:hAnsi="Arial"/>
                <w:sz w:val="12"/>
                <w:szCs w:val="12"/>
                <w:b w:val="1"/>
                <w:bCs w:val="1"/>
                <w:color w:val="auto"/>
              </w:rPr>
              <w:t>Members' Equity—100.0%</w:t>
            </w:r>
          </w:p>
        </w:tc>
        <w:tc>
          <w:tcPr>
            <w:tcW w:w="11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42,170,253</w:t>
            </w:r>
          </w:p>
        </w:tc>
        <w:tc>
          <w:tcPr>
            <w:tcW w:w="100" w:type="dxa"/>
            <w:vAlign w:val="bottom"/>
          </w:tcPr>
          <w:p>
            <w:pPr>
              <w:spacing w:after="0"/>
              <w:rPr>
                <w:sz w:val="12"/>
                <w:szCs w:val="12"/>
                <w:color w:val="auto"/>
              </w:rPr>
            </w:pPr>
          </w:p>
        </w:tc>
      </w:tr>
      <w:tr>
        <w:trPr>
          <w:trHeight w:val="20"/>
        </w:trPr>
        <w:tc>
          <w:tcPr>
            <w:tcW w:w="28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85991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859915" cy="8890"/>
                    </a:xfrm>
                    <a:prstGeom prst="rect">
                      <a:avLst/>
                    </a:prstGeom>
                    <a:noFill/>
                  </pic:spPr>
                </pic:pic>
              </a:graphicData>
            </a:graphic>
          </wp:anchor>
        </w:drawing>
      </w:r>
    </w:p>
    <w:p>
      <w:pPr>
        <w:spacing w:after="0" w:line="176" w:lineRule="exact"/>
        <w:rPr>
          <w:sz w:val="20"/>
          <w:szCs w:val="20"/>
          <w:color w:val="auto"/>
        </w:rPr>
      </w:pPr>
    </w:p>
    <w:p>
      <w:pPr>
        <w:ind w:left="380" w:right="20" w:hanging="372"/>
        <w:spacing w:after="0"/>
        <w:tabs>
          <w:tab w:leader="none" w:pos="380" w:val="left"/>
        </w:tabs>
        <w:numPr>
          <w:ilvl w:val="0"/>
          <w:numId w:val="23"/>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LIBOR, EURIBOR or Prime rate.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and EURIBOR loans are typically indexed to a 90-day EURIBOR rate (3M E), at the borrower’s option. All securities are subject to a LIBOR or Prime rate floor where a spread is provided, unless noted. The spread provided includes PIK interest and other fee rates, if any.</w:t>
      </w:r>
    </w:p>
    <w:p>
      <w:pPr>
        <w:spacing w:after="0" w:line="28" w:lineRule="exact"/>
        <w:rPr>
          <w:rFonts w:ascii="Arial" w:cs="Arial" w:eastAsia="Arial" w:hAnsi="Arial"/>
          <w:sz w:val="12"/>
          <w:szCs w:val="12"/>
          <w:color w:val="auto"/>
        </w:rPr>
      </w:pPr>
    </w:p>
    <w:p>
      <w:pPr>
        <w:ind w:left="380" w:hanging="372"/>
        <w:spacing w:after="0"/>
        <w:tabs>
          <w:tab w:leader="none" w:pos="380" w:val="left"/>
        </w:tabs>
        <w:numPr>
          <w:ilvl w:val="0"/>
          <w:numId w:val="23"/>
        </w:numPr>
        <w:rPr>
          <w:rFonts w:ascii="Arial" w:cs="Arial" w:eastAsia="Arial" w:hAnsi="Arial"/>
          <w:sz w:val="12"/>
          <w:szCs w:val="12"/>
          <w:color w:val="auto"/>
        </w:rPr>
      </w:pPr>
      <w:r>
        <w:rPr>
          <w:rFonts w:ascii="Arial" w:cs="Arial" w:eastAsia="Arial" w:hAnsi="Arial"/>
          <w:sz w:val="12"/>
          <w:szCs w:val="12"/>
          <w:color w:val="auto"/>
        </w:rPr>
        <w:t>Valued based on PSSL’s accounting policy.</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23"/>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23"/>
        </w:numPr>
        <w:rPr>
          <w:rFonts w:ascii="Arial" w:cs="Arial" w:eastAsia="Arial" w:hAnsi="Arial"/>
          <w:sz w:val="12"/>
          <w:szCs w:val="12"/>
          <w:color w:val="auto"/>
        </w:rPr>
      </w:pPr>
      <w:r>
        <w:rPr>
          <w:rFonts w:ascii="Arial" w:cs="Arial" w:eastAsia="Arial" w:hAnsi="Arial"/>
          <w:sz w:val="12"/>
          <w:szCs w:val="12"/>
          <w:color w:val="auto"/>
        </w:rPr>
        <w:t>Par amount is denominated in Australian Dollars (A$), Canadian Dollars (C$) or in Euros (€) as denoted.</w:t>
      </w:r>
    </w:p>
    <w:p>
      <w:pPr>
        <w:spacing w:after="0" w:line="7" w:lineRule="exact"/>
        <w:rPr>
          <w:sz w:val="20"/>
          <w:szCs w:val="20"/>
          <w:color w:val="auto"/>
        </w:rPr>
      </w:pPr>
    </w:p>
    <w:p>
      <w:pPr>
        <w:ind w:left="20"/>
        <w:spacing w:after="0"/>
        <w:tabs>
          <w:tab w:leader="none" w:pos="320" w:val="left"/>
          <w:tab w:leader="none" w:pos="10080" w:val="left"/>
        </w:tabs>
        <w:rPr>
          <w:sz w:val="20"/>
          <w:szCs w:val="20"/>
          <w:color w:val="auto"/>
        </w:rPr>
      </w:pPr>
      <w:r>
        <w:rPr>
          <w:rFonts w:ascii="Arial" w:cs="Arial" w:eastAsia="Arial" w:hAnsi="Arial"/>
          <w:sz w:val="11"/>
          <w:szCs w:val="11"/>
          <w:color w:val="auto"/>
        </w:rPr>
        <w:t>(5)</w:t>
      </w:r>
      <w:r>
        <w:rPr>
          <w:sz w:val="20"/>
          <w:szCs w:val="20"/>
          <w:color w:val="auto"/>
        </w:rPr>
        <w:tab/>
      </w: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w:t>
      </w:r>
      <w:r>
        <w:rPr>
          <w:sz w:val="20"/>
          <w:szCs w:val="20"/>
          <w:color w:val="auto"/>
        </w:rPr>
        <w:tab/>
      </w:r>
      <w:r>
        <w:rPr>
          <w:rFonts w:ascii="Arial" w:cs="Arial" w:eastAsia="Arial" w:hAnsi="Arial"/>
          <w:sz w:val="9"/>
          <w:szCs w:val="9"/>
          <w:color w:val="auto"/>
        </w:rPr>
        <w:t>unfunded.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36" w:name="page37"/>
    <w:bookmarkEnd w:id="36"/>
    <w:p>
      <w:pPr>
        <w:ind w:left="380"/>
        <w:spacing w:after="0"/>
        <w:rPr>
          <w:sz w:val="20"/>
          <w:szCs w:val="20"/>
          <w:color w:val="auto"/>
        </w:rPr>
      </w:pPr>
      <w:r>
        <w:rPr>
          <w:rFonts w:ascii="Arial" w:cs="Arial" w:eastAsia="Arial" w:hAnsi="Arial"/>
          <w:sz w:val="14"/>
          <w:szCs w:val="14"/>
          <w:color w:val="auto"/>
        </w:rPr>
        <w:t>Below is a listing of PSSL’s individual investments as of September 30, 2017:</w:t>
      </w:r>
    </w:p>
    <w:p>
      <w:pPr>
        <w:spacing w:after="0" w:line="294"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PennantPark Senior Secured Loan Fund I LLC</w:t>
      </w:r>
    </w:p>
    <w:p>
      <w:pPr>
        <w:spacing w:after="0" w:line="17"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Schedule of Investments</w:t>
      </w:r>
    </w:p>
    <w:p>
      <w:pPr>
        <w:spacing w:after="0" w:line="1"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September 30, 2017</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8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5"/>
              </w:rPr>
              <w:t>Basis Point</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88"/>
              </w:rPr>
              <w:t>Spread</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right"/>
              <w:ind w:right="360"/>
              <w:spacing w:after="0" w:line="135" w:lineRule="exact"/>
              <w:rPr>
                <w:sz w:val="20"/>
                <w:szCs w:val="20"/>
                <w:color w:val="auto"/>
              </w:rPr>
            </w:pPr>
            <w:r>
              <w:rPr>
                <w:rFonts w:ascii="Arial" w:cs="Arial" w:eastAsia="Arial" w:hAnsi="Arial"/>
                <w:sz w:val="12"/>
                <w:szCs w:val="12"/>
                <w:b w:val="1"/>
                <w:bCs w:val="1"/>
                <w:color w:val="auto"/>
              </w:rPr>
              <w:t>Current</w:t>
            </w:r>
          </w:p>
        </w:tc>
        <w:tc>
          <w:tcPr>
            <w:tcW w:w="100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87"/>
              </w:rPr>
              <w:t>Above</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860" w:type="dxa"/>
            <w:vAlign w:val="bottom"/>
          </w:tcPr>
          <w:p>
            <w:pPr>
              <w:spacing w:after="0"/>
              <w:rPr>
                <w:sz w:val="20"/>
                <w:szCs w:val="20"/>
                <w:color w:val="auto"/>
              </w:rPr>
            </w:pPr>
            <w:r>
              <w:rPr>
                <w:rFonts w:ascii="Arial" w:cs="Arial" w:eastAsia="Arial" w:hAnsi="Arial"/>
                <w:sz w:val="12"/>
                <w:szCs w:val="12"/>
                <w:b w:val="1"/>
                <w:bCs w:val="1"/>
                <w:color w:val="auto"/>
              </w:rPr>
              <w:t>Issuer Name</w:t>
            </w:r>
          </w:p>
        </w:tc>
        <w:tc>
          <w:tcPr>
            <w:tcW w:w="1040" w:type="dxa"/>
            <w:vAlign w:val="bottom"/>
          </w:tcPr>
          <w:p>
            <w:pPr>
              <w:ind w:left="360"/>
              <w:spacing w:after="0"/>
              <w:rPr>
                <w:sz w:val="20"/>
                <w:szCs w:val="20"/>
                <w:color w:val="auto"/>
              </w:rPr>
            </w:pPr>
            <w:r>
              <w:rPr>
                <w:rFonts w:ascii="Arial" w:cs="Arial" w:eastAsia="Arial" w:hAnsi="Arial"/>
                <w:sz w:val="12"/>
                <w:szCs w:val="12"/>
                <w:b w:val="1"/>
                <w:bCs w:val="1"/>
                <w:color w:val="auto"/>
              </w:rPr>
              <w:t>Maturity</w:t>
            </w:r>
          </w:p>
        </w:tc>
        <w:tc>
          <w:tcPr>
            <w:tcW w:w="2760" w:type="dxa"/>
            <w:vAlign w:val="bottom"/>
            <w:gridSpan w:val="2"/>
          </w:tcPr>
          <w:p>
            <w:pPr>
              <w:ind w:left="1100"/>
              <w:spacing w:after="0"/>
              <w:rPr>
                <w:sz w:val="20"/>
                <w:szCs w:val="20"/>
                <w:color w:val="auto"/>
              </w:rPr>
            </w:pPr>
            <w:r>
              <w:rPr>
                <w:rFonts w:ascii="Arial" w:cs="Arial" w:eastAsia="Arial" w:hAnsi="Arial"/>
                <w:sz w:val="12"/>
                <w:szCs w:val="12"/>
                <w:b w:val="1"/>
                <w:bCs w:val="1"/>
                <w:color w:val="auto"/>
              </w:rPr>
              <w:t>Industry</w:t>
            </w:r>
          </w:p>
        </w:tc>
        <w:tc>
          <w:tcPr>
            <w:tcW w:w="900" w:type="dxa"/>
            <w:vAlign w:val="bottom"/>
            <w:gridSpan w:val="2"/>
          </w:tcPr>
          <w:p>
            <w:pPr>
              <w:jc w:val="right"/>
              <w:ind w:right="380"/>
              <w:spacing w:after="0"/>
              <w:rPr>
                <w:sz w:val="20"/>
                <w:szCs w:val="20"/>
                <w:color w:val="auto"/>
              </w:rPr>
            </w:pPr>
            <w:r>
              <w:rPr>
                <w:rFonts w:ascii="Arial" w:cs="Arial" w:eastAsia="Arial" w:hAnsi="Arial"/>
                <w:sz w:val="12"/>
                <w:szCs w:val="12"/>
                <w:b w:val="1"/>
                <w:bCs w:val="1"/>
                <w:color w:val="auto"/>
              </w:rPr>
              <w:t>Coupon</w:t>
            </w:r>
          </w:p>
        </w:tc>
        <w:tc>
          <w:tcPr>
            <w:tcW w:w="10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(1)</w:t>
            </w:r>
          </w:p>
        </w:tc>
        <w:tc>
          <w:tcPr>
            <w:tcW w:w="120" w:type="dxa"/>
            <w:vAlign w:val="bottom"/>
          </w:tcPr>
          <w:p>
            <w:pPr>
              <w:spacing w:after="0"/>
              <w:rPr>
                <w:sz w:val="12"/>
                <w:szCs w:val="12"/>
                <w:color w:val="auto"/>
              </w:rPr>
            </w:pP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Par</w:t>
            </w:r>
          </w:p>
        </w:tc>
        <w:tc>
          <w:tcPr>
            <w:tcW w:w="80" w:type="dxa"/>
            <w:vAlign w:val="bottom"/>
          </w:tcPr>
          <w:p>
            <w:pPr>
              <w:spacing w:after="0"/>
              <w:rPr>
                <w:sz w:val="12"/>
                <w:szCs w:val="12"/>
                <w:color w:val="auto"/>
              </w:rPr>
            </w:pPr>
          </w:p>
        </w:tc>
        <w:tc>
          <w:tcPr>
            <w:tcW w:w="860" w:type="dxa"/>
            <w:vAlign w:val="bottom"/>
            <w:gridSpan w:val="2"/>
          </w:tcPr>
          <w:p>
            <w:pPr>
              <w:ind w:left="160"/>
              <w:spacing w:after="0"/>
              <w:rPr>
                <w:sz w:val="20"/>
                <w:szCs w:val="20"/>
                <w:color w:val="auto"/>
              </w:rPr>
            </w:pPr>
            <w:r>
              <w:rPr>
                <w:rFonts w:ascii="Arial" w:cs="Arial" w:eastAsia="Arial" w:hAnsi="Arial"/>
                <w:sz w:val="12"/>
                <w:szCs w:val="12"/>
                <w:b w:val="1"/>
                <w:bCs w:val="1"/>
                <w:color w:val="auto"/>
              </w:rPr>
              <w:t>Cost</w:t>
            </w:r>
          </w:p>
        </w:tc>
        <w:tc>
          <w:tcPr>
            <w:tcW w:w="84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w w:val="94"/>
              </w:rPr>
              <w:t xml:space="preserve">Fair Value </w:t>
            </w:r>
            <w:r>
              <w:rPr>
                <w:rFonts w:ascii="Arial" w:cs="Arial" w:eastAsia="Arial" w:hAnsi="Arial"/>
                <w:sz w:val="9"/>
                <w:szCs w:val="9"/>
                <w:b w:val="1"/>
                <w:bCs w:val="1"/>
                <w:color w:val="auto"/>
                <w:w w:val="94"/>
              </w:rPr>
              <w:t>(2)</w:t>
            </w:r>
          </w:p>
        </w:tc>
        <w:tc>
          <w:tcPr>
            <w:tcW w:w="0" w:type="dxa"/>
            <w:vAlign w:val="bottom"/>
          </w:tcPr>
          <w:p>
            <w:pPr>
              <w:spacing w:after="0"/>
              <w:rPr>
                <w:sz w:val="1"/>
                <w:szCs w:val="1"/>
                <w:color w:val="auto"/>
              </w:rPr>
            </w:pPr>
          </w:p>
        </w:tc>
      </w:tr>
      <w:tr>
        <w:trPr>
          <w:trHeight w:val="142"/>
        </w:trPr>
        <w:tc>
          <w:tcPr>
            <w:tcW w:w="3900" w:type="dxa"/>
            <w:vAlign w:val="bottom"/>
            <w:tcBorders>
              <w:top w:val="single" w:sz="8" w:color="auto"/>
            </w:tcBorders>
            <w:gridSpan w:val="2"/>
            <w:shd w:val="clear" w:color="auto" w:fill="CCECFF"/>
          </w:tcPr>
          <w:p>
            <w:pPr>
              <w:spacing w:after="0"/>
              <w:rPr>
                <w:sz w:val="20"/>
                <w:szCs w:val="20"/>
                <w:color w:val="auto"/>
              </w:rPr>
            </w:pPr>
            <w:r>
              <w:rPr>
                <w:rFonts w:ascii="Arial" w:cs="Arial" w:eastAsia="Arial" w:hAnsi="Arial"/>
                <w:sz w:val="12"/>
                <w:szCs w:val="12"/>
                <w:b w:val="1"/>
                <w:bCs w:val="1"/>
                <w:color w:val="auto"/>
                <w:w w:val="89"/>
              </w:rPr>
              <w:t>Investments in Non-Controlled, Non-Affiliated Portfolio Companies—651.7%</w:t>
            </w:r>
          </w:p>
        </w:tc>
        <w:tc>
          <w:tcPr>
            <w:tcW w:w="2640" w:type="dxa"/>
            <w:vAlign w:val="bottom"/>
            <w:tcBorders>
              <w:top w:val="single" w:sz="8" w:color="auto"/>
            </w:tcBorders>
            <w:shd w:val="clear" w:color="auto" w:fill="CCECFF"/>
          </w:tcPr>
          <w:p>
            <w:pPr>
              <w:spacing w:after="0"/>
              <w:rPr>
                <w:sz w:val="12"/>
                <w:szCs w:val="12"/>
                <w:color w:val="auto"/>
              </w:rPr>
            </w:pPr>
          </w:p>
        </w:tc>
        <w:tc>
          <w:tcPr>
            <w:tcW w:w="120" w:type="dxa"/>
            <w:vAlign w:val="bottom"/>
            <w:tcBorders>
              <w:top w:val="single" w:sz="8" w:color="CCECFF"/>
            </w:tcBorders>
            <w:shd w:val="clear" w:color="auto" w:fill="CCECFF"/>
          </w:tcPr>
          <w:p>
            <w:pPr>
              <w:spacing w:after="0"/>
              <w:rPr>
                <w:sz w:val="12"/>
                <w:szCs w:val="12"/>
                <w:color w:val="auto"/>
              </w:rPr>
            </w:pPr>
          </w:p>
        </w:tc>
        <w:tc>
          <w:tcPr>
            <w:tcW w:w="66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800" w:type="dxa"/>
            <w:vAlign w:val="bottom"/>
            <w:tcBorders>
              <w:top w:val="single" w:sz="8" w:color="auto"/>
            </w:tcBorders>
            <w:shd w:val="clear" w:color="auto" w:fill="CCECFF"/>
          </w:tcPr>
          <w:p>
            <w:pPr>
              <w:spacing w:after="0"/>
              <w:rPr>
                <w:sz w:val="12"/>
                <w:szCs w:val="12"/>
                <w:color w:val="auto"/>
              </w:rPr>
            </w:pPr>
          </w:p>
        </w:tc>
        <w:tc>
          <w:tcPr>
            <w:tcW w:w="200" w:type="dxa"/>
            <w:vAlign w:val="bottom"/>
            <w:tcBorders>
              <w:top w:val="single" w:sz="8" w:color="CCECFF"/>
            </w:tcBorders>
            <w:shd w:val="clear" w:color="auto" w:fill="CCECFF"/>
          </w:tcPr>
          <w:p>
            <w:pPr>
              <w:spacing w:after="0"/>
              <w:rPr>
                <w:sz w:val="12"/>
                <w:szCs w:val="12"/>
                <w:color w:val="auto"/>
              </w:rPr>
            </w:pPr>
          </w:p>
        </w:tc>
        <w:tc>
          <w:tcPr>
            <w:tcW w:w="120" w:type="dxa"/>
            <w:vAlign w:val="bottom"/>
            <w:tcBorders>
              <w:top w:val="single" w:sz="8" w:color="auto"/>
            </w:tcBorders>
            <w:shd w:val="clear" w:color="auto" w:fill="CCECFF"/>
          </w:tcPr>
          <w:p>
            <w:pPr>
              <w:spacing w:after="0"/>
              <w:rPr>
                <w:sz w:val="12"/>
                <w:szCs w:val="12"/>
                <w:color w:val="auto"/>
              </w:rPr>
            </w:pPr>
          </w:p>
        </w:tc>
        <w:tc>
          <w:tcPr>
            <w:tcW w:w="54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tcBorders>
            <w:shd w:val="clear" w:color="auto" w:fill="CCECFF"/>
          </w:tcPr>
          <w:p>
            <w:pPr>
              <w:spacing w:after="0"/>
              <w:rPr>
                <w:sz w:val="12"/>
                <w:szCs w:val="12"/>
                <w:color w:val="auto"/>
              </w:rPr>
            </w:pPr>
          </w:p>
        </w:tc>
        <w:tc>
          <w:tcPr>
            <w:tcW w:w="640" w:type="dxa"/>
            <w:vAlign w:val="bottom"/>
            <w:tcBorders>
              <w:top w:val="single" w:sz="8" w:color="auto"/>
            </w:tcBorders>
            <w:shd w:val="clear" w:color="auto" w:fill="CCECFF"/>
          </w:tcPr>
          <w:p>
            <w:pPr>
              <w:spacing w:after="0"/>
              <w:rPr>
                <w:sz w:val="12"/>
                <w:szCs w:val="12"/>
                <w:color w:val="auto"/>
              </w:rPr>
            </w:pPr>
          </w:p>
        </w:tc>
        <w:tc>
          <w:tcPr>
            <w:tcW w:w="220" w:type="dxa"/>
            <w:vAlign w:val="bottom"/>
            <w:tcBorders>
              <w:top w:val="single" w:sz="8" w:color="CCECFF"/>
            </w:tcBorders>
            <w:shd w:val="clear" w:color="auto" w:fill="CCECFF"/>
          </w:tcPr>
          <w:p>
            <w:pPr>
              <w:spacing w:after="0"/>
              <w:rPr>
                <w:sz w:val="12"/>
                <w:szCs w:val="12"/>
                <w:color w:val="auto"/>
              </w:rPr>
            </w:pPr>
          </w:p>
        </w:tc>
        <w:tc>
          <w:tcPr>
            <w:tcW w:w="100" w:type="dxa"/>
            <w:vAlign w:val="bottom"/>
            <w:tcBorders>
              <w:top w:val="single" w:sz="8" w:color="auto"/>
            </w:tcBorders>
            <w:shd w:val="clear" w:color="auto" w:fill="CCECFF"/>
          </w:tcPr>
          <w:p>
            <w:pPr>
              <w:spacing w:after="0"/>
              <w:rPr>
                <w:sz w:val="12"/>
                <w:szCs w:val="12"/>
                <w:color w:val="auto"/>
              </w:rPr>
            </w:pPr>
          </w:p>
        </w:tc>
        <w:tc>
          <w:tcPr>
            <w:tcW w:w="640" w:type="dxa"/>
            <w:vAlign w:val="bottom"/>
            <w:tcBorders>
              <w:top w:val="single" w:sz="8" w:color="auto"/>
            </w:tcBorders>
            <w:shd w:val="clear" w:color="auto" w:fill="CCECFF"/>
          </w:tcPr>
          <w:p>
            <w:pPr>
              <w:spacing w:after="0"/>
              <w:rPr>
                <w:sz w:val="12"/>
                <w:szCs w:val="12"/>
                <w:color w:val="auto"/>
              </w:rPr>
            </w:pPr>
          </w:p>
        </w:tc>
        <w:tc>
          <w:tcPr>
            <w:tcW w:w="100" w:type="dxa"/>
            <w:vAlign w:val="bottom"/>
            <w:tcBorders>
              <w:top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b w:val="1"/>
                <w:bCs w:val="1"/>
                <w:color w:val="auto"/>
              </w:rPr>
              <w:t>First Lien Secured Debt—674.2%</w:t>
            </w:r>
          </w:p>
        </w:tc>
        <w:tc>
          <w:tcPr>
            <w:tcW w:w="10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Alvogen Pharma US, Inc. </w:t>
            </w:r>
            <w:r>
              <w:rPr>
                <w:rFonts w:ascii="Arial" w:cs="Arial" w:eastAsia="Arial" w:hAnsi="Arial"/>
                <w:sz w:val="9"/>
                <w:szCs w:val="9"/>
                <w:color w:val="auto"/>
              </w:rPr>
              <w:t>(3)</w:t>
            </w:r>
          </w:p>
        </w:tc>
        <w:tc>
          <w:tcPr>
            <w:tcW w:w="1040" w:type="dxa"/>
            <w:vAlign w:val="bottom"/>
            <w:shd w:val="clear" w:color="auto" w:fill="CCECFF"/>
          </w:tcPr>
          <w:p>
            <w:pPr>
              <w:ind w:left="360"/>
              <w:spacing w:after="0"/>
              <w:rPr>
                <w:sz w:val="20"/>
                <w:szCs w:val="20"/>
                <w:color w:val="auto"/>
              </w:rPr>
            </w:pPr>
            <w:r>
              <w:rPr>
                <w:rFonts w:ascii="Arial" w:cs="Arial" w:eastAsia="Arial" w:hAnsi="Arial"/>
                <w:sz w:val="12"/>
                <w:szCs w:val="12"/>
                <w:color w:val="auto"/>
              </w:rPr>
              <w:t>04/04/2022</w:t>
            </w:r>
          </w:p>
        </w:tc>
        <w:tc>
          <w:tcPr>
            <w:tcW w:w="276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Healthcare and Pharmaceuticals</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6.24%</w:t>
            </w:r>
          </w:p>
        </w:tc>
        <w:tc>
          <w:tcPr>
            <w:tcW w:w="1000" w:type="dxa"/>
            <w:vAlign w:val="bottom"/>
            <w:gridSpan w:val="2"/>
            <w:shd w:val="clear" w:color="auto" w:fill="CCECFF"/>
          </w:tcPr>
          <w:p>
            <w:pPr>
              <w:ind w:left="460"/>
              <w:spacing w:after="0"/>
              <w:rPr>
                <w:sz w:val="20"/>
                <w:szCs w:val="20"/>
                <w:color w:val="auto"/>
              </w:rPr>
            </w:pPr>
            <w:r>
              <w:rPr>
                <w:rFonts w:ascii="Arial" w:cs="Arial" w:eastAsia="Arial" w:hAnsi="Arial"/>
                <w:sz w:val="12"/>
                <w:szCs w:val="12"/>
                <w:color w:val="auto"/>
              </w:rPr>
              <w:t>L+500</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5,664,954</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5,597,299</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5,636,629</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Anvil International, LLC</w:t>
            </w:r>
          </w:p>
        </w:tc>
        <w:tc>
          <w:tcPr>
            <w:tcW w:w="1040" w:type="dxa"/>
            <w:vAlign w:val="bottom"/>
          </w:tcPr>
          <w:p>
            <w:pPr>
              <w:ind w:left="360"/>
              <w:spacing w:after="0"/>
              <w:rPr>
                <w:sz w:val="20"/>
                <w:szCs w:val="20"/>
                <w:color w:val="auto"/>
              </w:rPr>
            </w:pPr>
            <w:r>
              <w:rPr>
                <w:rFonts w:ascii="Arial" w:cs="Arial" w:eastAsia="Arial" w:hAnsi="Arial"/>
                <w:sz w:val="12"/>
                <w:szCs w:val="12"/>
                <w:color w:val="auto"/>
              </w:rPr>
              <w:t>08/01/2024</w:t>
            </w:r>
          </w:p>
        </w:tc>
        <w:tc>
          <w:tcPr>
            <w:tcW w:w="2760" w:type="dxa"/>
            <w:vAlign w:val="bottom"/>
            <w:gridSpan w:val="2"/>
          </w:tcPr>
          <w:p>
            <w:pPr>
              <w:spacing w:after="0"/>
              <w:rPr>
                <w:sz w:val="20"/>
                <w:szCs w:val="20"/>
                <w:color w:val="auto"/>
              </w:rPr>
            </w:pPr>
            <w:r>
              <w:rPr>
                <w:rFonts w:ascii="Arial" w:cs="Arial" w:eastAsia="Arial" w:hAnsi="Arial"/>
                <w:sz w:val="12"/>
                <w:szCs w:val="12"/>
                <w:color w:val="auto"/>
              </w:rPr>
              <w:t>Construction and Building</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5.50%</w:t>
            </w:r>
          </w:p>
        </w:tc>
        <w:tc>
          <w:tcPr>
            <w:tcW w:w="1000" w:type="dxa"/>
            <w:vAlign w:val="bottom"/>
            <w:gridSpan w:val="2"/>
          </w:tcPr>
          <w:p>
            <w:pPr>
              <w:ind w:left="460"/>
              <w:spacing w:after="0"/>
              <w:rPr>
                <w:sz w:val="20"/>
                <w:szCs w:val="20"/>
                <w:color w:val="auto"/>
              </w:rPr>
            </w:pPr>
            <w:r>
              <w:rPr>
                <w:rFonts w:ascii="Arial" w:cs="Arial" w:eastAsia="Arial" w:hAnsi="Arial"/>
                <w:sz w:val="12"/>
                <w:szCs w:val="12"/>
                <w:color w:val="auto"/>
              </w:rPr>
              <w:t>L+450</w:t>
            </w: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w w:val="97"/>
              </w:rPr>
              <w:t>5,000,000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4,950,000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5,025,000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API Technologies Corp.</w:t>
            </w:r>
          </w:p>
        </w:tc>
        <w:tc>
          <w:tcPr>
            <w:tcW w:w="1040" w:type="dxa"/>
            <w:vAlign w:val="bottom"/>
            <w:shd w:val="clear" w:color="auto" w:fill="CCECFF"/>
          </w:tcPr>
          <w:p>
            <w:pPr>
              <w:ind w:left="360"/>
              <w:spacing w:after="0"/>
              <w:rPr>
                <w:sz w:val="20"/>
                <w:szCs w:val="20"/>
                <w:color w:val="auto"/>
              </w:rPr>
            </w:pPr>
            <w:r>
              <w:rPr>
                <w:rFonts w:ascii="Arial" w:cs="Arial" w:eastAsia="Arial" w:hAnsi="Arial"/>
                <w:sz w:val="12"/>
                <w:szCs w:val="12"/>
                <w:color w:val="auto"/>
              </w:rPr>
              <w:t>04/22/2022</w:t>
            </w:r>
          </w:p>
        </w:tc>
        <w:tc>
          <w:tcPr>
            <w:tcW w:w="276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Aerospace and Defense</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7.83%</w:t>
            </w:r>
          </w:p>
        </w:tc>
        <w:tc>
          <w:tcPr>
            <w:tcW w:w="1000" w:type="dxa"/>
            <w:vAlign w:val="bottom"/>
            <w:gridSpan w:val="2"/>
            <w:shd w:val="clear" w:color="auto" w:fill="CCECFF"/>
          </w:tcPr>
          <w:p>
            <w:pPr>
              <w:ind w:left="460"/>
              <w:spacing w:after="0"/>
              <w:rPr>
                <w:sz w:val="20"/>
                <w:szCs w:val="20"/>
                <w:color w:val="auto"/>
              </w:rPr>
            </w:pPr>
            <w:r>
              <w:rPr>
                <w:rFonts w:ascii="Arial" w:cs="Arial" w:eastAsia="Arial" w:hAnsi="Arial"/>
                <w:sz w:val="12"/>
                <w:szCs w:val="12"/>
                <w:color w:val="auto"/>
              </w:rPr>
              <w:t>L+650</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4,955,919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4,908,646</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4,906,360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By Light Professional IT Services, LLC</w:t>
            </w:r>
          </w:p>
        </w:tc>
        <w:tc>
          <w:tcPr>
            <w:tcW w:w="1040" w:type="dxa"/>
            <w:vAlign w:val="bottom"/>
          </w:tcPr>
          <w:p>
            <w:pPr>
              <w:ind w:left="360"/>
              <w:spacing w:after="0"/>
              <w:rPr>
                <w:sz w:val="20"/>
                <w:szCs w:val="20"/>
                <w:color w:val="auto"/>
              </w:rPr>
            </w:pPr>
            <w:r>
              <w:rPr>
                <w:rFonts w:ascii="Arial" w:cs="Arial" w:eastAsia="Arial" w:hAnsi="Arial"/>
                <w:sz w:val="12"/>
                <w:szCs w:val="12"/>
                <w:color w:val="auto"/>
              </w:rPr>
              <w:t>05/16/2022</w:t>
            </w:r>
          </w:p>
        </w:tc>
        <w:tc>
          <w:tcPr>
            <w:tcW w:w="2760" w:type="dxa"/>
            <w:vAlign w:val="bottom"/>
            <w:gridSpan w:val="2"/>
          </w:tcPr>
          <w:p>
            <w:pPr>
              <w:spacing w:after="0"/>
              <w:rPr>
                <w:sz w:val="20"/>
                <w:szCs w:val="20"/>
                <w:color w:val="auto"/>
              </w:rPr>
            </w:pPr>
            <w:r>
              <w:rPr>
                <w:rFonts w:ascii="Arial" w:cs="Arial" w:eastAsia="Arial" w:hAnsi="Arial"/>
                <w:sz w:val="12"/>
                <w:szCs w:val="12"/>
                <w:color w:val="auto"/>
              </w:rPr>
              <w:t>High Tech Industries</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8.57%</w:t>
            </w:r>
          </w:p>
        </w:tc>
        <w:tc>
          <w:tcPr>
            <w:tcW w:w="1000" w:type="dxa"/>
            <w:vAlign w:val="bottom"/>
            <w:gridSpan w:val="2"/>
          </w:tcPr>
          <w:p>
            <w:pPr>
              <w:ind w:left="460"/>
              <w:spacing w:after="0"/>
              <w:rPr>
                <w:sz w:val="20"/>
                <w:szCs w:val="20"/>
                <w:color w:val="auto"/>
              </w:rPr>
            </w:pPr>
            <w:r>
              <w:rPr>
                <w:rFonts w:ascii="Arial" w:cs="Arial" w:eastAsia="Arial" w:hAnsi="Arial"/>
                <w:sz w:val="12"/>
                <w:szCs w:val="12"/>
                <w:color w:val="auto"/>
              </w:rPr>
              <w:t>L+725</w:t>
            </w: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w w:val="97"/>
              </w:rPr>
              <w:t>5,961,702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5,819,267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5,961,702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Cardenas Markets LLC</w:t>
            </w:r>
          </w:p>
        </w:tc>
        <w:tc>
          <w:tcPr>
            <w:tcW w:w="1040" w:type="dxa"/>
            <w:vAlign w:val="bottom"/>
            <w:shd w:val="clear" w:color="auto" w:fill="CCECFF"/>
          </w:tcPr>
          <w:p>
            <w:pPr>
              <w:ind w:left="380"/>
              <w:spacing w:after="0"/>
              <w:rPr>
                <w:sz w:val="20"/>
                <w:szCs w:val="20"/>
                <w:color w:val="auto"/>
              </w:rPr>
            </w:pPr>
            <w:r>
              <w:rPr>
                <w:rFonts w:ascii="Arial" w:cs="Arial" w:eastAsia="Arial" w:hAnsi="Arial"/>
                <w:sz w:val="12"/>
                <w:szCs w:val="12"/>
                <w:color w:val="auto"/>
              </w:rPr>
              <w:t>11/29/2023</w:t>
            </w:r>
          </w:p>
        </w:tc>
        <w:tc>
          <w:tcPr>
            <w:tcW w:w="276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Beverage, Food and Tobacco</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7.08%</w:t>
            </w:r>
          </w:p>
        </w:tc>
        <w:tc>
          <w:tcPr>
            <w:tcW w:w="1000" w:type="dxa"/>
            <w:vAlign w:val="bottom"/>
            <w:gridSpan w:val="2"/>
            <w:shd w:val="clear" w:color="auto" w:fill="CCECFF"/>
          </w:tcPr>
          <w:p>
            <w:pPr>
              <w:ind w:left="460"/>
              <w:spacing w:after="0"/>
              <w:rPr>
                <w:sz w:val="20"/>
                <w:szCs w:val="20"/>
                <w:color w:val="auto"/>
              </w:rPr>
            </w:pPr>
            <w:r>
              <w:rPr>
                <w:rFonts w:ascii="Arial" w:cs="Arial" w:eastAsia="Arial" w:hAnsi="Arial"/>
                <w:sz w:val="12"/>
                <w:szCs w:val="12"/>
                <w:color w:val="auto"/>
              </w:rPr>
              <w:t>L+575</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7,500,000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7,453,125</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7,425,000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20"/>
                <w:szCs w:val="20"/>
                <w:color w:val="auto"/>
              </w:rPr>
            </w:pPr>
            <w:r>
              <w:rPr>
                <w:rFonts w:ascii="Arial" w:cs="Arial" w:eastAsia="Arial" w:hAnsi="Arial"/>
                <w:sz w:val="12"/>
                <w:szCs w:val="12"/>
                <w:color w:val="auto"/>
              </w:rPr>
              <w:t>Country Fresh Holdings, LLC</w:t>
            </w:r>
          </w:p>
        </w:tc>
        <w:tc>
          <w:tcPr>
            <w:tcW w:w="1040" w:type="dxa"/>
            <w:vAlign w:val="bottom"/>
          </w:tcPr>
          <w:p>
            <w:pPr>
              <w:ind w:left="360"/>
              <w:spacing w:after="0"/>
              <w:rPr>
                <w:sz w:val="20"/>
                <w:szCs w:val="20"/>
                <w:color w:val="auto"/>
              </w:rPr>
            </w:pPr>
            <w:r>
              <w:rPr>
                <w:rFonts w:ascii="Arial" w:cs="Arial" w:eastAsia="Arial" w:hAnsi="Arial"/>
                <w:sz w:val="12"/>
                <w:szCs w:val="12"/>
                <w:color w:val="auto"/>
              </w:rPr>
              <w:t>03/31/2023</w:t>
            </w:r>
          </w:p>
        </w:tc>
        <w:tc>
          <w:tcPr>
            <w:tcW w:w="2760" w:type="dxa"/>
            <w:vAlign w:val="bottom"/>
            <w:gridSpan w:val="2"/>
          </w:tcPr>
          <w:p>
            <w:pPr>
              <w:spacing w:after="0"/>
              <w:rPr>
                <w:sz w:val="20"/>
                <w:szCs w:val="20"/>
                <w:color w:val="auto"/>
              </w:rPr>
            </w:pPr>
            <w:r>
              <w:rPr>
                <w:rFonts w:ascii="Arial" w:cs="Arial" w:eastAsia="Arial" w:hAnsi="Arial"/>
                <w:sz w:val="12"/>
                <w:szCs w:val="12"/>
                <w:color w:val="auto"/>
              </w:rPr>
              <w:t>Beverage, Food and Tobacco</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6.24%</w:t>
            </w:r>
          </w:p>
        </w:tc>
        <w:tc>
          <w:tcPr>
            <w:tcW w:w="1000" w:type="dxa"/>
            <w:vAlign w:val="bottom"/>
            <w:gridSpan w:val="2"/>
          </w:tcPr>
          <w:p>
            <w:pPr>
              <w:ind w:left="460"/>
              <w:spacing w:after="0"/>
              <w:rPr>
                <w:sz w:val="20"/>
                <w:szCs w:val="20"/>
                <w:color w:val="auto"/>
              </w:rPr>
            </w:pPr>
            <w:r>
              <w:rPr>
                <w:rFonts w:ascii="Arial" w:cs="Arial" w:eastAsia="Arial" w:hAnsi="Arial"/>
                <w:sz w:val="12"/>
                <w:szCs w:val="12"/>
                <w:color w:val="auto"/>
              </w:rPr>
              <w:t>L+500</w:t>
            </w: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w w:val="97"/>
              </w:rPr>
              <w:t>4,875,132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4,875,132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4,807,559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DigiCert Holdings, Inc.</w:t>
            </w:r>
          </w:p>
        </w:tc>
        <w:tc>
          <w:tcPr>
            <w:tcW w:w="1040" w:type="dxa"/>
            <w:vAlign w:val="bottom"/>
            <w:shd w:val="clear" w:color="auto" w:fill="CCECFF"/>
          </w:tcPr>
          <w:p>
            <w:pPr>
              <w:ind w:left="360"/>
              <w:spacing w:after="0"/>
              <w:rPr>
                <w:sz w:val="20"/>
                <w:szCs w:val="20"/>
                <w:color w:val="auto"/>
              </w:rPr>
            </w:pPr>
            <w:r>
              <w:rPr>
                <w:rFonts w:ascii="Arial" w:cs="Arial" w:eastAsia="Arial" w:hAnsi="Arial"/>
                <w:sz w:val="12"/>
                <w:szCs w:val="12"/>
                <w:color w:val="auto"/>
              </w:rPr>
              <w:t>10/31/2024</w:t>
            </w:r>
          </w:p>
        </w:tc>
        <w:tc>
          <w:tcPr>
            <w:tcW w:w="276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High Tech Industries</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5.75%</w:t>
            </w:r>
          </w:p>
        </w:tc>
        <w:tc>
          <w:tcPr>
            <w:tcW w:w="1000" w:type="dxa"/>
            <w:vAlign w:val="bottom"/>
            <w:gridSpan w:val="2"/>
            <w:shd w:val="clear" w:color="auto" w:fill="CCECFF"/>
          </w:tcPr>
          <w:p>
            <w:pPr>
              <w:ind w:left="460"/>
              <w:spacing w:after="0"/>
              <w:rPr>
                <w:sz w:val="20"/>
                <w:szCs w:val="20"/>
                <w:color w:val="auto"/>
              </w:rPr>
            </w:pPr>
            <w:r>
              <w:rPr>
                <w:rFonts w:ascii="Arial" w:cs="Arial" w:eastAsia="Arial" w:hAnsi="Arial"/>
                <w:sz w:val="12"/>
                <w:szCs w:val="12"/>
                <w:color w:val="auto"/>
              </w:rPr>
              <w:t>L+475</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8,000,000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7,960,000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8,080,000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DISA Global Solutions, Inc.</w:t>
            </w:r>
          </w:p>
        </w:tc>
        <w:tc>
          <w:tcPr>
            <w:tcW w:w="1040" w:type="dxa"/>
            <w:vAlign w:val="bottom"/>
          </w:tcPr>
          <w:p>
            <w:pPr>
              <w:ind w:left="360"/>
              <w:spacing w:after="0"/>
              <w:rPr>
                <w:sz w:val="20"/>
                <w:szCs w:val="20"/>
                <w:color w:val="auto"/>
              </w:rPr>
            </w:pPr>
            <w:r>
              <w:rPr>
                <w:rFonts w:ascii="Arial" w:cs="Arial" w:eastAsia="Arial" w:hAnsi="Arial"/>
                <w:sz w:val="12"/>
                <w:szCs w:val="12"/>
                <w:color w:val="auto"/>
              </w:rPr>
              <w:t>12/09/2020</w:t>
            </w:r>
          </w:p>
        </w:tc>
        <w:tc>
          <w:tcPr>
            <w:tcW w:w="2760" w:type="dxa"/>
            <w:vAlign w:val="bottom"/>
            <w:gridSpan w:val="2"/>
          </w:tcPr>
          <w:p>
            <w:pPr>
              <w:spacing w:after="0"/>
              <w:rPr>
                <w:sz w:val="20"/>
                <w:szCs w:val="20"/>
                <w:color w:val="auto"/>
              </w:rPr>
            </w:pPr>
            <w:r>
              <w:rPr>
                <w:rFonts w:ascii="Arial" w:cs="Arial" w:eastAsia="Arial" w:hAnsi="Arial"/>
                <w:sz w:val="12"/>
                <w:szCs w:val="12"/>
                <w:color w:val="auto"/>
              </w:rPr>
              <w:t>Business Services</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5.55%</w:t>
            </w:r>
          </w:p>
        </w:tc>
        <w:tc>
          <w:tcPr>
            <w:tcW w:w="1000" w:type="dxa"/>
            <w:vAlign w:val="bottom"/>
            <w:gridSpan w:val="2"/>
          </w:tcPr>
          <w:p>
            <w:pPr>
              <w:ind w:left="460"/>
              <w:spacing w:after="0"/>
              <w:rPr>
                <w:sz w:val="20"/>
                <w:szCs w:val="20"/>
                <w:color w:val="auto"/>
              </w:rPr>
            </w:pPr>
            <w:r>
              <w:rPr>
                <w:rFonts w:ascii="Arial" w:cs="Arial" w:eastAsia="Arial" w:hAnsi="Arial"/>
                <w:sz w:val="12"/>
                <w:szCs w:val="12"/>
                <w:color w:val="auto"/>
              </w:rPr>
              <w:t>L+425</w:t>
            </w: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w w:val="97"/>
              </w:rPr>
              <w:t>4,744,586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4,732,725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4,720,863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Driven Performance Brands, Inc.</w:t>
            </w:r>
          </w:p>
        </w:tc>
        <w:tc>
          <w:tcPr>
            <w:tcW w:w="1040" w:type="dxa"/>
            <w:vAlign w:val="bottom"/>
            <w:shd w:val="clear" w:color="auto" w:fill="CCECFF"/>
          </w:tcPr>
          <w:p>
            <w:pPr>
              <w:ind w:left="360"/>
              <w:spacing w:after="0"/>
              <w:rPr>
                <w:sz w:val="20"/>
                <w:szCs w:val="20"/>
                <w:color w:val="auto"/>
              </w:rPr>
            </w:pPr>
            <w:r>
              <w:rPr>
                <w:rFonts w:ascii="Arial" w:cs="Arial" w:eastAsia="Arial" w:hAnsi="Arial"/>
                <w:sz w:val="12"/>
                <w:szCs w:val="12"/>
                <w:color w:val="auto"/>
              </w:rPr>
              <w:t>09/30/2022</w:t>
            </w:r>
          </w:p>
        </w:tc>
        <w:tc>
          <w:tcPr>
            <w:tcW w:w="276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Consumer Goods: Durable</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6.06%</w:t>
            </w:r>
          </w:p>
        </w:tc>
        <w:tc>
          <w:tcPr>
            <w:tcW w:w="1000" w:type="dxa"/>
            <w:vAlign w:val="bottom"/>
            <w:gridSpan w:val="2"/>
            <w:shd w:val="clear" w:color="auto" w:fill="CCECFF"/>
          </w:tcPr>
          <w:p>
            <w:pPr>
              <w:ind w:left="460"/>
              <w:spacing w:after="0"/>
              <w:rPr>
                <w:sz w:val="20"/>
                <w:szCs w:val="20"/>
                <w:color w:val="auto"/>
              </w:rPr>
            </w:pPr>
            <w:r>
              <w:rPr>
                <w:rFonts w:ascii="Arial" w:cs="Arial" w:eastAsia="Arial" w:hAnsi="Arial"/>
                <w:sz w:val="12"/>
                <w:szCs w:val="12"/>
                <w:color w:val="auto"/>
              </w:rPr>
              <w:t>L+475</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5,000,000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4,951,225</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5,000,000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 xml:space="preserve">IGM RFE1 B.V. </w:t>
            </w:r>
            <w:r>
              <w:rPr>
                <w:rFonts w:ascii="Arial" w:cs="Arial" w:eastAsia="Arial" w:hAnsi="Arial"/>
                <w:sz w:val="9"/>
                <w:szCs w:val="9"/>
                <w:color w:val="auto"/>
              </w:rPr>
              <w:t>(3), (4)</w:t>
            </w:r>
          </w:p>
        </w:tc>
        <w:tc>
          <w:tcPr>
            <w:tcW w:w="1040" w:type="dxa"/>
            <w:vAlign w:val="bottom"/>
          </w:tcPr>
          <w:p>
            <w:pPr>
              <w:ind w:left="360"/>
              <w:spacing w:after="0"/>
              <w:rPr>
                <w:sz w:val="20"/>
                <w:szCs w:val="20"/>
                <w:color w:val="auto"/>
              </w:rPr>
            </w:pPr>
            <w:r>
              <w:rPr>
                <w:rFonts w:ascii="Arial" w:cs="Arial" w:eastAsia="Arial" w:hAnsi="Arial"/>
                <w:sz w:val="12"/>
                <w:szCs w:val="12"/>
                <w:color w:val="auto"/>
              </w:rPr>
              <w:t>10/12/2021</w:t>
            </w:r>
          </w:p>
        </w:tc>
        <w:tc>
          <w:tcPr>
            <w:tcW w:w="2760" w:type="dxa"/>
            <w:vAlign w:val="bottom"/>
            <w:gridSpan w:val="2"/>
          </w:tcPr>
          <w:p>
            <w:pPr>
              <w:spacing w:after="0"/>
              <w:rPr>
                <w:sz w:val="20"/>
                <w:szCs w:val="20"/>
                <w:color w:val="auto"/>
              </w:rPr>
            </w:pPr>
            <w:r>
              <w:rPr>
                <w:rFonts w:ascii="Arial" w:cs="Arial" w:eastAsia="Arial" w:hAnsi="Arial"/>
                <w:sz w:val="12"/>
                <w:szCs w:val="12"/>
                <w:color w:val="auto"/>
              </w:rPr>
              <w:t>Chemicals, Plastics and Rubber</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8.00%</w:t>
            </w:r>
          </w:p>
        </w:tc>
        <w:tc>
          <w:tcPr>
            <w:tcW w:w="1000" w:type="dxa"/>
            <w:vAlign w:val="bottom"/>
            <w:gridSpan w:val="2"/>
          </w:tcPr>
          <w:p>
            <w:pPr>
              <w:ind w:left="460"/>
              <w:spacing w:after="0"/>
              <w:rPr>
                <w:sz w:val="20"/>
                <w:szCs w:val="20"/>
                <w:color w:val="auto"/>
              </w:rPr>
            </w:pPr>
            <w:r>
              <w:rPr>
                <w:rFonts w:ascii="Arial" w:cs="Arial" w:eastAsia="Arial" w:hAnsi="Arial"/>
                <w:sz w:val="12"/>
                <w:szCs w:val="12"/>
                <w:color w:val="auto"/>
              </w:rPr>
              <w:t>E+800</w:t>
            </w:r>
          </w:p>
        </w:tc>
        <w:tc>
          <w:tcPr>
            <w:tcW w:w="120" w:type="dxa"/>
            <w:vAlign w:val="bottom"/>
          </w:tcPr>
          <w:p>
            <w:pPr>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w w:val="97"/>
              </w:rPr>
              <w:t>4,937,107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5,742,092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5,836,653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Impact Sales, LLC</w:t>
            </w:r>
          </w:p>
        </w:tc>
        <w:tc>
          <w:tcPr>
            <w:tcW w:w="1040" w:type="dxa"/>
            <w:vAlign w:val="bottom"/>
            <w:shd w:val="clear" w:color="auto" w:fill="CCECFF"/>
          </w:tcPr>
          <w:p>
            <w:pPr>
              <w:ind w:left="360"/>
              <w:spacing w:after="0"/>
              <w:rPr>
                <w:sz w:val="20"/>
                <w:szCs w:val="20"/>
                <w:color w:val="auto"/>
              </w:rPr>
            </w:pPr>
            <w:r>
              <w:rPr>
                <w:rFonts w:ascii="Arial" w:cs="Arial" w:eastAsia="Arial" w:hAnsi="Arial"/>
                <w:sz w:val="12"/>
                <w:szCs w:val="12"/>
                <w:color w:val="auto"/>
              </w:rPr>
              <w:t>12/30/2021</w:t>
            </w:r>
          </w:p>
        </w:tc>
        <w:tc>
          <w:tcPr>
            <w:tcW w:w="276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Wholesale</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8.30%</w:t>
            </w:r>
          </w:p>
        </w:tc>
        <w:tc>
          <w:tcPr>
            <w:tcW w:w="1000" w:type="dxa"/>
            <w:vAlign w:val="bottom"/>
            <w:gridSpan w:val="2"/>
            <w:shd w:val="clear" w:color="auto" w:fill="CCECFF"/>
          </w:tcPr>
          <w:p>
            <w:pPr>
              <w:ind w:left="460"/>
              <w:spacing w:after="0"/>
              <w:rPr>
                <w:sz w:val="20"/>
                <w:szCs w:val="20"/>
                <w:color w:val="auto"/>
              </w:rPr>
            </w:pPr>
            <w:r>
              <w:rPr>
                <w:rFonts w:ascii="Arial" w:cs="Arial" w:eastAsia="Arial" w:hAnsi="Arial"/>
                <w:sz w:val="12"/>
                <w:szCs w:val="12"/>
                <w:color w:val="auto"/>
              </w:rPr>
              <w:t>L+700</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4,984,962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4,970,404</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4,984,963</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20"/>
                <w:szCs w:val="20"/>
                <w:color w:val="auto"/>
              </w:rPr>
            </w:pPr>
            <w:r>
              <w:rPr>
                <w:rFonts w:ascii="Arial" w:cs="Arial" w:eastAsia="Arial" w:hAnsi="Arial"/>
                <w:sz w:val="12"/>
                <w:szCs w:val="12"/>
                <w:color w:val="auto"/>
              </w:rPr>
              <w:t>LSF9 Atlantis Holdings, LLC</w:t>
            </w:r>
          </w:p>
        </w:tc>
        <w:tc>
          <w:tcPr>
            <w:tcW w:w="1040" w:type="dxa"/>
            <w:vAlign w:val="bottom"/>
          </w:tcPr>
          <w:p>
            <w:pPr>
              <w:ind w:left="360"/>
              <w:spacing w:after="0"/>
              <w:rPr>
                <w:sz w:val="20"/>
                <w:szCs w:val="20"/>
                <w:color w:val="auto"/>
              </w:rPr>
            </w:pPr>
            <w:r>
              <w:rPr>
                <w:rFonts w:ascii="Arial" w:cs="Arial" w:eastAsia="Arial" w:hAnsi="Arial"/>
                <w:sz w:val="12"/>
                <w:szCs w:val="12"/>
                <w:color w:val="auto"/>
              </w:rPr>
              <w:t>05/01/2023</w:t>
            </w:r>
          </w:p>
        </w:tc>
        <w:tc>
          <w:tcPr>
            <w:tcW w:w="2760" w:type="dxa"/>
            <w:vAlign w:val="bottom"/>
            <w:gridSpan w:val="2"/>
          </w:tcPr>
          <w:p>
            <w:pPr>
              <w:spacing w:after="0"/>
              <w:rPr>
                <w:sz w:val="20"/>
                <w:szCs w:val="20"/>
                <w:color w:val="auto"/>
              </w:rPr>
            </w:pPr>
            <w:r>
              <w:rPr>
                <w:rFonts w:ascii="Arial" w:cs="Arial" w:eastAsia="Arial" w:hAnsi="Arial"/>
                <w:sz w:val="12"/>
                <w:szCs w:val="12"/>
                <w:color w:val="auto"/>
              </w:rPr>
              <w:t>Retail</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7.24%</w:t>
            </w:r>
          </w:p>
        </w:tc>
        <w:tc>
          <w:tcPr>
            <w:tcW w:w="1000" w:type="dxa"/>
            <w:vAlign w:val="bottom"/>
            <w:gridSpan w:val="2"/>
          </w:tcPr>
          <w:p>
            <w:pPr>
              <w:ind w:left="460"/>
              <w:spacing w:after="0"/>
              <w:rPr>
                <w:sz w:val="20"/>
                <w:szCs w:val="20"/>
                <w:color w:val="auto"/>
              </w:rPr>
            </w:pPr>
            <w:r>
              <w:rPr>
                <w:rFonts w:ascii="Arial" w:cs="Arial" w:eastAsia="Arial" w:hAnsi="Arial"/>
                <w:sz w:val="12"/>
                <w:szCs w:val="12"/>
                <w:color w:val="auto"/>
              </w:rPr>
              <w:t>L+600</w:t>
            </w: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w w:val="97"/>
              </w:rPr>
              <w:t>7,453,125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7,521,186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7,468,628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Mission Critical Electronics, Inc.</w:t>
            </w:r>
          </w:p>
        </w:tc>
        <w:tc>
          <w:tcPr>
            <w:tcW w:w="1040" w:type="dxa"/>
            <w:vAlign w:val="bottom"/>
            <w:shd w:val="clear" w:color="auto" w:fill="CCECFF"/>
          </w:tcPr>
          <w:p>
            <w:pPr>
              <w:ind w:left="360"/>
              <w:spacing w:after="0"/>
              <w:rPr>
                <w:sz w:val="20"/>
                <w:szCs w:val="20"/>
                <w:color w:val="auto"/>
              </w:rPr>
            </w:pPr>
            <w:r>
              <w:rPr>
                <w:rFonts w:ascii="Arial" w:cs="Arial" w:eastAsia="Arial" w:hAnsi="Arial"/>
                <w:sz w:val="12"/>
                <w:szCs w:val="12"/>
                <w:color w:val="auto"/>
              </w:rPr>
              <w:t>09/28/2022</w:t>
            </w:r>
          </w:p>
        </w:tc>
        <w:tc>
          <w:tcPr>
            <w:tcW w:w="276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Capital Equipment</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6.33%</w:t>
            </w:r>
          </w:p>
        </w:tc>
        <w:tc>
          <w:tcPr>
            <w:tcW w:w="1000" w:type="dxa"/>
            <w:vAlign w:val="bottom"/>
            <w:gridSpan w:val="2"/>
            <w:shd w:val="clear" w:color="auto" w:fill="CCECFF"/>
          </w:tcPr>
          <w:p>
            <w:pPr>
              <w:ind w:left="460"/>
              <w:spacing w:after="0"/>
              <w:rPr>
                <w:sz w:val="20"/>
                <w:szCs w:val="20"/>
                <w:color w:val="auto"/>
              </w:rPr>
            </w:pPr>
            <w:r>
              <w:rPr>
                <w:rFonts w:ascii="Arial" w:cs="Arial" w:eastAsia="Arial" w:hAnsi="Arial"/>
                <w:sz w:val="12"/>
                <w:szCs w:val="12"/>
                <w:color w:val="auto"/>
              </w:rPr>
              <w:t>L+500</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4,075,442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4,050,930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4,058,871</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Morphe, LLC</w:t>
            </w:r>
          </w:p>
        </w:tc>
        <w:tc>
          <w:tcPr>
            <w:tcW w:w="1040" w:type="dxa"/>
            <w:vAlign w:val="bottom"/>
          </w:tcPr>
          <w:p>
            <w:pPr>
              <w:ind w:left="360"/>
              <w:spacing w:after="0"/>
              <w:rPr>
                <w:sz w:val="20"/>
                <w:szCs w:val="20"/>
                <w:color w:val="auto"/>
              </w:rPr>
            </w:pPr>
            <w:r>
              <w:rPr>
                <w:rFonts w:ascii="Arial" w:cs="Arial" w:eastAsia="Arial" w:hAnsi="Arial"/>
                <w:sz w:val="12"/>
                <w:szCs w:val="12"/>
                <w:color w:val="auto"/>
              </w:rPr>
              <w:t>02/10/2023</w:t>
            </w:r>
          </w:p>
        </w:tc>
        <w:tc>
          <w:tcPr>
            <w:tcW w:w="2760" w:type="dxa"/>
            <w:vAlign w:val="bottom"/>
            <w:gridSpan w:val="2"/>
          </w:tcPr>
          <w:p>
            <w:pPr>
              <w:spacing w:after="0"/>
              <w:rPr>
                <w:sz w:val="20"/>
                <w:szCs w:val="20"/>
                <w:color w:val="auto"/>
              </w:rPr>
            </w:pPr>
            <w:r>
              <w:rPr>
                <w:rFonts w:ascii="Arial" w:cs="Arial" w:eastAsia="Arial" w:hAnsi="Arial"/>
                <w:sz w:val="12"/>
                <w:szCs w:val="12"/>
                <w:color w:val="auto"/>
              </w:rPr>
              <w:t>Consumer Goods: Non-Durable</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7.33%</w:t>
            </w:r>
          </w:p>
        </w:tc>
        <w:tc>
          <w:tcPr>
            <w:tcW w:w="1000" w:type="dxa"/>
            <w:vAlign w:val="bottom"/>
            <w:gridSpan w:val="2"/>
          </w:tcPr>
          <w:p>
            <w:pPr>
              <w:ind w:left="460"/>
              <w:spacing w:after="0"/>
              <w:rPr>
                <w:sz w:val="20"/>
                <w:szCs w:val="20"/>
                <w:color w:val="auto"/>
              </w:rPr>
            </w:pPr>
            <w:r>
              <w:rPr>
                <w:rFonts w:ascii="Arial" w:cs="Arial" w:eastAsia="Arial" w:hAnsi="Arial"/>
                <w:sz w:val="12"/>
                <w:szCs w:val="12"/>
                <w:color w:val="auto"/>
              </w:rPr>
              <w:t>L+600</w:t>
            </w: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w w:val="97"/>
              </w:rPr>
              <w:t>4,875,000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4,810,511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4,801,875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One Sixty Over Ninety, LLC</w:t>
            </w:r>
          </w:p>
        </w:tc>
        <w:tc>
          <w:tcPr>
            <w:tcW w:w="1040" w:type="dxa"/>
            <w:vAlign w:val="bottom"/>
            <w:shd w:val="clear" w:color="auto" w:fill="CCECFF"/>
          </w:tcPr>
          <w:p>
            <w:pPr>
              <w:ind w:left="360"/>
              <w:spacing w:after="0"/>
              <w:rPr>
                <w:sz w:val="20"/>
                <w:szCs w:val="20"/>
                <w:color w:val="auto"/>
              </w:rPr>
            </w:pPr>
            <w:r>
              <w:rPr>
                <w:rFonts w:ascii="Arial" w:cs="Arial" w:eastAsia="Arial" w:hAnsi="Arial"/>
                <w:sz w:val="12"/>
                <w:szCs w:val="12"/>
                <w:color w:val="auto"/>
              </w:rPr>
              <w:t>03/03/2022</w:t>
            </w:r>
          </w:p>
        </w:tc>
        <w:tc>
          <w:tcPr>
            <w:tcW w:w="276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Media: Advertising, Printing and Publishing</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10.52%</w:t>
            </w:r>
          </w:p>
        </w:tc>
        <w:tc>
          <w:tcPr>
            <w:tcW w:w="1000" w:type="dxa"/>
            <w:vAlign w:val="bottom"/>
            <w:gridSpan w:val="2"/>
            <w:shd w:val="clear" w:color="auto" w:fill="CCECFF"/>
          </w:tcPr>
          <w:p>
            <w:pPr>
              <w:ind w:left="460"/>
              <w:spacing w:after="0"/>
              <w:rPr>
                <w:sz w:val="20"/>
                <w:szCs w:val="20"/>
                <w:color w:val="auto"/>
              </w:rPr>
            </w:pPr>
            <w:r>
              <w:rPr>
                <w:rFonts w:ascii="Arial" w:cs="Arial" w:eastAsia="Arial" w:hAnsi="Arial"/>
                <w:sz w:val="12"/>
                <w:szCs w:val="12"/>
                <w:color w:val="auto"/>
              </w:rPr>
              <w:t>L+918</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6,000,000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5,885,356</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6,000,000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Snak Club, LLC</w:t>
            </w:r>
          </w:p>
        </w:tc>
        <w:tc>
          <w:tcPr>
            <w:tcW w:w="1040" w:type="dxa"/>
            <w:vAlign w:val="bottom"/>
          </w:tcPr>
          <w:p>
            <w:pPr>
              <w:ind w:left="360"/>
              <w:spacing w:after="0"/>
              <w:rPr>
                <w:sz w:val="20"/>
                <w:szCs w:val="20"/>
                <w:color w:val="auto"/>
              </w:rPr>
            </w:pPr>
            <w:r>
              <w:rPr>
                <w:rFonts w:ascii="Arial" w:cs="Arial" w:eastAsia="Arial" w:hAnsi="Arial"/>
                <w:sz w:val="12"/>
                <w:szCs w:val="12"/>
                <w:color w:val="auto"/>
              </w:rPr>
              <w:t>07/19/2021</w:t>
            </w:r>
          </w:p>
        </w:tc>
        <w:tc>
          <w:tcPr>
            <w:tcW w:w="2760" w:type="dxa"/>
            <w:vAlign w:val="bottom"/>
            <w:gridSpan w:val="2"/>
          </w:tcPr>
          <w:p>
            <w:pPr>
              <w:spacing w:after="0"/>
              <w:rPr>
                <w:sz w:val="20"/>
                <w:szCs w:val="20"/>
                <w:color w:val="auto"/>
              </w:rPr>
            </w:pPr>
            <w:r>
              <w:rPr>
                <w:rFonts w:ascii="Arial" w:cs="Arial" w:eastAsia="Arial" w:hAnsi="Arial"/>
                <w:sz w:val="12"/>
                <w:szCs w:val="12"/>
                <w:color w:val="auto"/>
              </w:rPr>
              <w:t>Beverage, Food and Tobacco</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6.24%</w:t>
            </w:r>
          </w:p>
        </w:tc>
        <w:tc>
          <w:tcPr>
            <w:tcW w:w="1000" w:type="dxa"/>
            <w:vAlign w:val="bottom"/>
            <w:gridSpan w:val="2"/>
          </w:tcPr>
          <w:p>
            <w:pPr>
              <w:ind w:left="460"/>
              <w:spacing w:after="0"/>
              <w:rPr>
                <w:sz w:val="20"/>
                <w:szCs w:val="20"/>
                <w:color w:val="auto"/>
              </w:rPr>
            </w:pPr>
            <w:r>
              <w:rPr>
                <w:rFonts w:ascii="Arial" w:cs="Arial" w:eastAsia="Arial" w:hAnsi="Arial"/>
                <w:sz w:val="12"/>
                <w:szCs w:val="12"/>
                <w:color w:val="auto"/>
              </w:rPr>
              <w:t>L+500</w:t>
            </w: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w w:val="97"/>
              </w:rPr>
              <w:t>4,843,745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4,843,745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4,843,745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The Infosoft Group, LLC</w:t>
            </w:r>
          </w:p>
        </w:tc>
        <w:tc>
          <w:tcPr>
            <w:tcW w:w="1040" w:type="dxa"/>
            <w:vAlign w:val="bottom"/>
            <w:shd w:val="clear" w:color="auto" w:fill="CCECFF"/>
          </w:tcPr>
          <w:p>
            <w:pPr>
              <w:ind w:left="360"/>
              <w:spacing w:after="0"/>
              <w:rPr>
                <w:sz w:val="20"/>
                <w:szCs w:val="20"/>
                <w:color w:val="auto"/>
              </w:rPr>
            </w:pPr>
            <w:r>
              <w:rPr>
                <w:rFonts w:ascii="Arial" w:cs="Arial" w:eastAsia="Arial" w:hAnsi="Arial"/>
                <w:sz w:val="12"/>
                <w:szCs w:val="12"/>
                <w:color w:val="auto"/>
              </w:rPr>
              <w:t>12/02/2021</w:t>
            </w:r>
          </w:p>
        </w:tc>
        <w:tc>
          <w:tcPr>
            <w:tcW w:w="2760" w:type="dxa"/>
            <w:vAlign w:val="bottom"/>
            <w:gridSpan w:val="2"/>
            <w:shd w:val="clear" w:color="auto" w:fill="CCECFF"/>
          </w:tcPr>
          <w:p>
            <w:pPr>
              <w:spacing w:after="0"/>
              <w:rPr>
                <w:sz w:val="20"/>
                <w:szCs w:val="20"/>
                <w:color w:val="auto"/>
              </w:rPr>
            </w:pPr>
            <w:r>
              <w:rPr>
                <w:rFonts w:ascii="Arial" w:cs="Arial" w:eastAsia="Arial" w:hAnsi="Arial"/>
                <w:sz w:val="12"/>
                <w:szCs w:val="12"/>
                <w:color w:val="auto"/>
              </w:rPr>
              <w:t>Media: Broadcasting and Subscription</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6.58%</w:t>
            </w:r>
          </w:p>
        </w:tc>
        <w:tc>
          <w:tcPr>
            <w:tcW w:w="1000" w:type="dxa"/>
            <w:vAlign w:val="bottom"/>
            <w:gridSpan w:val="2"/>
            <w:shd w:val="clear" w:color="auto" w:fill="CCECFF"/>
          </w:tcPr>
          <w:p>
            <w:pPr>
              <w:ind w:left="460"/>
              <w:spacing w:after="0"/>
              <w:rPr>
                <w:sz w:val="20"/>
                <w:szCs w:val="20"/>
                <w:color w:val="auto"/>
              </w:rPr>
            </w:pPr>
            <w:r>
              <w:rPr>
                <w:rFonts w:ascii="Arial" w:cs="Arial" w:eastAsia="Arial" w:hAnsi="Arial"/>
                <w:sz w:val="12"/>
                <w:szCs w:val="12"/>
                <w:color w:val="auto"/>
              </w:rPr>
              <w:t>L+525</w:t>
            </w: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7"/>
              </w:rPr>
              <w:t>5,530,997</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5,530,997</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5,530,997</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Borders>
              <w:bottom w:val="single" w:sz="8" w:color="CCECFF"/>
            </w:tcBorders>
          </w:tcPr>
          <w:p>
            <w:pPr>
              <w:spacing w:after="0"/>
              <w:rPr>
                <w:sz w:val="20"/>
                <w:szCs w:val="20"/>
                <w:color w:val="auto"/>
              </w:rPr>
            </w:pPr>
            <w:r>
              <w:rPr>
                <w:rFonts w:ascii="Arial" w:cs="Arial" w:eastAsia="Arial" w:hAnsi="Arial"/>
                <w:sz w:val="12"/>
                <w:szCs w:val="12"/>
                <w:color w:val="auto"/>
              </w:rPr>
              <w:t>VIP Cinema Holdings, Inc.</w:t>
            </w:r>
          </w:p>
        </w:tc>
        <w:tc>
          <w:tcPr>
            <w:tcW w:w="1040" w:type="dxa"/>
            <w:vAlign w:val="bottom"/>
            <w:tcBorders>
              <w:bottom w:val="single" w:sz="8" w:color="CCECFF"/>
            </w:tcBorders>
          </w:tcPr>
          <w:p>
            <w:pPr>
              <w:ind w:left="360"/>
              <w:spacing w:after="0"/>
              <w:rPr>
                <w:sz w:val="20"/>
                <w:szCs w:val="20"/>
                <w:color w:val="auto"/>
              </w:rPr>
            </w:pPr>
            <w:r>
              <w:rPr>
                <w:rFonts w:ascii="Arial" w:cs="Arial" w:eastAsia="Arial" w:hAnsi="Arial"/>
                <w:sz w:val="12"/>
                <w:szCs w:val="12"/>
                <w:color w:val="auto"/>
              </w:rPr>
              <w:t>03/01/2023</w:t>
            </w:r>
          </w:p>
        </w:tc>
        <w:tc>
          <w:tcPr>
            <w:tcW w:w="2760" w:type="dxa"/>
            <w:vAlign w:val="bottom"/>
            <w:tcBorders>
              <w:bottom w:val="single" w:sz="8" w:color="CCECFF"/>
            </w:tcBorders>
            <w:gridSpan w:val="2"/>
          </w:tcPr>
          <w:p>
            <w:pPr>
              <w:spacing w:after="0"/>
              <w:rPr>
                <w:sz w:val="20"/>
                <w:szCs w:val="20"/>
                <w:color w:val="auto"/>
              </w:rPr>
            </w:pPr>
            <w:r>
              <w:rPr>
                <w:rFonts w:ascii="Arial" w:cs="Arial" w:eastAsia="Arial" w:hAnsi="Arial"/>
                <w:sz w:val="12"/>
                <w:szCs w:val="12"/>
                <w:color w:val="auto"/>
              </w:rPr>
              <w:t>Consumer Goods: Durable</w:t>
            </w:r>
          </w:p>
        </w:tc>
        <w:tc>
          <w:tcPr>
            <w:tcW w:w="900" w:type="dxa"/>
            <w:vAlign w:val="bottom"/>
            <w:tcBorders>
              <w:bottom w:val="single" w:sz="8" w:color="CCECFF"/>
            </w:tcBorders>
            <w:gridSpan w:val="2"/>
          </w:tcPr>
          <w:p>
            <w:pPr>
              <w:jc w:val="right"/>
              <w:ind w:right="140"/>
              <w:spacing w:after="0"/>
              <w:rPr>
                <w:sz w:val="20"/>
                <w:szCs w:val="20"/>
                <w:color w:val="auto"/>
              </w:rPr>
            </w:pPr>
            <w:r>
              <w:rPr>
                <w:rFonts w:ascii="Arial" w:cs="Arial" w:eastAsia="Arial" w:hAnsi="Arial"/>
                <w:sz w:val="12"/>
                <w:szCs w:val="12"/>
                <w:color w:val="auto"/>
              </w:rPr>
              <w:t>7.34%</w:t>
            </w:r>
          </w:p>
        </w:tc>
        <w:tc>
          <w:tcPr>
            <w:tcW w:w="1000" w:type="dxa"/>
            <w:vAlign w:val="bottom"/>
            <w:tcBorders>
              <w:bottom w:val="single" w:sz="8" w:color="CCECFF"/>
            </w:tcBorders>
            <w:gridSpan w:val="2"/>
          </w:tcPr>
          <w:p>
            <w:pPr>
              <w:ind w:left="460"/>
              <w:spacing w:after="0"/>
              <w:rPr>
                <w:sz w:val="20"/>
                <w:szCs w:val="20"/>
                <w:color w:val="auto"/>
              </w:rPr>
            </w:pPr>
            <w:r>
              <w:rPr>
                <w:rFonts w:ascii="Arial" w:cs="Arial" w:eastAsia="Arial" w:hAnsi="Arial"/>
                <w:sz w:val="12"/>
                <w:szCs w:val="12"/>
                <w:color w:val="auto"/>
              </w:rPr>
              <w:t>L+600</w:t>
            </w:r>
          </w:p>
        </w:tc>
        <w:tc>
          <w:tcPr>
            <w:tcW w:w="120" w:type="dxa"/>
            <w:vAlign w:val="bottom"/>
            <w:tcBorders>
              <w:bottom w:val="single" w:sz="8" w:color="CCECFF"/>
            </w:tcBorders>
          </w:tcPr>
          <w:p>
            <w:pPr>
              <w:spacing w:after="0"/>
              <w:rPr>
                <w:sz w:val="12"/>
                <w:szCs w:val="12"/>
                <w:color w:val="auto"/>
              </w:rPr>
            </w:pPr>
          </w:p>
        </w:tc>
        <w:tc>
          <w:tcPr>
            <w:tcW w:w="54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w w:val="97"/>
              </w:rPr>
              <w:t>4,875,000</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4,942,263</w:t>
            </w: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4,905,469</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6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First Lien Secured Debt</w:t>
            </w:r>
          </w:p>
        </w:tc>
        <w:tc>
          <w:tcPr>
            <w:tcW w:w="1040" w:type="dxa"/>
            <w:vAlign w:val="bottom"/>
            <w:shd w:val="clear" w:color="auto" w:fill="CCECFF"/>
          </w:tcPr>
          <w:p>
            <w:pPr>
              <w:spacing w:after="0"/>
              <w:rPr>
                <w:sz w:val="12"/>
                <w:szCs w:val="12"/>
                <w:color w:val="auto"/>
              </w:rPr>
            </w:pPr>
          </w:p>
        </w:tc>
        <w:tc>
          <w:tcPr>
            <w:tcW w:w="2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99,544,903</w:t>
            </w: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99,994,314</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00" w:type="dxa"/>
            <w:vAlign w:val="bottom"/>
            <w:tcBorders>
              <w:bottom w:val="single" w:sz="8" w:color="CCECFF"/>
            </w:tcBorders>
            <w:gridSpan w:val="2"/>
          </w:tcPr>
          <w:p>
            <w:pPr>
              <w:spacing w:after="0"/>
              <w:rPr>
                <w:sz w:val="20"/>
                <w:szCs w:val="20"/>
                <w:color w:val="auto"/>
              </w:rPr>
            </w:pPr>
            <w:r>
              <w:rPr>
                <w:rFonts w:ascii="Arial" w:cs="Arial" w:eastAsia="Arial" w:hAnsi="Arial"/>
                <w:sz w:val="12"/>
                <w:szCs w:val="12"/>
                <w:b w:val="1"/>
                <w:bCs w:val="1"/>
                <w:color w:val="auto"/>
                <w:w w:val="94"/>
              </w:rPr>
              <w:t>Total Investments in Non-Controlled, Non-Affiliated Portfolio Companies</w:t>
            </w:r>
          </w:p>
        </w:tc>
        <w:tc>
          <w:tcPr>
            <w:tcW w:w="264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0" w:type="dxa"/>
            <w:vAlign w:val="bottom"/>
            <w:tcBorders>
              <w:bottom w:val="single" w:sz="8" w:color="CCECFF"/>
            </w:tcBorders>
          </w:tcPr>
          <w:p>
            <w:pPr>
              <w:spacing w:after="0"/>
              <w:rPr>
                <w:sz w:val="12"/>
                <w:szCs w:val="12"/>
                <w:color w:val="auto"/>
              </w:rPr>
            </w:pPr>
          </w:p>
        </w:tc>
        <w:tc>
          <w:tcPr>
            <w:tcW w:w="20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54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99,544,903</w:t>
            </w: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99,994,314</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6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Cash and Cash Equivalents—15.5%</w:t>
            </w:r>
          </w:p>
        </w:tc>
        <w:tc>
          <w:tcPr>
            <w:tcW w:w="1040" w:type="dxa"/>
            <w:vAlign w:val="bottom"/>
            <w:shd w:val="clear" w:color="auto" w:fill="CCECFF"/>
          </w:tcPr>
          <w:p>
            <w:pPr>
              <w:spacing w:after="0"/>
              <w:rPr>
                <w:sz w:val="12"/>
                <w:szCs w:val="12"/>
                <w:color w:val="auto"/>
              </w:rPr>
            </w:pPr>
          </w:p>
        </w:tc>
        <w:tc>
          <w:tcPr>
            <w:tcW w:w="2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20"/>
                <w:szCs w:val="20"/>
                <w:color w:val="auto"/>
              </w:rPr>
            </w:pPr>
            <w:r>
              <w:rPr>
                <w:rFonts w:ascii="Arial" w:cs="Arial" w:eastAsia="Arial" w:hAnsi="Arial"/>
                <w:sz w:val="12"/>
                <w:szCs w:val="12"/>
                <w:color w:val="auto"/>
              </w:rPr>
              <w:t>BlackRock Federal FD Institutional 30</w:t>
            </w:r>
          </w:p>
        </w:tc>
        <w:tc>
          <w:tcPr>
            <w:tcW w:w="10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2,226,430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2,226,430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CFF"/>
          </w:tcPr>
          <w:p>
            <w:pPr>
              <w:spacing w:after="0"/>
              <w:rPr>
                <w:sz w:val="20"/>
                <w:szCs w:val="20"/>
                <w:color w:val="auto"/>
              </w:rPr>
            </w:pPr>
            <w:r>
              <w:rPr>
                <w:rFonts w:ascii="Arial" w:cs="Arial" w:eastAsia="Arial" w:hAnsi="Arial"/>
                <w:sz w:val="12"/>
                <w:szCs w:val="12"/>
                <w:color w:val="auto"/>
              </w:rPr>
              <w:t>US Bank Cash</w:t>
            </w:r>
          </w:p>
        </w:tc>
        <w:tc>
          <w:tcPr>
            <w:tcW w:w="1040" w:type="dxa"/>
            <w:vAlign w:val="bottom"/>
            <w:shd w:val="clear" w:color="auto" w:fill="CCECFF"/>
          </w:tcPr>
          <w:p>
            <w:pPr>
              <w:spacing w:after="0"/>
              <w:rPr>
                <w:sz w:val="12"/>
                <w:szCs w:val="12"/>
                <w:color w:val="auto"/>
              </w:rPr>
            </w:pPr>
          </w:p>
        </w:tc>
        <w:tc>
          <w:tcPr>
            <w:tcW w:w="26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54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144,739</w:t>
            </w: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144,833</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6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Cash and Cash Equivalents</w:t>
            </w:r>
          </w:p>
        </w:tc>
        <w:tc>
          <w:tcPr>
            <w:tcW w:w="1040" w:type="dxa"/>
            <w:vAlign w:val="bottom"/>
            <w:tcBorders>
              <w:bottom w:val="single" w:sz="8" w:color="CCECFF"/>
            </w:tcBorders>
          </w:tcPr>
          <w:p>
            <w:pPr>
              <w:spacing w:after="0"/>
              <w:rPr>
                <w:sz w:val="12"/>
                <w:szCs w:val="12"/>
                <w:color w:val="auto"/>
              </w:rPr>
            </w:pPr>
          </w:p>
        </w:tc>
        <w:tc>
          <w:tcPr>
            <w:tcW w:w="264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0" w:type="dxa"/>
            <w:vAlign w:val="bottom"/>
            <w:tcBorders>
              <w:bottom w:val="single" w:sz="8" w:color="CCECFF"/>
            </w:tcBorders>
          </w:tcPr>
          <w:p>
            <w:pPr>
              <w:spacing w:after="0"/>
              <w:rPr>
                <w:sz w:val="12"/>
                <w:szCs w:val="12"/>
                <w:color w:val="auto"/>
              </w:rPr>
            </w:pPr>
          </w:p>
        </w:tc>
        <w:tc>
          <w:tcPr>
            <w:tcW w:w="20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54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2,371,169</w:t>
            </w: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2,371,263</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60" w:type="dxa"/>
            <w:vAlign w:val="bottom"/>
            <w:tcBorders>
              <w:bottom w:val="single" w:sz="8" w:color="CCECFF"/>
            </w:tcBorders>
            <w:shd w:val="clear" w:color="auto" w:fill="CCECFF"/>
          </w:tcPr>
          <w:p>
            <w:pPr>
              <w:spacing w:after="0"/>
              <w:rPr>
                <w:sz w:val="20"/>
                <w:szCs w:val="20"/>
                <w:color w:val="auto"/>
              </w:rPr>
            </w:pPr>
            <w:r>
              <w:rPr>
                <w:rFonts w:ascii="Arial" w:cs="Arial" w:eastAsia="Arial" w:hAnsi="Arial"/>
                <w:sz w:val="12"/>
                <w:szCs w:val="12"/>
                <w:b w:val="1"/>
                <w:bCs w:val="1"/>
                <w:color w:val="auto"/>
              </w:rPr>
              <w:t>Total Investments and Cash Equivalents—667.2%</w:t>
            </w:r>
          </w:p>
        </w:tc>
        <w:tc>
          <w:tcPr>
            <w:tcW w:w="1040" w:type="dxa"/>
            <w:vAlign w:val="bottom"/>
            <w:tcBorders>
              <w:bottom w:val="single" w:sz="8" w:color="CCECFF"/>
            </w:tcBorders>
            <w:shd w:val="clear" w:color="auto" w:fill="CCECFF"/>
          </w:tcPr>
          <w:p>
            <w:pPr>
              <w:spacing w:after="0"/>
              <w:rPr>
                <w:sz w:val="12"/>
                <w:szCs w:val="12"/>
                <w:color w:val="auto"/>
              </w:rPr>
            </w:pPr>
          </w:p>
        </w:tc>
        <w:tc>
          <w:tcPr>
            <w:tcW w:w="264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66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CCECFF"/>
            </w:tcBorders>
            <w:shd w:val="clear" w:color="auto" w:fill="CCECFF"/>
          </w:tcPr>
          <w:p>
            <w:pPr>
              <w:spacing w:after="0"/>
              <w:rPr>
                <w:sz w:val="12"/>
                <w:szCs w:val="12"/>
                <w:color w:val="auto"/>
              </w:rPr>
            </w:pPr>
          </w:p>
        </w:tc>
        <w:tc>
          <w:tcPr>
            <w:tcW w:w="800" w:type="dxa"/>
            <w:vAlign w:val="bottom"/>
            <w:tcBorders>
              <w:bottom w:val="single" w:sz="8" w:color="CCECFF"/>
            </w:tcBorders>
            <w:shd w:val="clear" w:color="auto" w:fill="CCECFF"/>
          </w:tcPr>
          <w:p>
            <w:pPr>
              <w:spacing w:after="0"/>
              <w:rPr>
                <w:sz w:val="12"/>
                <w:szCs w:val="12"/>
                <w:color w:val="auto"/>
              </w:rPr>
            </w:pPr>
          </w:p>
        </w:tc>
        <w:tc>
          <w:tcPr>
            <w:tcW w:w="20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54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CCECFF"/>
            </w:tcBorders>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89"/>
              </w:rPr>
              <w:t>101,916,072</w:t>
            </w:r>
          </w:p>
        </w:tc>
        <w:tc>
          <w:tcPr>
            <w:tcW w:w="220" w:type="dxa"/>
            <w:vAlign w:val="bottom"/>
            <w:tcBorders>
              <w:bottom w:val="single" w:sz="8" w:color="CCECFF"/>
            </w:tcBorders>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89"/>
              </w:rPr>
              <w:t>102,365,577</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860" w:type="dxa"/>
            <w:vAlign w:val="bottom"/>
            <w:vMerge w:val="restart"/>
          </w:tcPr>
          <w:p>
            <w:pPr>
              <w:spacing w:after="0"/>
              <w:rPr>
                <w:sz w:val="20"/>
                <w:szCs w:val="20"/>
                <w:color w:val="auto"/>
              </w:rPr>
            </w:pPr>
            <w:r>
              <w:rPr>
                <w:rFonts w:ascii="Arial" w:cs="Arial" w:eastAsia="Arial" w:hAnsi="Arial"/>
                <w:sz w:val="12"/>
                <w:szCs w:val="12"/>
                <w:b w:val="1"/>
                <w:bCs w:val="1"/>
                <w:color w:val="auto"/>
              </w:rPr>
              <w:t>Liabilities in Excess of Other Assets—(567.2)%</w:t>
            </w:r>
          </w:p>
        </w:tc>
        <w:tc>
          <w:tcPr>
            <w:tcW w:w="10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860" w:type="dxa"/>
            <w:vAlign w:val="bottom"/>
            <w:vMerge w:val="continue"/>
          </w:tcPr>
          <w:p>
            <w:pPr>
              <w:spacing w:after="0"/>
              <w:rPr>
                <w:sz w:val="11"/>
                <w:szCs w:val="11"/>
                <w:color w:val="auto"/>
              </w:rPr>
            </w:pPr>
          </w:p>
        </w:tc>
        <w:tc>
          <w:tcPr>
            <w:tcW w:w="104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60"/>
              <w:spacing w:after="0" w:line="129" w:lineRule="exact"/>
              <w:rPr>
                <w:sz w:val="20"/>
                <w:szCs w:val="20"/>
                <w:color w:val="auto"/>
              </w:rPr>
            </w:pPr>
            <w:r>
              <w:rPr>
                <w:rFonts w:ascii="Arial" w:cs="Arial" w:eastAsia="Arial" w:hAnsi="Arial"/>
                <w:sz w:val="12"/>
                <w:szCs w:val="12"/>
                <w:color w:val="auto"/>
                <w:w w:val="96"/>
              </w:rPr>
              <w:t>(87,022,556)</w:t>
            </w:r>
          </w:p>
        </w:tc>
        <w:tc>
          <w:tcPr>
            <w:tcW w:w="0" w:type="dxa"/>
            <w:vAlign w:val="bottom"/>
          </w:tcPr>
          <w:p>
            <w:pPr>
              <w:spacing w:after="0"/>
              <w:rPr>
                <w:sz w:val="1"/>
                <w:szCs w:val="1"/>
                <w:color w:val="auto"/>
              </w:rPr>
            </w:pPr>
          </w:p>
        </w:tc>
      </w:tr>
      <w:tr>
        <w:trPr>
          <w:trHeight w:val="148"/>
        </w:trPr>
        <w:tc>
          <w:tcPr>
            <w:tcW w:w="2860" w:type="dxa"/>
            <w:vAlign w:val="bottom"/>
            <w:tcBorders>
              <w:bottom w:val="single" w:sz="8" w:color="CCECFF"/>
            </w:tcBorders>
            <w:shd w:val="clear" w:color="auto" w:fill="CCECFF"/>
          </w:tcPr>
          <w:p>
            <w:pPr>
              <w:spacing w:after="0"/>
              <w:rPr>
                <w:sz w:val="20"/>
                <w:szCs w:val="20"/>
                <w:color w:val="auto"/>
              </w:rPr>
            </w:pPr>
            <w:r>
              <w:rPr>
                <w:rFonts w:ascii="Arial" w:cs="Arial" w:eastAsia="Arial" w:hAnsi="Arial"/>
                <w:sz w:val="12"/>
                <w:szCs w:val="12"/>
                <w:b w:val="1"/>
                <w:bCs w:val="1"/>
                <w:color w:val="auto"/>
              </w:rPr>
              <w:t>Members' Equity—100.0%</w:t>
            </w:r>
          </w:p>
        </w:tc>
        <w:tc>
          <w:tcPr>
            <w:tcW w:w="1040" w:type="dxa"/>
            <w:vAlign w:val="bottom"/>
            <w:tcBorders>
              <w:bottom w:val="single" w:sz="8" w:color="CCECFF"/>
            </w:tcBorders>
            <w:shd w:val="clear" w:color="auto" w:fill="CCECFF"/>
          </w:tcPr>
          <w:p>
            <w:pPr>
              <w:spacing w:after="0"/>
              <w:rPr>
                <w:sz w:val="12"/>
                <w:szCs w:val="12"/>
                <w:color w:val="auto"/>
              </w:rPr>
            </w:pPr>
          </w:p>
        </w:tc>
        <w:tc>
          <w:tcPr>
            <w:tcW w:w="264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66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CCECFF"/>
            </w:tcBorders>
            <w:shd w:val="clear" w:color="auto" w:fill="CCECFF"/>
          </w:tcPr>
          <w:p>
            <w:pPr>
              <w:spacing w:after="0"/>
              <w:rPr>
                <w:sz w:val="12"/>
                <w:szCs w:val="12"/>
                <w:color w:val="auto"/>
              </w:rPr>
            </w:pPr>
          </w:p>
        </w:tc>
        <w:tc>
          <w:tcPr>
            <w:tcW w:w="800" w:type="dxa"/>
            <w:vAlign w:val="bottom"/>
            <w:tcBorders>
              <w:bottom w:val="single" w:sz="8" w:color="CCECFF"/>
            </w:tcBorders>
            <w:shd w:val="clear" w:color="auto" w:fill="CCECFF"/>
          </w:tcPr>
          <w:p>
            <w:pPr>
              <w:spacing w:after="0"/>
              <w:rPr>
                <w:sz w:val="12"/>
                <w:szCs w:val="12"/>
                <w:color w:val="auto"/>
              </w:rPr>
            </w:pPr>
          </w:p>
        </w:tc>
        <w:tc>
          <w:tcPr>
            <w:tcW w:w="20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54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CCECFF"/>
            </w:tcBorders>
            <w:shd w:val="clear" w:color="auto" w:fill="CCECFF"/>
          </w:tcPr>
          <w:p>
            <w:pPr>
              <w:spacing w:after="0"/>
              <w:rPr>
                <w:sz w:val="12"/>
                <w:szCs w:val="12"/>
                <w:color w:val="auto"/>
              </w:rPr>
            </w:pPr>
          </w:p>
        </w:tc>
        <w:tc>
          <w:tcPr>
            <w:tcW w:w="80" w:type="dxa"/>
            <w:vAlign w:val="bottom"/>
            <w:tcBorders>
              <w:bottom w:val="single" w:sz="8" w:color="CCECFF"/>
            </w:tcBorders>
            <w:shd w:val="clear" w:color="auto" w:fill="CCECFF"/>
          </w:tcPr>
          <w:p>
            <w:pPr>
              <w:spacing w:after="0"/>
              <w:rPr>
                <w:sz w:val="12"/>
                <w:szCs w:val="12"/>
                <w:color w:val="auto"/>
              </w:rPr>
            </w:pPr>
          </w:p>
        </w:tc>
        <w:tc>
          <w:tcPr>
            <w:tcW w:w="640" w:type="dxa"/>
            <w:vAlign w:val="bottom"/>
            <w:tcBorders>
              <w:bottom w:val="single" w:sz="8" w:color="CCECFF"/>
            </w:tcBorders>
            <w:shd w:val="clear" w:color="auto" w:fill="CCECFF"/>
          </w:tcPr>
          <w:p>
            <w:pPr>
              <w:spacing w:after="0"/>
              <w:rPr>
                <w:sz w:val="12"/>
                <w:szCs w:val="12"/>
                <w:color w:val="auto"/>
              </w:rPr>
            </w:pPr>
          </w:p>
        </w:tc>
        <w:tc>
          <w:tcPr>
            <w:tcW w:w="220" w:type="dxa"/>
            <w:vAlign w:val="bottom"/>
            <w:tcBorders>
              <w:bottom w:val="single" w:sz="8" w:color="CCECFF"/>
            </w:tcBorders>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15,343,021</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86880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176" w:lineRule="exact"/>
        <w:rPr>
          <w:sz w:val="20"/>
          <w:szCs w:val="20"/>
          <w:color w:val="auto"/>
        </w:rPr>
      </w:pPr>
    </w:p>
    <w:p>
      <w:pPr>
        <w:ind w:left="380" w:right="280" w:hanging="372"/>
        <w:spacing w:after="0" w:line="252" w:lineRule="auto"/>
        <w:tabs>
          <w:tab w:leader="none" w:pos="380" w:val="left"/>
        </w:tabs>
        <w:numPr>
          <w:ilvl w:val="0"/>
          <w:numId w:val="24"/>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LIBOR, EURIBOR or Prime rate. All securities are subject to a LIBOR or Prime rate floor where a spread is provided, unless noted. The spread provided includes PIK interest and other fee rates, if any.</w:t>
      </w:r>
    </w:p>
    <w:p>
      <w:pPr>
        <w:spacing w:after="0" w:line="20" w:lineRule="exact"/>
        <w:rPr>
          <w:rFonts w:ascii="Arial" w:cs="Arial" w:eastAsia="Arial" w:hAnsi="Arial"/>
          <w:sz w:val="12"/>
          <w:szCs w:val="12"/>
          <w:color w:val="auto"/>
        </w:rPr>
      </w:pPr>
    </w:p>
    <w:p>
      <w:pPr>
        <w:ind w:left="380" w:hanging="372"/>
        <w:spacing w:after="0"/>
        <w:tabs>
          <w:tab w:leader="none" w:pos="380" w:val="left"/>
        </w:tabs>
        <w:numPr>
          <w:ilvl w:val="0"/>
          <w:numId w:val="24"/>
        </w:numPr>
        <w:rPr>
          <w:rFonts w:ascii="Arial" w:cs="Arial" w:eastAsia="Arial" w:hAnsi="Arial"/>
          <w:sz w:val="12"/>
          <w:szCs w:val="12"/>
          <w:color w:val="auto"/>
        </w:rPr>
      </w:pPr>
      <w:r>
        <w:rPr>
          <w:rFonts w:ascii="Arial" w:cs="Arial" w:eastAsia="Arial" w:hAnsi="Arial"/>
          <w:sz w:val="12"/>
          <w:szCs w:val="12"/>
          <w:color w:val="auto"/>
        </w:rPr>
        <w:t>Valued based on PSSL’s accounting policy.</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24"/>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24"/>
        </w:numPr>
        <w:rPr>
          <w:rFonts w:ascii="Arial" w:cs="Arial" w:eastAsia="Arial" w:hAnsi="Arial"/>
          <w:sz w:val="12"/>
          <w:szCs w:val="12"/>
          <w:color w:val="auto"/>
        </w:rPr>
      </w:pPr>
      <w:r>
        <w:rPr>
          <w:rFonts w:ascii="Arial" w:cs="Arial" w:eastAsia="Arial" w:hAnsi="Arial"/>
          <w:sz w:val="12"/>
          <w:szCs w:val="12"/>
          <w:color w:val="auto"/>
        </w:rPr>
        <w:t>Par amount is denominated in Euros (€) as denoted.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37" w:name="page38"/>
    <w:bookmarkEnd w:id="37"/>
    <w:p>
      <w:pPr>
        <w:ind w:left="380"/>
        <w:spacing w:after="0"/>
        <w:rPr>
          <w:sz w:val="20"/>
          <w:szCs w:val="20"/>
          <w:color w:val="auto"/>
        </w:rPr>
      </w:pPr>
      <w:r>
        <w:rPr>
          <w:rFonts w:ascii="Arial" w:cs="Arial" w:eastAsia="Arial" w:hAnsi="Arial"/>
          <w:sz w:val="14"/>
          <w:szCs w:val="14"/>
          <w:color w:val="auto"/>
        </w:rPr>
        <w:t>Below is the financial information for PSSL:</w:t>
      </w:r>
    </w:p>
    <w:p>
      <w:pPr>
        <w:spacing w:after="0" w:line="146"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PennantPark Senior Secured Loan Fund I LLC</w:t>
      </w:r>
    </w:p>
    <w:p>
      <w:pPr>
        <w:spacing w:after="0" w:line="17"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Statements of Assets and Liabilities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June 30, 2018</w:t>
            </w:r>
          </w:p>
        </w:tc>
        <w:tc>
          <w:tcPr>
            <w:tcW w:w="120" w:type="dxa"/>
            <w:vAlign w:val="bottom"/>
          </w:tcPr>
          <w:p>
            <w:pPr>
              <w:spacing w:after="0"/>
              <w:rPr>
                <w:sz w:val="14"/>
                <w:szCs w:val="14"/>
                <w:color w:val="auto"/>
              </w:rPr>
            </w:pPr>
          </w:p>
        </w:tc>
        <w:tc>
          <w:tcPr>
            <w:tcW w:w="156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2017</w:t>
            </w:r>
          </w:p>
        </w:tc>
      </w:tr>
      <w:tr>
        <w:trPr>
          <w:trHeight w:val="171"/>
        </w:trPr>
        <w:tc>
          <w:tcPr>
            <w:tcW w:w="7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7"/>
              </w:rPr>
              <w:t>(Unaudited)</w:t>
            </w: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772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Assets</w:t>
            </w:r>
          </w:p>
        </w:tc>
        <w:tc>
          <w:tcPr>
            <w:tcW w:w="220" w:type="dxa"/>
            <w:vAlign w:val="bottom"/>
            <w:tcBorders>
              <w:top w:val="single" w:sz="8" w:color="auto"/>
            </w:tcBorders>
            <w:shd w:val="clear" w:color="auto" w:fill="CCECFF"/>
          </w:tcPr>
          <w:p>
            <w:pPr>
              <w:spacing w:after="0"/>
              <w:rPr>
                <w:sz w:val="13"/>
                <w:szCs w:val="13"/>
                <w:color w:val="auto"/>
              </w:rPr>
            </w:pPr>
          </w:p>
        </w:tc>
        <w:tc>
          <w:tcPr>
            <w:tcW w:w="1340" w:type="dxa"/>
            <w:vAlign w:val="bottom"/>
            <w:tcBorders>
              <w:top w:val="single" w:sz="8" w:color="auto"/>
            </w:tcBorders>
            <w:shd w:val="clear" w:color="auto" w:fill="CCECFF"/>
          </w:tcPr>
          <w:p>
            <w:pPr>
              <w:spacing w:after="0"/>
              <w:rPr>
                <w:sz w:val="13"/>
                <w:szCs w:val="13"/>
                <w:color w:val="auto"/>
              </w:rPr>
            </w:pPr>
          </w:p>
        </w:tc>
        <w:tc>
          <w:tcPr>
            <w:tcW w:w="28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auto"/>
            </w:tcBorders>
            <w:shd w:val="clear" w:color="auto" w:fill="CCECFF"/>
          </w:tcPr>
          <w:p>
            <w:pPr>
              <w:spacing w:after="0"/>
              <w:rPr>
                <w:sz w:val="13"/>
                <w:szCs w:val="13"/>
                <w:color w:val="auto"/>
              </w:rPr>
            </w:pPr>
          </w:p>
        </w:tc>
        <w:tc>
          <w:tcPr>
            <w:tcW w:w="1440" w:type="dxa"/>
            <w:vAlign w:val="bottom"/>
            <w:tcBorders>
              <w:top w:val="single" w:sz="8" w:color="auto"/>
            </w:tcBorders>
            <w:shd w:val="clear" w:color="auto" w:fill="CCECFF"/>
          </w:tcPr>
          <w:p>
            <w:pPr>
              <w:spacing w:after="0"/>
              <w:rPr>
                <w:sz w:val="13"/>
                <w:szCs w:val="13"/>
                <w:color w:val="auto"/>
              </w:rPr>
            </w:pPr>
          </w:p>
        </w:tc>
        <w:tc>
          <w:tcPr>
            <w:tcW w:w="120" w:type="dxa"/>
            <w:vAlign w:val="bottom"/>
            <w:tcBorders>
              <w:top w:val="single" w:sz="8" w:color="CCECFF"/>
            </w:tcBorders>
            <w:shd w:val="clear" w:color="auto" w:fill="CCECFF"/>
          </w:tcPr>
          <w:p>
            <w:pPr>
              <w:spacing w:after="0"/>
              <w:rPr>
                <w:sz w:val="13"/>
                <w:szCs w:val="13"/>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Investments at fair value</w:t>
            </w: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77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Non-controlled, non-affiliated investments (cost—$346,547,032 and $99,544,903, respectively)</w:t>
            </w:r>
          </w:p>
        </w:tc>
        <w:tc>
          <w:tcPr>
            <w:tcW w:w="220" w:type="dxa"/>
            <w:vAlign w:val="bottom"/>
            <w:shd w:val="clear" w:color="auto" w:fill="CCECFF"/>
          </w:tcPr>
          <w:p>
            <w:pPr>
              <w:jc w:val="right"/>
              <w:ind w:right="68"/>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346,936,205</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99,994,314</w:t>
            </w:r>
          </w:p>
        </w:tc>
        <w:tc>
          <w:tcPr>
            <w:tcW w:w="120" w:type="dxa"/>
            <w:vAlign w:val="bottom"/>
            <w:shd w:val="clear" w:color="auto" w:fill="CCECFF"/>
          </w:tcPr>
          <w:p>
            <w:pPr>
              <w:spacing w:after="0"/>
              <w:rPr>
                <w:sz w:val="14"/>
                <w:szCs w:val="14"/>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Cash and cash equivalents (cost—$4,165,816 and $2,371,169, respectively)</w:t>
            </w:r>
          </w:p>
        </w:tc>
        <w:tc>
          <w:tcPr>
            <w:tcW w:w="2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4,153,493</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2,371,263</w:t>
            </w:r>
          </w:p>
        </w:tc>
        <w:tc>
          <w:tcPr>
            <w:tcW w:w="120" w:type="dxa"/>
            <w:vAlign w:val="bottom"/>
          </w:tcPr>
          <w:p>
            <w:pPr>
              <w:spacing w:after="0"/>
              <w:rPr>
                <w:sz w:val="14"/>
                <w:szCs w:val="14"/>
                <w:color w:val="auto"/>
              </w:rPr>
            </w:pPr>
          </w:p>
        </w:tc>
      </w:tr>
      <w:tr>
        <w:trPr>
          <w:trHeight w:val="162"/>
        </w:trPr>
        <w:tc>
          <w:tcPr>
            <w:tcW w:w="7720" w:type="dxa"/>
            <w:vAlign w:val="bottom"/>
            <w:shd w:val="clear" w:color="auto" w:fill="CCECFF"/>
          </w:tcPr>
          <w:p>
            <w:pPr>
              <w:spacing w:after="0"/>
              <w:rPr>
                <w:sz w:val="20"/>
                <w:szCs w:val="20"/>
                <w:color w:val="auto"/>
              </w:rPr>
            </w:pPr>
            <w:r>
              <w:rPr>
                <w:rFonts w:ascii="Arial" w:cs="Arial" w:eastAsia="Arial" w:hAnsi="Arial"/>
                <w:sz w:val="14"/>
                <w:szCs w:val="14"/>
                <w:color w:val="auto"/>
              </w:rPr>
              <w:t>Interest receivable</w:t>
            </w:r>
          </w:p>
        </w:tc>
        <w:tc>
          <w:tcPr>
            <w:tcW w:w="220" w:type="dxa"/>
            <w:vAlign w:val="bottom"/>
            <w:shd w:val="clear" w:color="auto" w:fill="CCECFF"/>
          </w:tcPr>
          <w:p>
            <w:pPr>
              <w:spacing w:after="0"/>
              <w:rPr>
                <w:sz w:val="14"/>
                <w:szCs w:val="14"/>
                <w:color w:val="auto"/>
              </w:rPr>
            </w:pPr>
          </w:p>
        </w:tc>
        <w:tc>
          <w:tcPr>
            <w:tcW w:w="13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1,355,176</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332,980</w:t>
            </w:r>
          </w:p>
        </w:tc>
        <w:tc>
          <w:tcPr>
            <w:tcW w:w="120" w:type="dxa"/>
            <w:vAlign w:val="bottom"/>
            <w:shd w:val="clear" w:color="auto" w:fill="CCECFF"/>
          </w:tcPr>
          <w:p>
            <w:pPr>
              <w:spacing w:after="0"/>
              <w:rPr>
                <w:sz w:val="14"/>
                <w:szCs w:val="14"/>
                <w:color w:val="auto"/>
              </w:rPr>
            </w:pPr>
          </w:p>
        </w:tc>
      </w:tr>
      <w:tr>
        <w:trPr>
          <w:trHeight w:val="162"/>
        </w:trPr>
        <w:tc>
          <w:tcPr>
            <w:tcW w:w="7720" w:type="dxa"/>
            <w:vAlign w:val="bottom"/>
            <w:tcBorders>
              <w:bottom w:val="single" w:sz="8" w:color="CCECFF"/>
            </w:tcBorders>
          </w:tcPr>
          <w:p>
            <w:pPr>
              <w:spacing w:after="0"/>
              <w:rPr>
                <w:sz w:val="20"/>
                <w:szCs w:val="20"/>
                <w:color w:val="auto"/>
              </w:rPr>
            </w:pPr>
            <w:r>
              <w:rPr>
                <w:rFonts w:ascii="Arial" w:cs="Arial" w:eastAsia="Arial" w:hAnsi="Arial"/>
                <w:sz w:val="14"/>
                <w:szCs w:val="14"/>
                <w:color w:val="auto"/>
              </w:rPr>
              <w:t>Prepaid expenses and other assets</w:t>
            </w: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3,216,872</w:t>
            </w:r>
          </w:p>
        </w:tc>
        <w:tc>
          <w:tcPr>
            <w:tcW w:w="280" w:type="dxa"/>
            <w:vAlign w:val="bottom"/>
            <w:tcBorders>
              <w:bottom w:val="single" w:sz="8" w:color="CCEC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1,131,029</w:t>
            </w:r>
          </w:p>
        </w:tc>
        <w:tc>
          <w:tcPr>
            <w:tcW w:w="120" w:type="dxa"/>
            <w:vAlign w:val="bottom"/>
            <w:tcBorders>
              <w:bottom w:val="single" w:sz="8" w:color="CCECFF"/>
            </w:tcBorders>
          </w:tcPr>
          <w:p>
            <w:pPr>
              <w:spacing w:after="0"/>
              <w:rPr>
                <w:sz w:val="14"/>
                <w:szCs w:val="14"/>
                <w:color w:val="auto"/>
              </w:rPr>
            </w:pPr>
          </w:p>
        </w:tc>
      </w:tr>
      <w:tr>
        <w:trPr>
          <w:trHeight w:val="155"/>
        </w:trPr>
        <w:tc>
          <w:tcPr>
            <w:tcW w:w="7720" w:type="dxa"/>
            <w:vAlign w:val="bottom"/>
            <w:shd w:val="clear" w:color="auto" w:fill="CCECFF"/>
          </w:tcPr>
          <w:p>
            <w:pPr>
              <w:ind w:left="740"/>
              <w:spacing w:after="0" w:line="155" w:lineRule="exact"/>
              <w:rPr>
                <w:sz w:val="20"/>
                <w:szCs w:val="20"/>
                <w:color w:val="auto"/>
              </w:rPr>
            </w:pPr>
            <w:r>
              <w:rPr>
                <w:rFonts w:ascii="Arial" w:cs="Arial" w:eastAsia="Arial" w:hAnsi="Arial"/>
                <w:sz w:val="14"/>
                <w:szCs w:val="14"/>
                <w:b w:val="1"/>
                <w:bCs w:val="1"/>
                <w:color w:val="auto"/>
              </w:rPr>
              <w:t>Total assets</w:t>
            </w:r>
          </w:p>
        </w:tc>
        <w:tc>
          <w:tcPr>
            <w:tcW w:w="220" w:type="dxa"/>
            <w:vAlign w:val="bottom"/>
            <w:tcBorders>
              <w:bottom w:val="single" w:sz="8" w:color="auto"/>
            </w:tcBorders>
            <w:shd w:val="clear" w:color="auto" w:fill="CCECFF"/>
          </w:tcPr>
          <w:p>
            <w:pPr>
              <w:spacing w:after="0"/>
              <w:rPr>
                <w:sz w:val="13"/>
                <w:szCs w:val="13"/>
                <w:color w:val="auto"/>
              </w:rPr>
            </w:pPr>
          </w:p>
        </w:tc>
        <w:tc>
          <w:tcPr>
            <w:tcW w:w="13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355,661,746</w:t>
            </w:r>
          </w:p>
        </w:tc>
        <w:tc>
          <w:tcPr>
            <w:tcW w:w="280" w:type="dxa"/>
            <w:vAlign w:val="bottom"/>
            <w:shd w:val="clear" w:color="auto" w:fill="CCECFF"/>
          </w:tcPr>
          <w:p>
            <w:pPr>
              <w:spacing w:after="0"/>
              <w:rPr>
                <w:sz w:val="13"/>
                <w:szCs w:val="13"/>
                <w:color w:val="auto"/>
              </w:rPr>
            </w:pPr>
          </w:p>
        </w:tc>
        <w:tc>
          <w:tcPr>
            <w:tcW w:w="120" w:type="dxa"/>
            <w:vAlign w:val="bottom"/>
            <w:tcBorders>
              <w:bottom w:val="single" w:sz="8" w:color="auto"/>
            </w:tcBorders>
            <w:shd w:val="clear" w:color="auto" w:fill="CCECFF"/>
          </w:tcPr>
          <w:p>
            <w:pPr>
              <w:spacing w:after="0"/>
              <w:rPr>
                <w:sz w:val="13"/>
                <w:szCs w:val="13"/>
                <w:color w:val="auto"/>
              </w:rPr>
            </w:pPr>
          </w:p>
        </w:tc>
        <w:tc>
          <w:tcPr>
            <w:tcW w:w="14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103,829,586</w:t>
            </w:r>
          </w:p>
        </w:tc>
        <w:tc>
          <w:tcPr>
            <w:tcW w:w="120" w:type="dxa"/>
            <w:vAlign w:val="bottom"/>
            <w:shd w:val="clear" w:color="auto" w:fill="CCECFF"/>
          </w:tcPr>
          <w:p>
            <w:pPr>
              <w:spacing w:after="0"/>
              <w:rPr>
                <w:sz w:val="13"/>
                <w:szCs w:val="13"/>
                <w:color w:val="auto"/>
              </w:rPr>
            </w:pPr>
          </w:p>
        </w:tc>
      </w:tr>
      <w:tr>
        <w:trPr>
          <w:trHeight w:val="156"/>
        </w:trPr>
        <w:tc>
          <w:tcPr>
            <w:tcW w:w="7720" w:type="dxa"/>
            <w:vAlign w:val="bottom"/>
          </w:tcPr>
          <w:p>
            <w:pPr>
              <w:spacing w:after="0" w:line="155" w:lineRule="exact"/>
              <w:rPr>
                <w:sz w:val="20"/>
                <w:szCs w:val="20"/>
                <w:color w:val="auto"/>
              </w:rPr>
            </w:pPr>
            <w:r>
              <w:rPr>
                <w:rFonts w:ascii="Arial" w:cs="Arial" w:eastAsia="Arial" w:hAnsi="Arial"/>
                <w:sz w:val="14"/>
                <w:szCs w:val="14"/>
                <w:b w:val="1"/>
                <w:bCs w:val="1"/>
                <w:color w:val="auto"/>
              </w:rPr>
              <w:t>Liabilities</w:t>
            </w:r>
          </w:p>
        </w:tc>
        <w:tc>
          <w:tcPr>
            <w:tcW w:w="2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62"/>
        </w:trPr>
        <w:tc>
          <w:tcPr>
            <w:tcW w:w="7720" w:type="dxa"/>
            <w:vAlign w:val="bottom"/>
            <w:shd w:val="clear" w:color="auto" w:fill="CCECFF"/>
          </w:tcPr>
          <w:p>
            <w:pPr>
              <w:spacing w:after="0"/>
              <w:rPr>
                <w:sz w:val="20"/>
                <w:szCs w:val="20"/>
                <w:color w:val="auto"/>
              </w:rPr>
            </w:pPr>
            <w:r>
              <w:rPr>
                <w:rFonts w:ascii="Arial" w:cs="Arial" w:eastAsia="Arial" w:hAnsi="Arial"/>
                <w:sz w:val="14"/>
                <w:szCs w:val="14"/>
                <w:color w:val="auto"/>
              </w:rPr>
              <w:t>Payable for investments purchased</w:t>
            </w:r>
          </w:p>
        </w:tc>
        <w:tc>
          <w:tcPr>
            <w:tcW w:w="220" w:type="dxa"/>
            <w:vAlign w:val="bottom"/>
            <w:shd w:val="clear" w:color="auto" w:fill="CCECFF"/>
          </w:tcPr>
          <w:p>
            <w:pPr>
              <w:spacing w:after="0"/>
              <w:rPr>
                <w:sz w:val="14"/>
                <w:szCs w:val="14"/>
                <w:color w:val="auto"/>
              </w:rPr>
            </w:pPr>
          </w:p>
        </w:tc>
        <w:tc>
          <w:tcPr>
            <w:tcW w:w="13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5,362,500</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27,095,850</w:t>
            </w:r>
          </w:p>
        </w:tc>
        <w:tc>
          <w:tcPr>
            <w:tcW w:w="120" w:type="dxa"/>
            <w:vAlign w:val="bottom"/>
            <w:shd w:val="clear" w:color="auto" w:fill="CCECFF"/>
          </w:tcPr>
          <w:p>
            <w:pPr>
              <w:spacing w:after="0"/>
              <w:rPr>
                <w:sz w:val="14"/>
                <w:szCs w:val="14"/>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PSSL Credit Facility payable</w:t>
            </w:r>
          </w:p>
        </w:tc>
        <w:tc>
          <w:tcPr>
            <w:tcW w:w="2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212,606,933</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26,783,885</w:t>
            </w:r>
          </w:p>
        </w:tc>
        <w:tc>
          <w:tcPr>
            <w:tcW w:w="120" w:type="dxa"/>
            <w:vAlign w:val="bottom"/>
          </w:tcPr>
          <w:p>
            <w:pPr>
              <w:spacing w:after="0"/>
              <w:rPr>
                <w:sz w:val="14"/>
                <w:szCs w:val="14"/>
                <w:color w:val="auto"/>
              </w:rPr>
            </w:pPr>
          </w:p>
        </w:tc>
      </w:tr>
      <w:tr>
        <w:trPr>
          <w:trHeight w:val="162"/>
        </w:trPr>
        <w:tc>
          <w:tcPr>
            <w:tcW w:w="7720" w:type="dxa"/>
            <w:vAlign w:val="bottom"/>
            <w:shd w:val="clear" w:color="auto" w:fill="CCECFF"/>
          </w:tcPr>
          <w:p>
            <w:pPr>
              <w:spacing w:after="0"/>
              <w:rPr>
                <w:sz w:val="20"/>
                <w:szCs w:val="20"/>
                <w:color w:val="auto"/>
              </w:rPr>
            </w:pPr>
            <w:r>
              <w:rPr>
                <w:rFonts w:ascii="Arial" w:cs="Arial" w:eastAsia="Arial" w:hAnsi="Arial"/>
                <w:sz w:val="14"/>
                <w:szCs w:val="14"/>
                <w:color w:val="auto"/>
              </w:rPr>
              <w:t>Notes payable to members</w:t>
            </w:r>
          </w:p>
        </w:tc>
        <w:tc>
          <w:tcPr>
            <w:tcW w:w="220" w:type="dxa"/>
            <w:vAlign w:val="bottom"/>
            <w:shd w:val="clear" w:color="auto" w:fill="CCECFF"/>
          </w:tcPr>
          <w:p>
            <w:pPr>
              <w:spacing w:after="0"/>
              <w:rPr>
                <w:sz w:val="14"/>
                <w:szCs w:val="14"/>
                <w:color w:val="auto"/>
              </w:rPr>
            </w:pPr>
          </w:p>
        </w:tc>
        <w:tc>
          <w:tcPr>
            <w:tcW w:w="13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94,500,000</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34,400,000</w:t>
            </w:r>
          </w:p>
        </w:tc>
        <w:tc>
          <w:tcPr>
            <w:tcW w:w="120" w:type="dxa"/>
            <w:vAlign w:val="bottom"/>
            <w:shd w:val="clear" w:color="auto" w:fill="CCECFF"/>
          </w:tcPr>
          <w:p>
            <w:pPr>
              <w:spacing w:after="0"/>
              <w:rPr>
                <w:sz w:val="14"/>
                <w:szCs w:val="14"/>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Interest payable on PSSL Credit Facility</w:t>
            </w:r>
          </w:p>
        </w:tc>
        <w:tc>
          <w:tcPr>
            <w:tcW w:w="22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815,491</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97,531</w:t>
            </w:r>
          </w:p>
        </w:tc>
        <w:tc>
          <w:tcPr>
            <w:tcW w:w="120" w:type="dxa"/>
            <w:vAlign w:val="bottom"/>
          </w:tcPr>
          <w:p>
            <w:pPr>
              <w:spacing w:after="0"/>
              <w:rPr>
                <w:sz w:val="14"/>
                <w:szCs w:val="14"/>
                <w:color w:val="auto"/>
              </w:rPr>
            </w:pPr>
          </w:p>
        </w:tc>
      </w:tr>
      <w:tr>
        <w:trPr>
          <w:trHeight w:val="162"/>
        </w:trPr>
        <w:tc>
          <w:tcPr>
            <w:tcW w:w="7720" w:type="dxa"/>
            <w:vAlign w:val="bottom"/>
            <w:shd w:val="clear" w:color="auto" w:fill="CCECFF"/>
          </w:tcPr>
          <w:p>
            <w:pPr>
              <w:spacing w:after="0"/>
              <w:rPr>
                <w:sz w:val="20"/>
                <w:szCs w:val="20"/>
                <w:color w:val="auto"/>
              </w:rPr>
            </w:pPr>
            <w:r>
              <w:rPr>
                <w:rFonts w:ascii="Arial" w:cs="Arial" w:eastAsia="Arial" w:hAnsi="Arial"/>
                <w:sz w:val="14"/>
                <w:szCs w:val="14"/>
                <w:color w:val="auto"/>
              </w:rPr>
              <w:t>Interest payable on notes to members</w:t>
            </w:r>
          </w:p>
        </w:tc>
        <w:tc>
          <w:tcPr>
            <w:tcW w:w="220" w:type="dxa"/>
            <w:vAlign w:val="bottom"/>
            <w:shd w:val="clear" w:color="auto" w:fill="CCECFF"/>
          </w:tcPr>
          <w:p>
            <w:pPr>
              <w:spacing w:after="0"/>
              <w:rPr>
                <w:sz w:val="14"/>
                <w:szCs w:val="14"/>
                <w:color w:val="auto"/>
              </w:rPr>
            </w:pPr>
          </w:p>
        </w:tc>
        <w:tc>
          <w:tcPr>
            <w:tcW w:w="13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46,381</w:t>
            </w:r>
          </w:p>
        </w:tc>
        <w:tc>
          <w:tcPr>
            <w:tcW w:w="28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12,107</w:t>
            </w:r>
          </w:p>
        </w:tc>
        <w:tc>
          <w:tcPr>
            <w:tcW w:w="120" w:type="dxa"/>
            <w:vAlign w:val="bottom"/>
            <w:shd w:val="clear" w:color="auto" w:fill="CCECFF"/>
          </w:tcPr>
          <w:p>
            <w:pPr>
              <w:spacing w:after="0"/>
              <w:rPr>
                <w:sz w:val="14"/>
                <w:szCs w:val="14"/>
                <w:color w:val="auto"/>
              </w:rPr>
            </w:pPr>
          </w:p>
        </w:tc>
      </w:tr>
      <w:tr>
        <w:trPr>
          <w:trHeight w:val="162"/>
        </w:trPr>
        <w:tc>
          <w:tcPr>
            <w:tcW w:w="7720" w:type="dxa"/>
            <w:vAlign w:val="bottom"/>
            <w:tcBorders>
              <w:bottom w:val="single" w:sz="8" w:color="CCECFF"/>
            </w:tcBorders>
          </w:tcPr>
          <w:p>
            <w:pPr>
              <w:spacing w:after="0"/>
              <w:rPr>
                <w:sz w:val="20"/>
                <w:szCs w:val="20"/>
                <w:color w:val="auto"/>
              </w:rPr>
            </w:pPr>
            <w:r>
              <w:rPr>
                <w:rFonts w:ascii="Arial" w:cs="Arial" w:eastAsia="Arial" w:hAnsi="Arial"/>
                <w:sz w:val="14"/>
                <w:szCs w:val="14"/>
                <w:color w:val="auto"/>
              </w:rPr>
              <w:t>Accrued other expenses</w:t>
            </w: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160,188</w:t>
            </w:r>
          </w:p>
        </w:tc>
        <w:tc>
          <w:tcPr>
            <w:tcW w:w="280" w:type="dxa"/>
            <w:vAlign w:val="bottom"/>
            <w:tcBorders>
              <w:bottom w:val="single" w:sz="8" w:color="CCEC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97,192</w:t>
            </w:r>
          </w:p>
        </w:tc>
        <w:tc>
          <w:tcPr>
            <w:tcW w:w="120" w:type="dxa"/>
            <w:vAlign w:val="bottom"/>
            <w:tcBorders>
              <w:bottom w:val="single" w:sz="8" w:color="CCECFF"/>
            </w:tcBorders>
          </w:tcPr>
          <w:p>
            <w:pPr>
              <w:spacing w:after="0"/>
              <w:rPr>
                <w:sz w:val="14"/>
                <w:szCs w:val="14"/>
                <w:color w:val="auto"/>
              </w:rPr>
            </w:pPr>
          </w:p>
        </w:tc>
      </w:tr>
      <w:tr>
        <w:trPr>
          <w:trHeight w:val="156"/>
        </w:trPr>
        <w:tc>
          <w:tcPr>
            <w:tcW w:w="7720" w:type="dxa"/>
            <w:vAlign w:val="bottom"/>
            <w:shd w:val="clear" w:color="auto" w:fill="CCECFF"/>
          </w:tcPr>
          <w:p>
            <w:pPr>
              <w:ind w:left="740"/>
              <w:spacing w:after="0" w:line="155" w:lineRule="exact"/>
              <w:rPr>
                <w:sz w:val="20"/>
                <w:szCs w:val="20"/>
                <w:color w:val="auto"/>
              </w:rPr>
            </w:pPr>
            <w:r>
              <w:rPr>
                <w:rFonts w:ascii="Arial" w:cs="Arial" w:eastAsia="Arial" w:hAnsi="Arial"/>
                <w:sz w:val="14"/>
                <w:szCs w:val="14"/>
                <w:b w:val="1"/>
                <w:bCs w:val="1"/>
                <w:color w:val="auto"/>
              </w:rPr>
              <w:t>Total liabilities</w:t>
            </w:r>
          </w:p>
        </w:tc>
        <w:tc>
          <w:tcPr>
            <w:tcW w:w="220" w:type="dxa"/>
            <w:vAlign w:val="bottom"/>
            <w:tcBorders>
              <w:bottom w:val="single" w:sz="8" w:color="auto"/>
            </w:tcBorders>
            <w:shd w:val="clear" w:color="auto" w:fill="CCECFF"/>
          </w:tcPr>
          <w:p>
            <w:pPr>
              <w:spacing w:after="0"/>
              <w:rPr>
                <w:sz w:val="13"/>
                <w:szCs w:val="13"/>
                <w:color w:val="auto"/>
              </w:rPr>
            </w:pPr>
          </w:p>
        </w:tc>
        <w:tc>
          <w:tcPr>
            <w:tcW w:w="13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313,491,493</w:t>
            </w:r>
          </w:p>
        </w:tc>
        <w:tc>
          <w:tcPr>
            <w:tcW w:w="280" w:type="dxa"/>
            <w:vAlign w:val="bottom"/>
            <w:shd w:val="clear" w:color="auto" w:fill="CCECFF"/>
          </w:tcPr>
          <w:p>
            <w:pPr>
              <w:spacing w:after="0"/>
              <w:rPr>
                <w:sz w:val="13"/>
                <w:szCs w:val="13"/>
                <w:color w:val="auto"/>
              </w:rPr>
            </w:pPr>
          </w:p>
        </w:tc>
        <w:tc>
          <w:tcPr>
            <w:tcW w:w="120" w:type="dxa"/>
            <w:vAlign w:val="bottom"/>
            <w:tcBorders>
              <w:bottom w:val="single" w:sz="8" w:color="auto"/>
            </w:tcBorders>
            <w:shd w:val="clear" w:color="auto" w:fill="CCECFF"/>
          </w:tcPr>
          <w:p>
            <w:pPr>
              <w:spacing w:after="0"/>
              <w:rPr>
                <w:sz w:val="13"/>
                <w:szCs w:val="13"/>
                <w:color w:val="auto"/>
              </w:rPr>
            </w:pPr>
          </w:p>
        </w:tc>
        <w:tc>
          <w:tcPr>
            <w:tcW w:w="14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88,486,565</w:t>
            </w:r>
          </w:p>
        </w:tc>
        <w:tc>
          <w:tcPr>
            <w:tcW w:w="120" w:type="dxa"/>
            <w:vAlign w:val="bottom"/>
            <w:shd w:val="clear" w:color="auto" w:fill="CCECFF"/>
          </w:tcPr>
          <w:p>
            <w:pPr>
              <w:spacing w:after="0"/>
              <w:rPr>
                <w:sz w:val="13"/>
                <w:szCs w:val="13"/>
                <w:color w:val="auto"/>
              </w:rPr>
            </w:pPr>
          </w:p>
        </w:tc>
      </w:tr>
      <w:tr>
        <w:trPr>
          <w:trHeight w:val="155"/>
        </w:trPr>
        <w:tc>
          <w:tcPr>
            <w:tcW w:w="7720" w:type="dxa"/>
            <w:vAlign w:val="bottom"/>
            <w:tcBorders>
              <w:bottom w:val="single" w:sz="8" w:color="CCECFF"/>
            </w:tcBorders>
          </w:tcPr>
          <w:p>
            <w:pPr>
              <w:spacing w:after="0" w:line="155" w:lineRule="exact"/>
              <w:rPr>
                <w:sz w:val="20"/>
                <w:szCs w:val="20"/>
                <w:color w:val="auto"/>
              </w:rPr>
            </w:pPr>
            <w:r>
              <w:rPr>
                <w:rFonts w:ascii="Arial" w:cs="Arial" w:eastAsia="Arial" w:hAnsi="Arial"/>
                <w:sz w:val="14"/>
                <w:szCs w:val="14"/>
                <w:color w:val="auto"/>
              </w:rPr>
              <w:t xml:space="preserve">Commitments and contingencies </w:t>
            </w:r>
            <w:r>
              <w:rPr>
                <w:rFonts w:ascii="Arial" w:cs="Arial" w:eastAsia="Arial" w:hAnsi="Arial"/>
                <w:sz w:val="12"/>
                <w:szCs w:val="12"/>
                <w:color w:val="auto"/>
              </w:rPr>
              <w:t>(1)</w:t>
            </w:r>
          </w:p>
        </w:tc>
        <w:tc>
          <w:tcPr>
            <w:tcW w:w="2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CCEC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CECFF"/>
            </w:tcBorders>
          </w:tcPr>
          <w:p>
            <w:pPr>
              <w:spacing w:after="0"/>
              <w:rPr>
                <w:sz w:val="13"/>
                <w:szCs w:val="13"/>
                <w:color w:val="auto"/>
              </w:rPr>
            </w:pPr>
          </w:p>
        </w:tc>
      </w:tr>
      <w:tr>
        <w:trPr>
          <w:trHeight w:val="156"/>
        </w:trPr>
        <w:tc>
          <w:tcPr>
            <w:tcW w:w="7720" w:type="dxa"/>
            <w:vAlign w:val="bottom"/>
            <w:shd w:val="clear" w:color="auto" w:fill="CCECFF"/>
          </w:tcPr>
          <w:p>
            <w:pPr>
              <w:ind w:left="740"/>
              <w:spacing w:after="0" w:line="155" w:lineRule="exact"/>
              <w:rPr>
                <w:sz w:val="20"/>
                <w:szCs w:val="20"/>
                <w:color w:val="auto"/>
              </w:rPr>
            </w:pPr>
            <w:r>
              <w:rPr>
                <w:rFonts w:ascii="Arial" w:cs="Arial" w:eastAsia="Arial" w:hAnsi="Arial"/>
                <w:sz w:val="14"/>
                <w:szCs w:val="14"/>
                <w:b w:val="1"/>
                <w:bCs w:val="1"/>
                <w:color w:val="auto"/>
              </w:rPr>
              <w:t>Members' equity</w:t>
            </w:r>
          </w:p>
        </w:tc>
        <w:tc>
          <w:tcPr>
            <w:tcW w:w="220" w:type="dxa"/>
            <w:vAlign w:val="bottom"/>
            <w:tcBorders>
              <w:bottom w:val="single" w:sz="8" w:color="auto"/>
            </w:tcBorders>
            <w:shd w:val="clear" w:color="auto" w:fill="CCECFF"/>
          </w:tcPr>
          <w:p>
            <w:pPr>
              <w:spacing w:after="0"/>
              <w:rPr>
                <w:sz w:val="13"/>
                <w:szCs w:val="13"/>
                <w:color w:val="auto"/>
              </w:rPr>
            </w:pPr>
          </w:p>
        </w:tc>
        <w:tc>
          <w:tcPr>
            <w:tcW w:w="13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42,170,253</w:t>
            </w:r>
          </w:p>
        </w:tc>
        <w:tc>
          <w:tcPr>
            <w:tcW w:w="280" w:type="dxa"/>
            <w:vAlign w:val="bottom"/>
            <w:shd w:val="clear" w:color="auto" w:fill="CCECFF"/>
          </w:tcPr>
          <w:p>
            <w:pPr>
              <w:spacing w:after="0"/>
              <w:rPr>
                <w:sz w:val="13"/>
                <w:szCs w:val="13"/>
                <w:color w:val="auto"/>
              </w:rPr>
            </w:pPr>
          </w:p>
        </w:tc>
        <w:tc>
          <w:tcPr>
            <w:tcW w:w="120" w:type="dxa"/>
            <w:vAlign w:val="bottom"/>
            <w:tcBorders>
              <w:bottom w:val="single" w:sz="8" w:color="auto"/>
            </w:tcBorders>
            <w:shd w:val="clear" w:color="auto" w:fill="CCECFF"/>
          </w:tcPr>
          <w:p>
            <w:pPr>
              <w:spacing w:after="0"/>
              <w:rPr>
                <w:sz w:val="13"/>
                <w:szCs w:val="13"/>
                <w:color w:val="auto"/>
              </w:rPr>
            </w:pPr>
          </w:p>
        </w:tc>
        <w:tc>
          <w:tcPr>
            <w:tcW w:w="14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15,343,021</w:t>
            </w:r>
          </w:p>
        </w:tc>
        <w:tc>
          <w:tcPr>
            <w:tcW w:w="120" w:type="dxa"/>
            <w:vAlign w:val="bottom"/>
            <w:shd w:val="clear" w:color="auto" w:fill="CCECFF"/>
          </w:tcPr>
          <w:p>
            <w:pPr>
              <w:spacing w:after="0"/>
              <w:rPr>
                <w:sz w:val="13"/>
                <w:szCs w:val="13"/>
                <w:color w:val="auto"/>
              </w:rPr>
            </w:pPr>
          </w:p>
        </w:tc>
      </w:tr>
      <w:tr>
        <w:trPr>
          <w:trHeight w:val="155"/>
        </w:trPr>
        <w:tc>
          <w:tcPr>
            <w:tcW w:w="7720" w:type="dxa"/>
            <w:vAlign w:val="bottom"/>
          </w:tcPr>
          <w:p>
            <w:pPr>
              <w:ind w:left="740"/>
              <w:spacing w:after="0" w:line="155" w:lineRule="exact"/>
              <w:rPr>
                <w:sz w:val="20"/>
                <w:szCs w:val="20"/>
                <w:color w:val="auto"/>
              </w:rPr>
            </w:pPr>
            <w:r>
              <w:rPr>
                <w:rFonts w:ascii="Arial" w:cs="Arial" w:eastAsia="Arial" w:hAnsi="Arial"/>
                <w:sz w:val="14"/>
                <w:szCs w:val="14"/>
                <w:b w:val="1"/>
                <w:bCs w:val="1"/>
                <w:color w:val="auto"/>
              </w:rPr>
              <w:t>Total liabilities and members' equity</w:t>
            </w:r>
          </w:p>
        </w:tc>
        <w:tc>
          <w:tcPr>
            <w:tcW w:w="2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355,661,746</w:t>
            </w:r>
          </w:p>
        </w:tc>
        <w:tc>
          <w:tcPr>
            <w:tcW w:w="280" w:type="dxa"/>
            <w:vAlign w:val="bottom"/>
          </w:tcPr>
          <w:p>
            <w:pPr>
              <w:spacing w:after="0"/>
              <w:rPr>
                <w:sz w:val="13"/>
                <w:szCs w:val="13"/>
                <w:color w:val="auto"/>
              </w:rPr>
            </w:pPr>
          </w:p>
        </w:tc>
        <w:tc>
          <w:tcPr>
            <w:tcW w:w="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103,829,586</w:t>
            </w:r>
          </w:p>
        </w:tc>
        <w:tc>
          <w:tcPr>
            <w:tcW w:w="120" w:type="dxa"/>
            <w:vAlign w:val="bottom"/>
          </w:tcPr>
          <w:p>
            <w:pPr>
              <w:spacing w:after="0"/>
              <w:rPr>
                <w:sz w:val="13"/>
                <w:szCs w:val="13"/>
                <w:color w:val="auto"/>
              </w:rPr>
            </w:pPr>
          </w:p>
        </w:tc>
      </w:tr>
      <w:tr>
        <w:trPr>
          <w:trHeight w:val="20"/>
        </w:trPr>
        <w:tc>
          <w:tcPr>
            <w:tcW w:w="7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43" w:lineRule="exact"/>
        <w:rPr>
          <w:sz w:val="20"/>
          <w:szCs w:val="20"/>
          <w:color w:val="auto"/>
        </w:rPr>
      </w:pPr>
    </w:p>
    <w:p>
      <w:pPr>
        <w:ind w:left="380" w:hanging="372"/>
        <w:spacing w:after="0"/>
        <w:tabs>
          <w:tab w:leader="none" w:pos="380" w:val="left"/>
        </w:tabs>
        <w:numPr>
          <w:ilvl w:val="0"/>
          <w:numId w:val="25"/>
        </w:numPr>
        <w:rPr>
          <w:rFonts w:ascii="Arial" w:cs="Arial" w:eastAsia="Arial" w:hAnsi="Arial"/>
          <w:sz w:val="12"/>
          <w:szCs w:val="12"/>
          <w:color w:val="auto"/>
        </w:rPr>
      </w:pPr>
      <w:r>
        <w:rPr>
          <w:rFonts w:ascii="Arial" w:cs="Arial" w:eastAsia="Arial" w:hAnsi="Arial"/>
          <w:sz w:val="14"/>
          <w:szCs w:val="14"/>
          <w:color w:val="auto"/>
        </w:rPr>
        <w:t>PSSL had unfunded commitments of $1.4 million and zero as of June 30, 2018 and September 30, 2017,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134556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274"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PennantPark Senior Secured Loan Fund I LLC</w:t>
      </w:r>
    </w:p>
    <w:p>
      <w:pPr>
        <w:spacing w:after="0" w:line="17"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Statements of Operations</w:t>
      </w:r>
    </w:p>
    <w:p>
      <w:pPr>
        <w:spacing w:after="0" w:line="1"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(Unaudited)</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6"/>
              </w:rPr>
              <w:t>Three Months Ended</w:t>
            </w:r>
          </w:p>
        </w:tc>
        <w:tc>
          <w:tcPr>
            <w:tcW w:w="1720" w:type="dxa"/>
            <w:vAlign w:val="bottom"/>
            <w:gridSpan w:val="3"/>
          </w:tcPr>
          <w:p>
            <w:pPr>
              <w:ind w:left="20"/>
              <w:spacing w:after="0"/>
              <w:rPr>
                <w:sz w:val="20"/>
                <w:szCs w:val="20"/>
                <w:color w:val="auto"/>
              </w:rPr>
            </w:pPr>
            <w:r>
              <w:rPr>
                <w:rFonts w:ascii="Arial" w:cs="Arial" w:eastAsia="Arial" w:hAnsi="Arial"/>
                <w:sz w:val="14"/>
                <w:szCs w:val="14"/>
                <w:b w:val="1"/>
                <w:bCs w:val="1"/>
                <w:color w:val="auto"/>
              </w:rPr>
              <w:t>Nine Months Ended June</w:t>
            </w:r>
          </w:p>
        </w:tc>
      </w:tr>
      <w:tr>
        <w:trPr>
          <w:trHeight w:val="171"/>
        </w:trPr>
        <w:tc>
          <w:tcPr>
            <w:tcW w:w="7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June 30, 2018</w:t>
            </w:r>
          </w:p>
        </w:tc>
        <w:tc>
          <w:tcPr>
            <w:tcW w:w="300" w:type="dxa"/>
            <w:vAlign w:val="bottom"/>
          </w:tcPr>
          <w:p>
            <w:pPr>
              <w:spacing w:after="0"/>
              <w:rPr>
                <w:sz w:val="14"/>
                <w:szCs w:val="14"/>
                <w:color w:val="auto"/>
              </w:rPr>
            </w:pPr>
          </w:p>
        </w:tc>
        <w:tc>
          <w:tcPr>
            <w:tcW w:w="1320" w:type="dxa"/>
            <w:vAlign w:val="bottom"/>
          </w:tcPr>
          <w:p>
            <w:pPr>
              <w:jc w:val="right"/>
              <w:ind w:right="508"/>
              <w:spacing w:after="0"/>
              <w:rPr>
                <w:sz w:val="20"/>
                <w:szCs w:val="20"/>
                <w:color w:val="auto"/>
              </w:rPr>
            </w:pPr>
            <w:r>
              <w:rPr>
                <w:rFonts w:ascii="Arial" w:cs="Arial" w:eastAsia="Arial" w:hAnsi="Arial"/>
                <w:sz w:val="14"/>
                <w:szCs w:val="14"/>
                <w:b w:val="1"/>
                <w:bCs w:val="1"/>
                <w:color w:val="auto"/>
              </w:rPr>
              <w:t>30, 2018</w:t>
            </w:r>
          </w:p>
        </w:tc>
        <w:tc>
          <w:tcPr>
            <w:tcW w:w="100" w:type="dxa"/>
            <w:vAlign w:val="bottom"/>
          </w:tcPr>
          <w:p>
            <w:pPr>
              <w:spacing w:after="0"/>
              <w:rPr>
                <w:sz w:val="14"/>
                <w:szCs w:val="14"/>
                <w:color w:val="auto"/>
              </w:rPr>
            </w:pPr>
          </w:p>
        </w:tc>
      </w:tr>
      <w:tr>
        <w:trPr>
          <w:trHeight w:val="155"/>
        </w:trPr>
        <w:tc>
          <w:tcPr>
            <w:tcW w:w="762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Investment income:</w:t>
            </w:r>
          </w:p>
        </w:tc>
        <w:tc>
          <w:tcPr>
            <w:tcW w:w="100" w:type="dxa"/>
            <w:vAlign w:val="bottom"/>
            <w:tcBorders>
              <w:top w:val="single" w:sz="8" w:color="auto"/>
            </w:tcBorders>
            <w:shd w:val="clear" w:color="auto" w:fill="CCECFF"/>
          </w:tcPr>
          <w:p>
            <w:pPr>
              <w:spacing w:after="0"/>
              <w:rPr>
                <w:sz w:val="13"/>
                <w:szCs w:val="13"/>
                <w:color w:val="auto"/>
              </w:rPr>
            </w:pPr>
          </w:p>
        </w:tc>
        <w:tc>
          <w:tcPr>
            <w:tcW w:w="1500" w:type="dxa"/>
            <w:vAlign w:val="bottom"/>
            <w:tcBorders>
              <w:top w:val="single" w:sz="8" w:color="auto"/>
            </w:tcBorders>
            <w:shd w:val="clear" w:color="auto" w:fill="CCECFF"/>
          </w:tcPr>
          <w:p>
            <w:pPr>
              <w:spacing w:after="0"/>
              <w:rPr>
                <w:sz w:val="13"/>
                <w:szCs w:val="13"/>
                <w:color w:val="auto"/>
              </w:rPr>
            </w:pPr>
          </w:p>
        </w:tc>
        <w:tc>
          <w:tcPr>
            <w:tcW w:w="30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spacing w:after="0"/>
              <w:rPr>
                <w:sz w:val="13"/>
                <w:szCs w:val="13"/>
                <w:color w:val="auto"/>
              </w:rPr>
            </w:pPr>
          </w:p>
        </w:tc>
        <w:tc>
          <w:tcPr>
            <w:tcW w:w="1320" w:type="dxa"/>
            <w:vAlign w:val="bottom"/>
            <w:tcBorders>
              <w:top w:val="single" w:sz="8" w:color="auto"/>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r>
      <w:tr>
        <w:trPr>
          <w:trHeight w:val="162"/>
        </w:trPr>
        <w:tc>
          <w:tcPr>
            <w:tcW w:w="7620" w:type="dxa"/>
            <w:vAlign w:val="bottom"/>
          </w:tcPr>
          <w:p>
            <w:pPr>
              <w:spacing w:after="0"/>
              <w:rPr>
                <w:sz w:val="20"/>
                <w:szCs w:val="20"/>
                <w:color w:val="auto"/>
              </w:rPr>
            </w:pPr>
            <w:r>
              <w:rPr>
                <w:rFonts w:ascii="Arial" w:cs="Arial" w:eastAsia="Arial" w:hAnsi="Arial"/>
                <w:sz w:val="14"/>
                <w:szCs w:val="14"/>
                <w:color w:val="auto"/>
              </w:rPr>
              <w:t>From non-controlled, non-affiliated investments:</w:t>
            </w:r>
          </w:p>
        </w:tc>
        <w:tc>
          <w:tcPr>
            <w:tcW w:w="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76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Interest</w:t>
            </w:r>
          </w:p>
        </w:tc>
        <w:tc>
          <w:tcPr>
            <w:tcW w:w="100" w:type="dxa"/>
            <w:vAlign w:val="bottom"/>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15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5,281,955</w:t>
            </w:r>
          </w:p>
        </w:tc>
        <w:tc>
          <w:tcPr>
            <w:tcW w:w="30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10,379,097</w:t>
            </w:r>
          </w:p>
        </w:tc>
        <w:tc>
          <w:tcPr>
            <w:tcW w:w="100" w:type="dxa"/>
            <w:vAlign w:val="bottom"/>
            <w:shd w:val="clear" w:color="auto" w:fill="CCECFF"/>
          </w:tcPr>
          <w:p>
            <w:pPr>
              <w:spacing w:after="0"/>
              <w:rPr>
                <w:sz w:val="14"/>
                <w:szCs w:val="14"/>
                <w:color w:val="auto"/>
              </w:rPr>
            </w:pPr>
          </w:p>
        </w:tc>
      </w:tr>
      <w:tr>
        <w:trPr>
          <w:trHeight w:val="162"/>
        </w:trPr>
        <w:tc>
          <w:tcPr>
            <w:tcW w:w="7620" w:type="dxa"/>
            <w:vAlign w:val="bottom"/>
            <w:tcBorders>
              <w:bottom w:val="single" w:sz="8" w:color="CCECFF"/>
            </w:tcBorders>
          </w:tcPr>
          <w:p>
            <w:pPr>
              <w:ind w:left="260"/>
              <w:spacing w:after="0"/>
              <w:rPr>
                <w:sz w:val="20"/>
                <w:szCs w:val="20"/>
                <w:color w:val="auto"/>
              </w:rPr>
            </w:pPr>
            <w:r>
              <w:rPr>
                <w:rFonts w:ascii="Arial" w:cs="Arial" w:eastAsia="Arial" w:hAnsi="Arial"/>
                <w:sz w:val="14"/>
                <w:szCs w:val="14"/>
                <w:color w:val="auto"/>
              </w:rPr>
              <w:t>Other income</w:t>
            </w:r>
          </w:p>
        </w:tc>
        <w:tc>
          <w:tcPr>
            <w:tcW w:w="1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6,219</w:t>
            </w:r>
          </w:p>
        </w:tc>
        <w:tc>
          <w:tcPr>
            <w:tcW w:w="300" w:type="dxa"/>
            <w:vAlign w:val="bottom"/>
            <w:tcBorders>
              <w:bottom w:val="single" w:sz="8" w:color="CCEC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18,438</w:t>
            </w:r>
          </w:p>
        </w:tc>
        <w:tc>
          <w:tcPr>
            <w:tcW w:w="100" w:type="dxa"/>
            <w:vAlign w:val="bottom"/>
            <w:tcBorders>
              <w:bottom w:val="single" w:sz="8" w:color="CCECFF"/>
            </w:tcBorders>
          </w:tcPr>
          <w:p>
            <w:pPr>
              <w:spacing w:after="0"/>
              <w:rPr>
                <w:sz w:val="14"/>
                <w:szCs w:val="14"/>
                <w:color w:val="auto"/>
              </w:rPr>
            </w:pPr>
          </w:p>
        </w:tc>
      </w:tr>
      <w:tr>
        <w:trPr>
          <w:trHeight w:val="155"/>
        </w:trPr>
        <w:tc>
          <w:tcPr>
            <w:tcW w:w="7620" w:type="dxa"/>
            <w:vAlign w:val="bottom"/>
            <w:shd w:val="clear" w:color="auto" w:fill="CCECFF"/>
          </w:tcPr>
          <w:p>
            <w:pPr>
              <w:ind w:left="260"/>
              <w:spacing w:after="0" w:line="155" w:lineRule="exact"/>
              <w:rPr>
                <w:sz w:val="20"/>
                <w:szCs w:val="20"/>
                <w:color w:val="auto"/>
              </w:rPr>
            </w:pPr>
            <w:r>
              <w:rPr>
                <w:rFonts w:ascii="Arial" w:cs="Arial" w:eastAsia="Arial" w:hAnsi="Arial"/>
                <w:sz w:val="14"/>
                <w:szCs w:val="14"/>
                <w:b w:val="1"/>
                <w:bCs w:val="1"/>
                <w:color w:val="auto"/>
              </w:rPr>
              <w:t>Total investment income</w:t>
            </w:r>
          </w:p>
        </w:tc>
        <w:tc>
          <w:tcPr>
            <w:tcW w:w="100" w:type="dxa"/>
            <w:vAlign w:val="bottom"/>
            <w:tcBorders>
              <w:bottom w:val="single" w:sz="8" w:color="auto"/>
            </w:tcBorders>
            <w:shd w:val="clear" w:color="auto" w:fill="CCECFF"/>
          </w:tcPr>
          <w:p>
            <w:pPr>
              <w:spacing w:after="0"/>
              <w:rPr>
                <w:sz w:val="13"/>
                <w:szCs w:val="13"/>
                <w:color w:val="auto"/>
              </w:rPr>
            </w:pPr>
          </w:p>
        </w:tc>
        <w:tc>
          <w:tcPr>
            <w:tcW w:w="15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5,288,174</w:t>
            </w:r>
          </w:p>
        </w:tc>
        <w:tc>
          <w:tcPr>
            <w:tcW w:w="300" w:type="dxa"/>
            <w:vAlign w:val="bottom"/>
            <w:shd w:val="clear" w:color="auto" w:fill="CCECFF"/>
          </w:tcPr>
          <w:p>
            <w:pPr>
              <w:spacing w:after="0"/>
              <w:rPr>
                <w:sz w:val="13"/>
                <w:szCs w:val="13"/>
                <w:color w:val="auto"/>
              </w:rPr>
            </w:pPr>
          </w:p>
        </w:tc>
        <w:tc>
          <w:tcPr>
            <w:tcW w:w="300" w:type="dxa"/>
            <w:vAlign w:val="bottom"/>
            <w:tcBorders>
              <w:bottom w:val="single" w:sz="8" w:color="auto"/>
            </w:tcBorders>
            <w:shd w:val="clear" w:color="auto" w:fill="CCECFF"/>
          </w:tcPr>
          <w:p>
            <w:pPr>
              <w:spacing w:after="0"/>
              <w:rPr>
                <w:sz w:val="13"/>
                <w:szCs w:val="13"/>
                <w:color w:val="auto"/>
              </w:rPr>
            </w:pPr>
          </w:p>
        </w:tc>
        <w:tc>
          <w:tcPr>
            <w:tcW w:w="13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10,397,535</w:t>
            </w:r>
          </w:p>
        </w:tc>
        <w:tc>
          <w:tcPr>
            <w:tcW w:w="100" w:type="dxa"/>
            <w:vAlign w:val="bottom"/>
            <w:shd w:val="clear" w:color="auto" w:fill="CCECFF"/>
          </w:tcPr>
          <w:p>
            <w:pPr>
              <w:spacing w:after="0"/>
              <w:rPr>
                <w:sz w:val="13"/>
                <w:szCs w:val="13"/>
                <w:color w:val="auto"/>
              </w:rPr>
            </w:pPr>
          </w:p>
        </w:tc>
      </w:tr>
      <w:tr>
        <w:trPr>
          <w:trHeight w:val="155"/>
        </w:trPr>
        <w:tc>
          <w:tcPr>
            <w:tcW w:w="7620" w:type="dxa"/>
            <w:vAlign w:val="bottom"/>
          </w:tcPr>
          <w:p>
            <w:pPr>
              <w:spacing w:after="0" w:line="155" w:lineRule="exact"/>
              <w:rPr>
                <w:sz w:val="20"/>
                <w:szCs w:val="20"/>
                <w:color w:val="auto"/>
              </w:rPr>
            </w:pPr>
            <w:r>
              <w:rPr>
                <w:rFonts w:ascii="Arial" w:cs="Arial" w:eastAsia="Arial" w:hAnsi="Arial"/>
                <w:sz w:val="14"/>
                <w:szCs w:val="14"/>
                <w:b w:val="1"/>
                <w:bCs w:val="1"/>
                <w:color w:val="auto"/>
              </w:rPr>
              <w:t>Expenses:</w:t>
            </w:r>
          </w:p>
        </w:tc>
        <w:tc>
          <w:tcPr>
            <w:tcW w:w="1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76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Interest and expenses on PSSL Credit Facility</w:t>
            </w:r>
          </w:p>
        </w:tc>
        <w:tc>
          <w:tcPr>
            <w:tcW w:w="100" w:type="dxa"/>
            <w:vAlign w:val="bottom"/>
            <w:shd w:val="clear" w:color="auto" w:fill="CCECFF"/>
          </w:tcPr>
          <w:p>
            <w:pPr>
              <w:spacing w:after="0"/>
              <w:rPr>
                <w:sz w:val="14"/>
                <w:szCs w:val="14"/>
                <w:color w:val="auto"/>
              </w:rPr>
            </w:pPr>
          </w:p>
        </w:tc>
        <w:tc>
          <w:tcPr>
            <w:tcW w:w="15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2,321,809</w:t>
            </w:r>
          </w:p>
        </w:tc>
        <w:tc>
          <w:tcPr>
            <w:tcW w:w="30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3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4,279,645</w:t>
            </w:r>
          </w:p>
        </w:tc>
        <w:tc>
          <w:tcPr>
            <w:tcW w:w="100" w:type="dxa"/>
            <w:vAlign w:val="bottom"/>
            <w:shd w:val="clear" w:color="auto" w:fill="CCECFF"/>
          </w:tcPr>
          <w:p>
            <w:pPr>
              <w:spacing w:after="0"/>
              <w:rPr>
                <w:sz w:val="14"/>
                <w:szCs w:val="14"/>
                <w:color w:val="auto"/>
              </w:rPr>
            </w:pPr>
          </w:p>
        </w:tc>
      </w:tr>
      <w:tr>
        <w:trPr>
          <w:trHeight w:val="162"/>
        </w:trPr>
        <w:tc>
          <w:tcPr>
            <w:tcW w:w="7620" w:type="dxa"/>
            <w:vAlign w:val="bottom"/>
          </w:tcPr>
          <w:p>
            <w:pPr>
              <w:ind w:left="260"/>
              <w:spacing w:after="0"/>
              <w:rPr>
                <w:sz w:val="20"/>
                <w:szCs w:val="20"/>
                <w:color w:val="auto"/>
              </w:rPr>
            </w:pPr>
            <w:r>
              <w:rPr>
                <w:rFonts w:ascii="Arial" w:cs="Arial" w:eastAsia="Arial" w:hAnsi="Arial"/>
                <w:sz w:val="14"/>
                <w:szCs w:val="14"/>
                <w:color w:val="auto"/>
              </w:rPr>
              <w:t>Interest expense on notes to members</w:t>
            </w:r>
          </w:p>
        </w:tc>
        <w:tc>
          <w:tcPr>
            <w:tcW w:w="10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1,772,798</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3,411,498</w:t>
            </w:r>
          </w:p>
        </w:tc>
        <w:tc>
          <w:tcPr>
            <w:tcW w:w="100" w:type="dxa"/>
            <w:vAlign w:val="bottom"/>
          </w:tcPr>
          <w:p>
            <w:pPr>
              <w:spacing w:after="0"/>
              <w:rPr>
                <w:sz w:val="14"/>
                <w:szCs w:val="14"/>
                <w:color w:val="auto"/>
              </w:rPr>
            </w:pPr>
          </w:p>
        </w:tc>
      </w:tr>
      <w:tr>
        <w:trPr>
          <w:trHeight w:val="162"/>
        </w:trPr>
        <w:tc>
          <w:tcPr>
            <w:tcW w:w="76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Administrative services expenses</w:t>
            </w:r>
          </w:p>
        </w:tc>
        <w:tc>
          <w:tcPr>
            <w:tcW w:w="100" w:type="dxa"/>
            <w:vAlign w:val="bottom"/>
            <w:shd w:val="clear" w:color="auto" w:fill="CCECFF"/>
          </w:tcPr>
          <w:p>
            <w:pPr>
              <w:spacing w:after="0"/>
              <w:rPr>
                <w:sz w:val="14"/>
                <w:szCs w:val="14"/>
                <w:color w:val="auto"/>
              </w:rPr>
            </w:pPr>
          </w:p>
        </w:tc>
        <w:tc>
          <w:tcPr>
            <w:tcW w:w="15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250,000</w:t>
            </w:r>
          </w:p>
        </w:tc>
        <w:tc>
          <w:tcPr>
            <w:tcW w:w="30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3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400,000</w:t>
            </w:r>
          </w:p>
        </w:tc>
        <w:tc>
          <w:tcPr>
            <w:tcW w:w="100" w:type="dxa"/>
            <w:vAlign w:val="bottom"/>
            <w:shd w:val="clear" w:color="auto" w:fill="CCECFF"/>
          </w:tcPr>
          <w:p>
            <w:pPr>
              <w:spacing w:after="0"/>
              <w:rPr>
                <w:sz w:val="14"/>
                <w:szCs w:val="14"/>
                <w:color w:val="auto"/>
              </w:rPr>
            </w:pPr>
          </w:p>
        </w:tc>
      </w:tr>
      <w:tr>
        <w:trPr>
          <w:trHeight w:val="162"/>
        </w:trPr>
        <w:tc>
          <w:tcPr>
            <w:tcW w:w="7620" w:type="dxa"/>
            <w:vAlign w:val="bottom"/>
            <w:tcBorders>
              <w:bottom w:val="single" w:sz="8" w:color="CCECFF"/>
            </w:tcBorders>
          </w:tcPr>
          <w:p>
            <w:pPr>
              <w:ind w:left="260"/>
              <w:spacing w:after="0"/>
              <w:rPr>
                <w:sz w:val="20"/>
                <w:szCs w:val="20"/>
                <w:color w:val="auto"/>
              </w:rPr>
            </w:pPr>
            <w:r>
              <w:rPr>
                <w:rFonts w:ascii="Arial" w:cs="Arial" w:eastAsia="Arial" w:hAnsi="Arial"/>
                <w:sz w:val="14"/>
                <w:szCs w:val="14"/>
                <w:color w:val="auto"/>
              </w:rPr>
              <w:t xml:space="preserve">Other general and administrative expenses </w:t>
            </w:r>
            <w:r>
              <w:rPr>
                <w:rFonts w:ascii="Arial" w:cs="Arial" w:eastAsia="Arial" w:hAnsi="Arial"/>
                <w:sz w:val="12"/>
                <w:szCs w:val="12"/>
                <w:color w:val="auto"/>
              </w:rPr>
              <w:t>(1)</w:t>
            </w:r>
          </w:p>
        </w:tc>
        <w:tc>
          <w:tcPr>
            <w:tcW w:w="1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113,650</w:t>
            </w:r>
          </w:p>
        </w:tc>
        <w:tc>
          <w:tcPr>
            <w:tcW w:w="300" w:type="dxa"/>
            <w:vAlign w:val="bottom"/>
            <w:tcBorders>
              <w:bottom w:val="single" w:sz="8" w:color="CCEC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579,086</w:t>
            </w:r>
          </w:p>
        </w:tc>
        <w:tc>
          <w:tcPr>
            <w:tcW w:w="100" w:type="dxa"/>
            <w:vAlign w:val="bottom"/>
            <w:tcBorders>
              <w:bottom w:val="single" w:sz="8" w:color="CCECFF"/>
            </w:tcBorders>
          </w:tcPr>
          <w:p>
            <w:pPr>
              <w:spacing w:after="0"/>
              <w:rPr>
                <w:sz w:val="14"/>
                <w:szCs w:val="14"/>
                <w:color w:val="auto"/>
              </w:rPr>
            </w:pPr>
          </w:p>
        </w:tc>
      </w:tr>
      <w:tr>
        <w:trPr>
          <w:trHeight w:val="155"/>
        </w:trPr>
        <w:tc>
          <w:tcPr>
            <w:tcW w:w="7620" w:type="dxa"/>
            <w:vAlign w:val="bottom"/>
            <w:shd w:val="clear" w:color="auto" w:fill="CCECFF"/>
          </w:tcPr>
          <w:p>
            <w:pPr>
              <w:ind w:left="260"/>
              <w:spacing w:after="0" w:line="155" w:lineRule="exact"/>
              <w:rPr>
                <w:sz w:val="20"/>
                <w:szCs w:val="20"/>
                <w:color w:val="auto"/>
              </w:rPr>
            </w:pPr>
            <w:r>
              <w:rPr>
                <w:rFonts w:ascii="Arial" w:cs="Arial" w:eastAsia="Arial" w:hAnsi="Arial"/>
                <w:sz w:val="14"/>
                <w:szCs w:val="14"/>
                <w:b w:val="1"/>
                <w:bCs w:val="1"/>
                <w:color w:val="auto"/>
              </w:rPr>
              <w:t>Total expenses</w:t>
            </w:r>
          </w:p>
        </w:tc>
        <w:tc>
          <w:tcPr>
            <w:tcW w:w="100" w:type="dxa"/>
            <w:vAlign w:val="bottom"/>
            <w:tcBorders>
              <w:bottom w:val="single" w:sz="8" w:color="auto"/>
            </w:tcBorders>
            <w:shd w:val="clear" w:color="auto" w:fill="CCECFF"/>
          </w:tcPr>
          <w:p>
            <w:pPr>
              <w:spacing w:after="0"/>
              <w:rPr>
                <w:sz w:val="13"/>
                <w:szCs w:val="13"/>
                <w:color w:val="auto"/>
              </w:rPr>
            </w:pPr>
          </w:p>
        </w:tc>
        <w:tc>
          <w:tcPr>
            <w:tcW w:w="15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4,458,257</w:t>
            </w:r>
          </w:p>
        </w:tc>
        <w:tc>
          <w:tcPr>
            <w:tcW w:w="300" w:type="dxa"/>
            <w:vAlign w:val="bottom"/>
            <w:shd w:val="clear" w:color="auto" w:fill="CCECFF"/>
          </w:tcPr>
          <w:p>
            <w:pPr>
              <w:spacing w:after="0"/>
              <w:rPr>
                <w:sz w:val="13"/>
                <w:szCs w:val="13"/>
                <w:color w:val="auto"/>
              </w:rPr>
            </w:pPr>
          </w:p>
        </w:tc>
        <w:tc>
          <w:tcPr>
            <w:tcW w:w="300" w:type="dxa"/>
            <w:vAlign w:val="bottom"/>
            <w:tcBorders>
              <w:bottom w:val="single" w:sz="8" w:color="auto"/>
            </w:tcBorders>
            <w:shd w:val="clear" w:color="auto" w:fill="CCECFF"/>
          </w:tcPr>
          <w:p>
            <w:pPr>
              <w:spacing w:after="0"/>
              <w:rPr>
                <w:sz w:val="13"/>
                <w:szCs w:val="13"/>
                <w:color w:val="auto"/>
              </w:rPr>
            </w:pPr>
          </w:p>
        </w:tc>
        <w:tc>
          <w:tcPr>
            <w:tcW w:w="13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8,670,229</w:t>
            </w:r>
          </w:p>
        </w:tc>
        <w:tc>
          <w:tcPr>
            <w:tcW w:w="100" w:type="dxa"/>
            <w:vAlign w:val="bottom"/>
            <w:shd w:val="clear" w:color="auto" w:fill="CCECFF"/>
          </w:tcPr>
          <w:p>
            <w:pPr>
              <w:spacing w:after="0"/>
              <w:rPr>
                <w:sz w:val="13"/>
                <w:szCs w:val="13"/>
                <w:color w:val="auto"/>
              </w:rPr>
            </w:pPr>
          </w:p>
        </w:tc>
      </w:tr>
      <w:tr>
        <w:trPr>
          <w:trHeight w:val="155"/>
        </w:trPr>
        <w:tc>
          <w:tcPr>
            <w:tcW w:w="762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Net investment income</w:t>
            </w:r>
          </w:p>
        </w:tc>
        <w:tc>
          <w:tcPr>
            <w:tcW w:w="10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829,917</w:t>
            </w:r>
          </w:p>
        </w:tc>
        <w:tc>
          <w:tcPr>
            <w:tcW w:w="300" w:type="dxa"/>
            <w:vAlign w:val="bottom"/>
            <w:tcBorders>
              <w:bottom w:val="single" w:sz="8" w:color="CCEC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1,727,306</w:t>
            </w:r>
          </w:p>
        </w:tc>
        <w:tc>
          <w:tcPr>
            <w:tcW w:w="100" w:type="dxa"/>
            <w:vAlign w:val="bottom"/>
            <w:tcBorders>
              <w:bottom w:val="single" w:sz="8" w:color="CCECFF"/>
            </w:tcBorders>
          </w:tcPr>
          <w:p>
            <w:pPr>
              <w:spacing w:after="0"/>
              <w:rPr>
                <w:sz w:val="13"/>
                <w:szCs w:val="13"/>
                <w:color w:val="auto"/>
              </w:rPr>
            </w:pPr>
          </w:p>
        </w:tc>
      </w:tr>
      <w:tr>
        <w:trPr>
          <w:trHeight w:val="156"/>
        </w:trPr>
        <w:tc>
          <w:tcPr>
            <w:tcW w:w="762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Realized and unrealized gain on investments and credit facility foreign currency translations</w:t>
            </w:r>
          </w:p>
        </w:tc>
        <w:tc>
          <w:tcPr>
            <w:tcW w:w="100" w:type="dxa"/>
            <w:vAlign w:val="bottom"/>
            <w:shd w:val="clear" w:color="auto" w:fill="CCECFF"/>
          </w:tcPr>
          <w:p>
            <w:pPr>
              <w:spacing w:after="0"/>
              <w:rPr>
                <w:sz w:val="13"/>
                <w:szCs w:val="13"/>
                <w:color w:val="auto"/>
              </w:rPr>
            </w:pPr>
          </w:p>
        </w:tc>
        <w:tc>
          <w:tcPr>
            <w:tcW w:w="150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300" w:type="dxa"/>
            <w:vAlign w:val="bottom"/>
            <w:shd w:val="clear" w:color="auto" w:fill="CCECFF"/>
          </w:tcPr>
          <w:p>
            <w:pPr>
              <w:spacing w:after="0"/>
              <w:rPr>
                <w:sz w:val="13"/>
                <w:szCs w:val="13"/>
                <w:color w:val="auto"/>
              </w:rPr>
            </w:pPr>
          </w:p>
        </w:tc>
        <w:tc>
          <w:tcPr>
            <w:tcW w:w="13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r>
      <w:tr>
        <w:trPr>
          <w:trHeight w:val="162"/>
        </w:trPr>
        <w:tc>
          <w:tcPr>
            <w:tcW w:w="7620" w:type="dxa"/>
            <w:vAlign w:val="bottom"/>
          </w:tcPr>
          <w:p>
            <w:pPr>
              <w:spacing w:after="0"/>
              <w:rPr>
                <w:sz w:val="20"/>
                <w:szCs w:val="20"/>
                <w:color w:val="auto"/>
              </w:rPr>
            </w:pPr>
            <w:r>
              <w:rPr>
                <w:rFonts w:ascii="Arial" w:cs="Arial" w:eastAsia="Arial" w:hAnsi="Arial"/>
                <w:sz w:val="14"/>
                <w:szCs w:val="14"/>
                <w:color w:val="auto"/>
              </w:rPr>
              <w:t>Net realized gain on investments</w:t>
            </w:r>
          </w:p>
        </w:tc>
        <w:tc>
          <w:tcPr>
            <w:tcW w:w="100" w:type="dxa"/>
            <w:vAlign w:val="bottom"/>
          </w:tcPr>
          <w:p>
            <w:pPr>
              <w:spacing w:after="0"/>
              <w:rPr>
                <w:sz w:val="14"/>
                <w:szCs w:val="1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63,395</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79,341</w:t>
            </w:r>
          </w:p>
        </w:tc>
        <w:tc>
          <w:tcPr>
            <w:tcW w:w="100" w:type="dxa"/>
            <w:vAlign w:val="bottom"/>
          </w:tcPr>
          <w:p>
            <w:pPr>
              <w:spacing w:after="0"/>
              <w:rPr>
                <w:sz w:val="14"/>
                <w:szCs w:val="14"/>
                <w:color w:val="auto"/>
              </w:rPr>
            </w:pPr>
          </w:p>
        </w:tc>
      </w:tr>
      <w:tr>
        <w:trPr>
          <w:trHeight w:val="162"/>
        </w:trPr>
        <w:tc>
          <w:tcPr>
            <w:tcW w:w="7620" w:type="dxa"/>
            <w:vAlign w:val="bottom"/>
            <w:shd w:val="clear" w:color="auto" w:fill="CCECFF"/>
          </w:tcPr>
          <w:p>
            <w:pPr>
              <w:spacing w:after="0"/>
              <w:rPr>
                <w:sz w:val="20"/>
                <w:szCs w:val="20"/>
                <w:color w:val="auto"/>
              </w:rPr>
            </w:pPr>
            <w:r>
              <w:rPr>
                <w:rFonts w:ascii="Arial" w:cs="Arial" w:eastAsia="Arial" w:hAnsi="Arial"/>
                <w:sz w:val="14"/>
                <w:szCs w:val="14"/>
                <w:color w:val="auto"/>
              </w:rPr>
              <w:t>Net change in unrealized (depreciation) appreciation on:</w:t>
            </w:r>
          </w:p>
        </w:tc>
        <w:tc>
          <w:tcPr>
            <w:tcW w:w="100" w:type="dxa"/>
            <w:vAlign w:val="bottom"/>
            <w:shd w:val="clear" w:color="auto" w:fill="CCECFF"/>
          </w:tcPr>
          <w:p>
            <w:pPr>
              <w:spacing w:after="0"/>
              <w:rPr>
                <w:sz w:val="14"/>
                <w:szCs w:val="14"/>
                <w:color w:val="auto"/>
              </w:rPr>
            </w:pPr>
          </w:p>
        </w:tc>
        <w:tc>
          <w:tcPr>
            <w:tcW w:w="150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3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r>
      <w:tr>
        <w:trPr>
          <w:trHeight w:val="162"/>
        </w:trPr>
        <w:tc>
          <w:tcPr>
            <w:tcW w:w="7620" w:type="dxa"/>
            <w:vAlign w:val="bottom"/>
          </w:tcPr>
          <w:p>
            <w:pPr>
              <w:ind w:left="260"/>
              <w:spacing w:after="0"/>
              <w:rPr>
                <w:sz w:val="20"/>
                <w:szCs w:val="20"/>
                <w:color w:val="auto"/>
              </w:rPr>
            </w:pPr>
            <w:r>
              <w:rPr>
                <w:rFonts w:ascii="Arial" w:cs="Arial" w:eastAsia="Arial" w:hAnsi="Arial"/>
                <w:sz w:val="14"/>
                <w:szCs w:val="14"/>
                <w:color w:val="auto"/>
              </w:rPr>
              <w:t>Non-controlled, non-affiliated investments</w:t>
            </w:r>
          </w:p>
        </w:tc>
        <w:tc>
          <w:tcPr>
            <w:tcW w:w="100" w:type="dxa"/>
            <w:vAlign w:val="bottom"/>
          </w:tcPr>
          <w:p>
            <w:pPr>
              <w:spacing w:after="0"/>
              <w:rPr>
                <w:sz w:val="14"/>
                <w:szCs w:val="14"/>
                <w:color w:val="auto"/>
              </w:rPr>
            </w:pPr>
          </w:p>
        </w:tc>
        <w:tc>
          <w:tcPr>
            <w:tcW w:w="1800" w:type="dxa"/>
            <w:vAlign w:val="bottom"/>
            <w:gridSpan w:val="2"/>
          </w:tcPr>
          <w:p>
            <w:pPr>
              <w:jc w:val="right"/>
              <w:ind w:right="240"/>
              <w:spacing w:after="0"/>
              <w:rPr>
                <w:sz w:val="20"/>
                <w:szCs w:val="20"/>
                <w:color w:val="auto"/>
              </w:rPr>
            </w:pPr>
            <w:r>
              <w:rPr>
                <w:rFonts w:ascii="Arial" w:cs="Arial" w:eastAsia="Arial" w:hAnsi="Arial"/>
                <w:sz w:val="14"/>
                <w:szCs w:val="14"/>
                <w:color w:val="auto"/>
              </w:rPr>
              <w:t>(1,072,357)</w:t>
            </w:r>
          </w:p>
        </w:tc>
        <w:tc>
          <w:tcPr>
            <w:tcW w:w="300" w:type="dxa"/>
            <w:vAlign w:val="bottom"/>
          </w:tcPr>
          <w:p>
            <w:pPr>
              <w:spacing w:after="0"/>
              <w:rPr>
                <w:sz w:val="14"/>
                <w:szCs w:val="14"/>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4"/>
                <w:szCs w:val="14"/>
                <w:color w:val="auto"/>
              </w:rPr>
              <w:t>(72,655)</w:t>
            </w:r>
          </w:p>
        </w:tc>
      </w:tr>
      <w:tr>
        <w:trPr>
          <w:trHeight w:val="162"/>
        </w:trPr>
        <w:tc>
          <w:tcPr>
            <w:tcW w:w="76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Credit facility foreign currency translations</w:t>
            </w:r>
          </w:p>
        </w:tc>
        <w:tc>
          <w:tcPr>
            <w:tcW w:w="100" w:type="dxa"/>
            <w:vAlign w:val="bottom"/>
            <w:tcBorders>
              <w:bottom w:val="single" w:sz="8" w:color="auto"/>
            </w:tcBorders>
            <w:shd w:val="clear" w:color="auto" w:fill="CCECFF"/>
          </w:tcPr>
          <w:p>
            <w:pPr>
              <w:spacing w:after="0"/>
              <w:rPr>
                <w:sz w:val="14"/>
                <w:szCs w:val="14"/>
                <w:color w:val="auto"/>
              </w:rPr>
            </w:pPr>
          </w:p>
        </w:tc>
        <w:tc>
          <w:tcPr>
            <w:tcW w:w="15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1,187,765</w:t>
            </w:r>
          </w:p>
        </w:tc>
        <w:tc>
          <w:tcPr>
            <w:tcW w:w="300" w:type="dxa"/>
            <w:vAlign w:val="bottom"/>
            <w:shd w:val="clear" w:color="auto" w:fill="CCECFF"/>
          </w:tcPr>
          <w:p>
            <w:pPr>
              <w:spacing w:after="0"/>
              <w:rPr>
                <w:sz w:val="14"/>
                <w:szCs w:val="14"/>
                <w:color w:val="auto"/>
              </w:rPr>
            </w:pPr>
          </w:p>
        </w:tc>
        <w:tc>
          <w:tcPr>
            <w:tcW w:w="300" w:type="dxa"/>
            <w:vAlign w:val="bottom"/>
            <w:tcBorders>
              <w:bottom w:val="single" w:sz="8" w:color="auto"/>
            </w:tcBorders>
            <w:shd w:val="clear" w:color="auto" w:fill="CCECFF"/>
          </w:tcPr>
          <w:p>
            <w:pPr>
              <w:spacing w:after="0"/>
              <w:rPr>
                <w:sz w:val="14"/>
                <w:szCs w:val="14"/>
                <w:color w:val="auto"/>
              </w:rPr>
            </w:pPr>
          </w:p>
        </w:tc>
        <w:tc>
          <w:tcPr>
            <w:tcW w:w="13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936,097</w:t>
            </w:r>
          </w:p>
        </w:tc>
        <w:tc>
          <w:tcPr>
            <w:tcW w:w="100" w:type="dxa"/>
            <w:vAlign w:val="bottom"/>
            <w:shd w:val="clear" w:color="auto" w:fill="CCECFF"/>
          </w:tcPr>
          <w:p>
            <w:pPr>
              <w:spacing w:after="0"/>
              <w:rPr>
                <w:sz w:val="14"/>
                <w:szCs w:val="14"/>
                <w:color w:val="auto"/>
              </w:rPr>
            </w:pPr>
          </w:p>
        </w:tc>
      </w:tr>
      <w:tr>
        <w:trPr>
          <w:trHeight w:val="155"/>
        </w:trPr>
        <w:tc>
          <w:tcPr>
            <w:tcW w:w="762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w w:val="95"/>
              </w:rPr>
              <w:t>Net change in unrealized (depreciation) appreciation on investments and credit facility foreign currency translations</w:t>
            </w:r>
          </w:p>
        </w:tc>
        <w:tc>
          <w:tcPr>
            <w:tcW w:w="10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115,408</w:t>
            </w:r>
          </w:p>
        </w:tc>
        <w:tc>
          <w:tcPr>
            <w:tcW w:w="300" w:type="dxa"/>
            <w:vAlign w:val="bottom"/>
            <w:tcBorders>
              <w:bottom w:val="single" w:sz="8" w:color="CCEC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863,442</w:t>
            </w:r>
          </w:p>
        </w:tc>
        <w:tc>
          <w:tcPr>
            <w:tcW w:w="100" w:type="dxa"/>
            <w:vAlign w:val="bottom"/>
            <w:tcBorders>
              <w:bottom w:val="single" w:sz="8" w:color="CCECFF"/>
            </w:tcBorders>
          </w:tcPr>
          <w:p>
            <w:pPr>
              <w:spacing w:after="0"/>
              <w:rPr>
                <w:sz w:val="13"/>
                <w:szCs w:val="13"/>
                <w:color w:val="auto"/>
              </w:rPr>
            </w:pPr>
          </w:p>
        </w:tc>
      </w:tr>
      <w:tr>
        <w:trPr>
          <w:trHeight w:val="155"/>
        </w:trPr>
        <w:tc>
          <w:tcPr>
            <w:tcW w:w="762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Net realized and unrealized gain from investments and credit facility foreign currency translations</w:t>
            </w:r>
          </w:p>
        </w:tc>
        <w:tc>
          <w:tcPr>
            <w:tcW w:w="100" w:type="dxa"/>
            <w:vAlign w:val="bottom"/>
            <w:tcBorders>
              <w:bottom w:val="single" w:sz="8" w:color="auto"/>
            </w:tcBorders>
            <w:shd w:val="clear" w:color="auto" w:fill="CCECFF"/>
          </w:tcPr>
          <w:p>
            <w:pPr>
              <w:spacing w:after="0"/>
              <w:rPr>
                <w:sz w:val="13"/>
                <w:szCs w:val="13"/>
                <w:color w:val="auto"/>
              </w:rPr>
            </w:pPr>
          </w:p>
        </w:tc>
        <w:tc>
          <w:tcPr>
            <w:tcW w:w="15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178,803</w:t>
            </w:r>
          </w:p>
        </w:tc>
        <w:tc>
          <w:tcPr>
            <w:tcW w:w="300" w:type="dxa"/>
            <w:vAlign w:val="bottom"/>
            <w:shd w:val="clear" w:color="auto" w:fill="CCECFF"/>
          </w:tcPr>
          <w:p>
            <w:pPr>
              <w:spacing w:after="0"/>
              <w:rPr>
                <w:sz w:val="13"/>
                <w:szCs w:val="13"/>
                <w:color w:val="auto"/>
              </w:rPr>
            </w:pPr>
          </w:p>
        </w:tc>
        <w:tc>
          <w:tcPr>
            <w:tcW w:w="300" w:type="dxa"/>
            <w:vAlign w:val="bottom"/>
            <w:tcBorders>
              <w:bottom w:val="single" w:sz="8" w:color="auto"/>
            </w:tcBorders>
            <w:shd w:val="clear" w:color="auto" w:fill="CCECFF"/>
          </w:tcPr>
          <w:p>
            <w:pPr>
              <w:spacing w:after="0"/>
              <w:rPr>
                <w:sz w:val="13"/>
                <w:szCs w:val="13"/>
                <w:color w:val="auto"/>
              </w:rPr>
            </w:pPr>
          </w:p>
        </w:tc>
        <w:tc>
          <w:tcPr>
            <w:tcW w:w="13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942,783</w:t>
            </w:r>
          </w:p>
        </w:tc>
        <w:tc>
          <w:tcPr>
            <w:tcW w:w="100" w:type="dxa"/>
            <w:vAlign w:val="bottom"/>
            <w:shd w:val="clear" w:color="auto" w:fill="CCECFF"/>
          </w:tcPr>
          <w:p>
            <w:pPr>
              <w:spacing w:after="0"/>
              <w:rPr>
                <w:sz w:val="13"/>
                <w:szCs w:val="13"/>
                <w:color w:val="auto"/>
              </w:rPr>
            </w:pPr>
          </w:p>
        </w:tc>
      </w:tr>
      <w:tr>
        <w:trPr>
          <w:trHeight w:val="155"/>
        </w:trPr>
        <w:tc>
          <w:tcPr>
            <w:tcW w:w="7620" w:type="dxa"/>
            <w:vAlign w:val="bottom"/>
          </w:tcPr>
          <w:p>
            <w:pPr>
              <w:spacing w:after="0" w:line="155" w:lineRule="exact"/>
              <w:rPr>
                <w:sz w:val="20"/>
                <w:szCs w:val="20"/>
                <w:color w:val="auto"/>
              </w:rPr>
            </w:pPr>
            <w:r>
              <w:rPr>
                <w:rFonts w:ascii="Arial" w:cs="Arial" w:eastAsia="Arial" w:hAnsi="Arial"/>
                <w:sz w:val="14"/>
                <w:szCs w:val="14"/>
                <w:b w:val="1"/>
                <w:bCs w:val="1"/>
                <w:color w:val="auto"/>
              </w:rPr>
              <w:t>Net increase in members' equity resulting from operations</w:t>
            </w:r>
          </w:p>
        </w:tc>
        <w:tc>
          <w:tcPr>
            <w:tcW w:w="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1,008,720</w:t>
            </w:r>
          </w:p>
        </w:tc>
        <w:tc>
          <w:tcPr>
            <w:tcW w:w="300" w:type="dxa"/>
            <w:vAlign w:val="bottom"/>
          </w:tcPr>
          <w:p>
            <w:pPr>
              <w:spacing w:after="0"/>
              <w:rPr>
                <w:sz w:val="13"/>
                <w:szCs w:val="13"/>
                <w:color w:val="auto"/>
              </w:rPr>
            </w:pPr>
          </w:p>
        </w:tc>
        <w:tc>
          <w:tcPr>
            <w:tcW w:w="3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2,670,089</w:t>
            </w:r>
          </w:p>
        </w:tc>
        <w:tc>
          <w:tcPr>
            <w:tcW w:w="100" w:type="dxa"/>
            <w:vAlign w:val="bottom"/>
          </w:tcPr>
          <w:p>
            <w:pPr>
              <w:spacing w:after="0"/>
              <w:rPr>
                <w:sz w:val="13"/>
                <w:szCs w:val="13"/>
                <w:color w:val="auto"/>
              </w:rPr>
            </w:pPr>
          </w:p>
        </w:tc>
      </w:tr>
      <w:tr>
        <w:trPr>
          <w:trHeight w:val="20"/>
        </w:trPr>
        <w:tc>
          <w:tcPr>
            <w:tcW w:w="7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7" w:lineRule="exact"/>
        <w:rPr>
          <w:sz w:val="20"/>
          <w:szCs w:val="20"/>
          <w:color w:val="auto"/>
        </w:rPr>
      </w:pPr>
    </w:p>
    <w:p>
      <w:pPr>
        <w:ind w:left="380" w:hanging="372"/>
        <w:spacing w:after="0"/>
        <w:tabs>
          <w:tab w:leader="none" w:pos="380" w:val="left"/>
        </w:tabs>
        <w:numPr>
          <w:ilvl w:val="0"/>
          <w:numId w:val="26"/>
        </w:numPr>
        <w:rPr>
          <w:rFonts w:ascii="Arial" w:cs="Arial" w:eastAsia="Arial" w:hAnsi="Arial"/>
          <w:sz w:val="12"/>
          <w:szCs w:val="12"/>
          <w:color w:val="auto"/>
        </w:rPr>
      </w:pPr>
      <w:r>
        <w:rPr>
          <w:rFonts w:ascii="Arial" w:cs="Arial" w:eastAsia="Arial" w:hAnsi="Arial"/>
          <w:sz w:val="14"/>
          <w:szCs w:val="14"/>
          <w:color w:val="auto"/>
        </w:rPr>
        <w:t>Currently, no management or incentive fees are payable by PSSL. If any fees were to be charged, they would be separately disclosed on the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134556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3455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38" w:name="page39"/>
    <w:bookmarkEnd w:id="38"/>
    <w:p>
      <w:pPr>
        <w:spacing w:after="0"/>
        <w:rPr>
          <w:sz w:val="20"/>
          <w:szCs w:val="20"/>
          <w:color w:val="auto"/>
        </w:rPr>
      </w:pPr>
      <w:r>
        <w:rPr>
          <w:rFonts w:ascii="Arial" w:cs="Arial" w:eastAsia="Arial" w:hAnsi="Arial"/>
          <w:sz w:val="14"/>
          <w:szCs w:val="14"/>
          <w:b w:val="1"/>
          <w:bCs w:val="1"/>
          <w:i w:val="1"/>
          <w:iCs w:val="1"/>
          <w:color w:val="auto"/>
        </w:rPr>
        <w:t>Contractual Obligations</w:t>
      </w:r>
    </w:p>
    <w:p>
      <w:pPr>
        <w:spacing w:after="0" w:line="136" w:lineRule="exact"/>
        <w:rPr>
          <w:sz w:val="20"/>
          <w:szCs w:val="20"/>
          <w:color w:val="auto"/>
        </w:rPr>
      </w:pPr>
    </w:p>
    <w:p>
      <w:pPr>
        <w:ind w:right="60" w:firstLine="438"/>
        <w:spacing w:after="0" w:line="253" w:lineRule="auto"/>
        <w:rPr>
          <w:sz w:val="20"/>
          <w:szCs w:val="20"/>
          <w:color w:val="auto"/>
        </w:rPr>
      </w:pPr>
      <w:r>
        <w:rPr>
          <w:rFonts w:ascii="Arial" w:cs="Arial" w:eastAsia="Arial" w:hAnsi="Arial"/>
          <w:sz w:val="14"/>
          <w:szCs w:val="14"/>
          <w:color w:val="auto"/>
        </w:rPr>
        <w:t>A summary of our significant contractual payment obligations at cost as of June 30, 2018, including borrowings under our Credit Facility, 2023 Notes and other contractual obligations, is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6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Payments due by period (millions)</w:t>
            </w:r>
          </w:p>
        </w:tc>
        <w:tc>
          <w:tcPr>
            <w:tcW w:w="9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860" w:type="dxa"/>
            <w:vAlign w:val="bottom"/>
          </w:tcPr>
          <w:p>
            <w:pPr>
              <w:spacing w:after="0"/>
              <w:rPr>
                <w:sz w:val="11"/>
                <w:szCs w:val="11"/>
                <w:color w:val="auto"/>
              </w:rPr>
            </w:pPr>
          </w:p>
        </w:tc>
        <w:tc>
          <w:tcPr>
            <w:tcW w:w="8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Total</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jc w:val="right"/>
              <w:ind w:right="8"/>
              <w:spacing w:after="0" w:line="133" w:lineRule="exact"/>
              <w:rPr>
                <w:sz w:val="20"/>
                <w:szCs w:val="20"/>
                <w:color w:val="auto"/>
              </w:rPr>
            </w:pPr>
            <w:r>
              <w:rPr>
                <w:rFonts w:ascii="Arial" w:cs="Arial" w:eastAsia="Arial" w:hAnsi="Arial"/>
                <w:sz w:val="14"/>
                <w:szCs w:val="14"/>
                <w:b w:val="1"/>
                <w:bCs w:val="1"/>
                <w:color w:val="auto"/>
              </w:rPr>
              <w:t>Less than</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jc w:val="center"/>
              <w:ind w:right="208"/>
              <w:spacing w:after="0" w:line="133" w:lineRule="exact"/>
              <w:rPr>
                <w:sz w:val="20"/>
                <w:szCs w:val="20"/>
                <w:color w:val="auto"/>
              </w:rPr>
            </w:pPr>
            <w:r>
              <w:rPr>
                <w:rFonts w:ascii="Arial" w:cs="Arial" w:eastAsia="Arial" w:hAnsi="Arial"/>
                <w:sz w:val="14"/>
                <w:szCs w:val="14"/>
                <w:b w:val="1"/>
                <w:bCs w:val="1"/>
                <w:color w:val="auto"/>
                <w:w w:val="88"/>
              </w:rPr>
              <w:t>1-3</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tcPr>
          <w:p>
            <w:pPr>
              <w:jc w:val="right"/>
              <w:ind w:right="468"/>
              <w:spacing w:after="0" w:line="133" w:lineRule="exact"/>
              <w:rPr>
                <w:sz w:val="20"/>
                <w:szCs w:val="20"/>
                <w:color w:val="auto"/>
              </w:rPr>
            </w:pPr>
            <w:r>
              <w:rPr>
                <w:rFonts w:ascii="Arial" w:cs="Arial" w:eastAsia="Arial" w:hAnsi="Arial"/>
                <w:sz w:val="14"/>
                <w:szCs w:val="14"/>
                <w:b w:val="1"/>
                <w:bCs w:val="1"/>
                <w:color w:val="auto"/>
              </w:rPr>
              <w:t>3-5</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jc w:val="center"/>
              <w:ind w:right="148"/>
              <w:spacing w:after="0" w:line="133" w:lineRule="exact"/>
              <w:rPr>
                <w:sz w:val="20"/>
                <w:szCs w:val="20"/>
                <w:color w:val="auto"/>
              </w:rPr>
            </w:pPr>
            <w:r>
              <w:rPr>
                <w:rFonts w:ascii="Arial" w:cs="Arial" w:eastAsia="Arial" w:hAnsi="Arial"/>
                <w:sz w:val="14"/>
                <w:szCs w:val="14"/>
                <w:b w:val="1"/>
                <w:bCs w:val="1"/>
                <w:color w:val="auto"/>
                <w:w w:val="98"/>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8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b w:val="1"/>
                <w:bCs w:val="1"/>
                <w:color w:val="auto"/>
              </w:rPr>
              <w:t>1 year</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center"/>
              <w:ind w:right="208"/>
              <w:spacing w:after="0"/>
              <w:rPr>
                <w:sz w:val="20"/>
                <w:szCs w:val="20"/>
                <w:color w:val="auto"/>
              </w:rPr>
            </w:pPr>
            <w:r>
              <w:rPr>
                <w:rFonts w:ascii="Arial" w:cs="Arial" w:eastAsia="Arial" w:hAnsi="Arial"/>
                <w:sz w:val="14"/>
                <w:szCs w:val="14"/>
                <w:b w:val="1"/>
                <w:bCs w:val="1"/>
                <w:color w:val="auto"/>
                <w:w w:val="92"/>
              </w:rPr>
              <w:t>years</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years</w:t>
            </w:r>
          </w:p>
        </w:tc>
        <w:tc>
          <w:tcPr>
            <w:tcW w:w="20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5 years</w:t>
            </w:r>
          </w:p>
        </w:tc>
        <w:tc>
          <w:tcPr>
            <w:tcW w:w="0" w:type="dxa"/>
            <w:vAlign w:val="bottom"/>
          </w:tcPr>
          <w:p>
            <w:pPr>
              <w:spacing w:after="0"/>
              <w:rPr>
                <w:sz w:val="1"/>
                <w:szCs w:val="1"/>
                <w:color w:val="auto"/>
              </w:rPr>
            </w:pPr>
          </w:p>
        </w:tc>
      </w:tr>
      <w:tr>
        <w:trPr>
          <w:trHeight w:val="155"/>
        </w:trPr>
        <w:tc>
          <w:tcPr>
            <w:tcW w:w="386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Credit Facility</w:t>
            </w:r>
          </w:p>
        </w:tc>
        <w:tc>
          <w:tcPr>
            <w:tcW w:w="860" w:type="dxa"/>
            <w:vAlign w:val="bottom"/>
            <w:tcBorders>
              <w:top w:val="single" w:sz="8" w:color="auto"/>
            </w:tcBorders>
            <w:shd w:val="clear" w:color="auto" w:fill="CCECFF"/>
          </w:tcPr>
          <w:p>
            <w:pPr>
              <w:jc w:val="right"/>
              <w:ind w:right="708"/>
              <w:spacing w:after="0" w:line="155" w:lineRule="exact"/>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255.9</w:t>
            </w:r>
          </w:p>
        </w:tc>
        <w:tc>
          <w:tcPr>
            <w:tcW w:w="240" w:type="dxa"/>
            <w:vAlign w:val="bottom"/>
            <w:tcBorders>
              <w:top w:val="single" w:sz="8" w:color="CCECFF"/>
            </w:tcBorders>
            <w:shd w:val="clear" w:color="auto" w:fill="CCECFF"/>
          </w:tcPr>
          <w:p>
            <w:pPr>
              <w:spacing w:after="0"/>
              <w:rPr>
                <w:sz w:val="13"/>
                <w:szCs w:val="13"/>
                <w:color w:val="auto"/>
              </w:rPr>
            </w:pPr>
          </w:p>
        </w:tc>
        <w:tc>
          <w:tcPr>
            <w:tcW w:w="1000" w:type="dxa"/>
            <w:vAlign w:val="bottom"/>
            <w:tcBorders>
              <w:top w:val="single" w:sz="8" w:color="auto"/>
            </w:tcBorders>
            <w:shd w:val="clear" w:color="auto" w:fill="CCECFF"/>
          </w:tcPr>
          <w:p>
            <w:pPr>
              <w:jc w:val="right"/>
              <w:ind w:right="848"/>
              <w:spacing w:after="0" w:line="155" w:lineRule="exact"/>
              <w:rPr>
                <w:sz w:val="20"/>
                <w:szCs w:val="20"/>
                <w:color w:val="auto"/>
              </w:rPr>
            </w:pPr>
            <w:r>
              <w:rPr>
                <w:rFonts w:ascii="Arial" w:cs="Arial" w:eastAsia="Arial" w:hAnsi="Arial"/>
                <w:sz w:val="14"/>
                <w:szCs w:val="14"/>
                <w:color w:val="auto"/>
                <w:w w:val="76"/>
              </w:rPr>
              <w:t>$</w:t>
            </w:r>
          </w:p>
        </w:tc>
        <w:tc>
          <w:tcPr>
            <w:tcW w:w="2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CFF"/>
            </w:tcBorders>
            <w:shd w:val="clear" w:color="auto" w:fill="CCECFF"/>
          </w:tcPr>
          <w:p>
            <w:pPr>
              <w:spacing w:after="0"/>
              <w:rPr>
                <w:sz w:val="13"/>
                <w:szCs w:val="13"/>
                <w:color w:val="auto"/>
              </w:rPr>
            </w:pPr>
          </w:p>
        </w:tc>
        <w:tc>
          <w:tcPr>
            <w:tcW w:w="320" w:type="dxa"/>
            <w:vAlign w:val="bottom"/>
            <w:tcBorders>
              <w:top w:val="single" w:sz="8" w:color="auto"/>
            </w:tcBorders>
            <w:shd w:val="clear" w:color="auto" w:fill="CCECFF"/>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255.9</w:t>
            </w:r>
          </w:p>
        </w:tc>
        <w:tc>
          <w:tcPr>
            <w:tcW w:w="24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60" w:type="dxa"/>
            <w:vAlign w:val="bottom"/>
          </w:tcPr>
          <w:p>
            <w:pPr>
              <w:spacing w:after="0"/>
              <w:rPr>
                <w:sz w:val="20"/>
                <w:szCs w:val="20"/>
                <w:color w:val="auto"/>
              </w:rPr>
            </w:pPr>
            <w:r>
              <w:rPr>
                <w:rFonts w:ascii="Arial" w:cs="Arial" w:eastAsia="Arial" w:hAnsi="Arial"/>
                <w:sz w:val="14"/>
                <w:szCs w:val="14"/>
                <w:color w:val="auto"/>
              </w:rPr>
              <w:t>2023 Notes</w:t>
            </w:r>
          </w:p>
        </w:tc>
        <w:tc>
          <w:tcPr>
            <w:tcW w:w="8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134.9</w:t>
            </w: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134.9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86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 xml:space="preserve">Total debt outstanding </w:t>
            </w:r>
            <w:r>
              <w:rPr>
                <w:rFonts w:ascii="Arial" w:cs="Arial" w:eastAsia="Arial" w:hAnsi="Arial"/>
                <w:sz w:val="12"/>
                <w:szCs w:val="12"/>
                <w:color w:val="auto"/>
              </w:rPr>
              <w:t>(1)</w:t>
            </w:r>
          </w:p>
        </w:tc>
        <w:tc>
          <w:tcPr>
            <w:tcW w:w="860" w:type="dxa"/>
            <w:vAlign w:val="bottom"/>
            <w:tcBorders>
              <w:top w:val="single" w:sz="8" w:color="auto"/>
            </w:tcBorders>
            <w:shd w:val="clear" w:color="auto" w:fill="CCECFF"/>
          </w:tcPr>
          <w:p>
            <w:pPr>
              <w:jc w:val="right"/>
              <w:ind w:right="708"/>
              <w:spacing w:after="0" w:line="155" w:lineRule="exact"/>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390.8</w:t>
            </w:r>
          </w:p>
        </w:tc>
        <w:tc>
          <w:tcPr>
            <w:tcW w:w="240" w:type="dxa"/>
            <w:vAlign w:val="bottom"/>
            <w:tcBorders>
              <w:top w:val="single" w:sz="8" w:color="CCECFF"/>
            </w:tcBorders>
            <w:shd w:val="clear" w:color="auto" w:fill="CCECFF"/>
          </w:tcPr>
          <w:p>
            <w:pPr>
              <w:spacing w:after="0"/>
              <w:rPr>
                <w:sz w:val="13"/>
                <w:szCs w:val="13"/>
                <w:color w:val="auto"/>
              </w:rPr>
            </w:pPr>
          </w:p>
        </w:tc>
        <w:tc>
          <w:tcPr>
            <w:tcW w:w="1000" w:type="dxa"/>
            <w:vAlign w:val="bottom"/>
            <w:tcBorders>
              <w:top w:val="single" w:sz="8" w:color="auto"/>
            </w:tcBorders>
            <w:shd w:val="clear" w:color="auto" w:fill="CCECFF"/>
          </w:tcPr>
          <w:p>
            <w:pPr>
              <w:jc w:val="right"/>
              <w:ind w:right="848"/>
              <w:spacing w:after="0" w:line="155" w:lineRule="exact"/>
              <w:rPr>
                <w:sz w:val="20"/>
                <w:szCs w:val="20"/>
                <w:color w:val="auto"/>
              </w:rPr>
            </w:pPr>
            <w:r>
              <w:rPr>
                <w:rFonts w:ascii="Arial" w:cs="Arial" w:eastAsia="Arial" w:hAnsi="Arial"/>
                <w:sz w:val="14"/>
                <w:szCs w:val="14"/>
                <w:color w:val="auto"/>
                <w:w w:val="76"/>
              </w:rPr>
              <w:t>$</w:t>
            </w:r>
          </w:p>
        </w:tc>
        <w:tc>
          <w:tcPr>
            <w:tcW w:w="2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CFF"/>
            </w:tcBorders>
            <w:shd w:val="clear" w:color="auto" w:fill="CCECFF"/>
          </w:tcPr>
          <w:p>
            <w:pPr>
              <w:spacing w:after="0"/>
              <w:rPr>
                <w:sz w:val="13"/>
                <w:szCs w:val="13"/>
                <w:color w:val="auto"/>
              </w:rPr>
            </w:pPr>
          </w:p>
        </w:tc>
        <w:tc>
          <w:tcPr>
            <w:tcW w:w="320" w:type="dxa"/>
            <w:vAlign w:val="bottom"/>
            <w:tcBorders>
              <w:top w:val="single" w:sz="8" w:color="auto"/>
            </w:tcBorders>
            <w:shd w:val="clear" w:color="auto" w:fill="CCECFF"/>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255.9</w:t>
            </w:r>
          </w:p>
        </w:tc>
        <w:tc>
          <w:tcPr>
            <w:tcW w:w="24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134.9</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60" w:type="dxa"/>
            <w:vAlign w:val="bottom"/>
          </w:tcPr>
          <w:p>
            <w:pPr>
              <w:spacing w:after="0"/>
              <w:rPr>
                <w:sz w:val="20"/>
                <w:szCs w:val="20"/>
                <w:color w:val="auto"/>
              </w:rPr>
            </w:pPr>
            <w:r>
              <w:rPr>
                <w:rFonts w:ascii="Arial" w:cs="Arial" w:eastAsia="Arial" w:hAnsi="Arial"/>
                <w:sz w:val="14"/>
                <w:szCs w:val="14"/>
                <w:color w:val="auto"/>
              </w:rPr>
              <w:t>Unfunded commitments to PSSL</w:t>
            </w:r>
          </w:p>
        </w:tc>
        <w:tc>
          <w:tcPr>
            <w:tcW w:w="8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65.6</w:t>
            </w: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65.6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6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Unfunded investments </w:t>
            </w:r>
            <w:r>
              <w:rPr>
                <w:rFonts w:ascii="Arial" w:cs="Arial" w:eastAsia="Arial" w:hAnsi="Arial"/>
                <w:sz w:val="12"/>
                <w:szCs w:val="12"/>
                <w:color w:val="auto"/>
              </w:rPr>
              <w:t>(2)</w:t>
            </w:r>
          </w:p>
        </w:tc>
        <w:tc>
          <w:tcPr>
            <w:tcW w:w="860" w:type="dxa"/>
            <w:vAlign w:val="bottom"/>
            <w:tcBorders>
              <w:bottom w:val="single" w:sz="8" w:color="auto"/>
            </w:tcBorders>
            <w:shd w:val="clear" w:color="auto" w:fill="CCECFF"/>
          </w:tcPr>
          <w:p>
            <w:pPr>
              <w:spacing w:after="0"/>
              <w:rPr>
                <w:sz w:val="14"/>
                <w:szCs w:val="14"/>
                <w:color w:val="auto"/>
              </w:rPr>
            </w:pPr>
          </w:p>
        </w:tc>
        <w:tc>
          <w:tcPr>
            <w:tcW w:w="4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60.0</w:t>
            </w:r>
          </w:p>
        </w:tc>
        <w:tc>
          <w:tcPr>
            <w:tcW w:w="240" w:type="dxa"/>
            <w:vAlign w:val="bottom"/>
            <w:shd w:val="clear" w:color="auto" w:fill="CCECFF"/>
          </w:tcPr>
          <w:p>
            <w:pPr>
              <w:spacing w:after="0"/>
              <w:rPr>
                <w:sz w:val="14"/>
                <w:szCs w:val="14"/>
                <w:color w:val="auto"/>
              </w:rPr>
            </w:pPr>
          </w:p>
        </w:tc>
        <w:tc>
          <w:tcPr>
            <w:tcW w:w="1000" w:type="dxa"/>
            <w:vAlign w:val="bottom"/>
            <w:tcBorders>
              <w:bottom w:val="single" w:sz="8" w:color="auto"/>
            </w:tcBorders>
            <w:shd w:val="clear" w:color="auto" w:fill="CCECFF"/>
          </w:tcPr>
          <w:p>
            <w:pPr>
              <w:spacing w:after="0"/>
              <w:rPr>
                <w:sz w:val="14"/>
                <w:szCs w:val="14"/>
                <w:color w:val="auto"/>
              </w:rPr>
            </w:pPr>
          </w:p>
        </w:tc>
        <w:tc>
          <w:tcPr>
            <w:tcW w:w="2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0.3</w:t>
            </w:r>
          </w:p>
        </w:tc>
        <w:tc>
          <w:tcPr>
            <w:tcW w:w="240" w:type="dxa"/>
            <w:vAlign w:val="bottom"/>
            <w:shd w:val="clear" w:color="auto" w:fill="CCECFF"/>
          </w:tcPr>
          <w:p>
            <w:pPr>
              <w:spacing w:after="0"/>
              <w:rPr>
                <w:sz w:val="14"/>
                <w:szCs w:val="14"/>
                <w:color w:val="auto"/>
              </w:rPr>
            </w:pPr>
          </w:p>
        </w:tc>
        <w:tc>
          <w:tcPr>
            <w:tcW w:w="280" w:type="dxa"/>
            <w:vAlign w:val="bottom"/>
            <w:tcBorders>
              <w:bottom w:val="single" w:sz="8" w:color="auto"/>
            </w:tcBorders>
            <w:shd w:val="clear" w:color="auto" w:fill="CCECFF"/>
          </w:tcPr>
          <w:p>
            <w:pPr>
              <w:spacing w:after="0"/>
              <w:rPr>
                <w:sz w:val="14"/>
                <w:szCs w:val="14"/>
                <w:color w:val="auto"/>
              </w:rPr>
            </w:pPr>
          </w:p>
        </w:tc>
        <w:tc>
          <w:tcPr>
            <w:tcW w:w="9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2.6</w:t>
            </w:r>
          </w:p>
        </w:tc>
        <w:tc>
          <w:tcPr>
            <w:tcW w:w="240" w:type="dxa"/>
            <w:vAlign w:val="bottom"/>
            <w:shd w:val="clear" w:color="auto" w:fill="CCECFF"/>
          </w:tcPr>
          <w:p>
            <w:pPr>
              <w:spacing w:after="0"/>
              <w:rPr>
                <w:sz w:val="14"/>
                <w:szCs w:val="14"/>
                <w:color w:val="auto"/>
              </w:rPr>
            </w:pPr>
          </w:p>
        </w:tc>
        <w:tc>
          <w:tcPr>
            <w:tcW w:w="320" w:type="dxa"/>
            <w:vAlign w:val="bottom"/>
            <w:tcBorders>
              <w:bottom w:val="single" w:sz="8" w:color="auto"/>
            </w:tcBorders>
            <w:shd w:val="clear" w:color="auto" w:fill="CCECFF"/>
          </w:tcPr>
          <w:p>
            <w:pPr>
              <w:spacing w:after="0"/>
              <w:rPr>
                <w:sz w:val="14"/>
                <w:szCs w:val="14"/>
                <w:color w:val="auto"/>
              </w:rPr>
            </w:pPr>
          </w:p>
        </w:tc>
        <w:tc>
          <w:tcPr>
            <w:tcW w:w="9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44.3</w:t>
            </w:r>
          </w:p>
        </w:tc>
        <w:tc>
          <w:tcPr>
            <w:tcW w:w="240" w:type="dxa"/>
            <w:vAlign w:val="bottom"/>
            <w:shd w:val="clear" w:color="auto" w:fill="CCECFF"/>
          </w:tcPr>
          <w:p>
            <w:pPr>
              <w:spacing w:after="0"/>
              <w:rPr>
                <w:sz w:val="14"/>
                <w:szCs w:val="14"/>
                <w:color w:val="auto"/>
              </w:rPr>
            </w:pPr>
          </w:p>
        </w:tc>
        <w:tc>
          <w:tcPr>
            <w:tcW w:w="200" w:type="dxa"/>
            <w:vAlign w:val="bottom"/>
            <w:tcBorders>
              <w:bottom w:val="single" w:sz="8" w:color="auto"/>
            </w:tcBorders>
            <w:shd w:val="clear" w:color="auto" w:fill="CCECFF"/>
          </w:tcPr>
          <w:p>
            <w:pPr>
              <w:spacing w:after="0"/>
              <w:rPr>
                <w:sz w:val="14"/>
                <w:szCs w:val="14"/>
                <w:color w:val="auto"/>
              </w:rPr>
            </w:pPr>
          </w:p>
        </w:tc>
        <w:tc>
          <w:tcPr>
            <w:tcW w:w="10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12.8</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860" w:type="dxa"/>
            <w:vAlign w:val="bottom"/>
          </w:tcPr>
          <w:p>
            <w:pPr>
              <w:spacing w:after="0" w:line="155" w:lineRule="exact"/>
              <w:rPr>
                <w:sz w:val="20"/>
                <w:szCs w:val="20"/>
                <w:color w:val="auto"/>
              </w:rPr>
            </w:pPr>
            <w:r>
              <w:rPr>
                <w:rFonts w:ascii="Arial" w:cs="Arial" w:eastAsia="Arial" w:hAnsi="Arial"/>
                <w:sz w:val="14"/>
                <w:szCs w:val="14"/>
                <w:color w:val="auto"/>
              </w:rPr>
              <w:t>Total contractual obligations</w:t>
            </w:r>
          </w:p>
        </w:tc>
        <w:tc>
          <w:tcPr>
            <w:tcW w:w="860" w:type="dxa"/>
            <w:vAlign w:val="bottom"/>
            <w:tcBorders>
              <w:bottom w:val="single" w:sz="8" w:color="auto"/>
            </w:tcBorders>
          </w:tcPr>
          <w:p>
            <w:pPr>
              <w:jc w:val="right"/>
              <w:ind w:right="708"/>
              <w:spacing w:after="0" w:line="155" w:lineRule="exact"/>
              <w:rPr>
                <w:sz w:val="20"/>
                <w:szCs w:val="20"/>
                <w:color w:val="auto"/>
              </w:rPr>
            </w:pPr>
            <w:r>
              <w:rPr>
                <w:rFonts w:ascii="Arial" w:cs="Arial" w:eastAsia="Arial" w:hAnsi="Arial"/>
                <w:sz w:val="14"/>
                <w:szCs w:val="14"/>
                <w:color w:val="auto"/>
                <w:w w:val="76"/>
              </w:rPr>
              <w:t>$</w:t>
            </w:r>
          </w:p>
        </w:tc>
        <w:tc>
          <w:tcPr>
            <w:tcW w:w="4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516.4</w:t>
            </w:r>
          </w:p>
        </w:tc>
        <w:tc>
          <w:tcPr>
            <w:tcW w:w="240" w:type="dxa"/>
            <w:vAlign w:val="bottom"/>
          </w:tcPr>
          <w:p>
            <w:pPr>
              <w:spacing w:after="0"/>
              <w:rPr>
                <w:sz w:val="13"/>
                <w:szCs w:val="13"/>
                <w:color w:val="auto"/>
              </w:rPr>
            </w:pPr>
          </w:p>
        </w:tc>
        <w:tc>
          <w:tcPr>
            <w:tcW w:w="1000" w:type="dxa"/>
            <w:vAlign w:val="bottom"/>
            <w:tcBorders>
              <w:bottom w:val="single" w:sz="8" w:color="auto"/>
            </w:tcBorders>
          </w:tcPr>
          <w:p>
            <w:pPr>
              <w:jc w:val="right"/>
              <w:ind w:right="848"/>
              <w:spacing w:after="0" w:line="155" w:lineRule="exact"/>
              <w:rPr>
                <w:sz w:val="20"/>
                <w:szCs w:val="20"/>
                <w:color w:val="auto"/>
              </w:rPr>
            </w:pPr>
            <w:r>
              <w:rPr>
                <w:rFonts w:ascii="Arial" w:cs="Arial" w:eastAsia="Arial" w:hAnsi="Arial"/>
                <w:sz w:val="14"/>
                <w:szCs w:val="14"/>
                <w:color w:val="auto"/>
                <w:w w:val="76"/>
              </w:rPr>
              <w:t>$</w:t>
            </w:r>
          </w:p>
        </w:tc>
        <w:tc>
          <w:tcPr>
            <w:tcW w:w="2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0.3</w:t>
            </w:r>
          </w:p>
        </w:tc>
        <w:tc>
          <w:tcPr>
            <w:tcW w:w="240" w:type="dxa"/>
            <w:vAlign w:val="bottom"/>
          </w:tcPr>
          <w:p>
            <w:pPr>
              <w:spacing w:after="0"/>
              <w:rPr>
                <w:sz w:val="13"/>
                <w:szCs w:val="13"/>
                <w:color w:val="auto"/>
              </w:rPr>
            </w:pPr>
          </w:p>
        </w:tc>
        <w:tc>
          <w:tcPr>
            <w:tcW w:w="28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2.6</w:t>
            </w:r>
          </w:p>
        </w:tc>
        <w:tc>
          <w:tcPr>
            <w:tcW w:w="240" w:type="dxa"/>
            <w:vAlign w:val="bottom"/>
          </w:tcPr>
          <w:p>
            <w:pPr>
              <w:spacing w:after="0"/>
              <w:rPr>
                <w:sz w:val="13"/>
                <w:szCs w:val="13"/>
                <w:color w:val="auto"/>
              </w:rPr>
            </w:pPr>
          </w:p>
        </w:tc>
        <w:tc>
          <w:tcPr>
            <w:tcW w:w="320" w:type="dxa"/>
            <w:vAlign w:val="bottom"/>
            <w:tcBorders>
              <w:bottom w:val="single" w:sz="8" w:color="auto"/>
            </w:tcBorders>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300.2</w:t>
            </w:r>
          </w:p>
        </w:tc>
        <w:tc>
          <w:tcPr>
            <w:tcW w:w="240" w:type="dxa"/>
            <w:vAlign w:val="bottom"/>
          </w:tcPr>
          <w:p>
            <w:pPr>
              <w:spacing w:after="0"/>
              <w:rPr>
                <w:sz w:val="13"/>
                <w:szCs w:val="13"/>
                <w:color w:val="auto"/>
              </w:rPr>
            </w:pPr>
          </w:p>
        </w:tc>
        <w:tc>
          <w:tcPr>
            <w:tcW w:w="2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213.3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60" w:type="dxa"/>
            <w:vAlign w:val="bottom"/>
            <w:vMerge w:val="restart"/>
          </w:tcPr>
          <w:p>
            <w:pPr>
              <w:spacing w:after="0"/>
              <w:rPr>
                <w:sz w:val="20"/>
                <w:szCs w:val="20"/>
                <w:color w:val="auto"/>
              </w:rPr>
            </w:pPr>
            <w:r>
              <w:rPr>
                <w:rFonts w:ascii="Arial" w:cs="Arial" w:eastAsia="Arial" w:hAnsi="Arial"/>
                <w:sz w:val="14"/>
                <w:szCs w:val="14"/>
                <w:color w:val="auto"/>
              </w:rPr>
              <w:t>___________________________________</w:t>
            </w: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38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380" w:right="80" w:hanging="372"/>
        <w:spacing w:after="0" w:line="221" w:lineRule="auto"/>
        <w:tabs>
          <w:tab w:leader="none" w:pos="380" w:val="left"/>
        </w:tabs>
        <w:numPr>
          <w:ilvl w:val="0"/>
          <w:numId w:val="27"/>
        </w:numPr>
        <w:rPr>
          <w:rFonts w:ascii="Arial" w:cs="Arial" w:eastAsia="Arial" w:hAnsi="Arial"/>
          <w:sz w:val="12"/>
          <w:szCs w:val="12"/>
          <w:color w:val="auto"/>
        </w:rPr>
      </w:pPr>
      <w:r>
        <w:rPr>
          <w:rFonts w:ascii="Arial" w:cs="Arial" w:eastAsia="Arial" w:hAnsi="Arial"/>
          <w:sz w:val="14"/>
          <w:szCs w:val="14"/>
          <w:color w:val="auto"/>
        </w:rPr>
        <w:t>The annualized weighted average cost of debt as of June 30, 2018, excluding amendment costs and debt issuance costs, was 3.95% exclusive of the fee on the undrawn commitment on the Credit Facility.</w:t>
      </w:r>
    </w:p>
    <w:p>
      <w:pPr>
        <w:ind w:left="380" w:hanging="372"/>
        <w:spacing w:after="0"/>
        <w:tabs>
          <w:tab w:leader="none" w:pos="380" w:val="left"/>
        </w:tabs>
        <w:numPr>
          <w:ilvl w:val="0"/>
          <w:numId w:val="27"/>
        </w:numPr>
        <w:rPr>
          <w:rFonts w:ascii="Arial" w:cs="Arial" w:eastAsia="Arial" w:hAnsi="Arial"/>
          <w:sz w:val="12"/>
          <w:szCs w:val="12"/>
          <w:color w:val="auto"/>
        </w:rPr>
      </w:pPr>
      <w:r>
        <w:rPr>
          <w:rFonts w:ascii="Arial" w:cs="Arial" w:eastAsia="Arial" w:hAnsi="Arial"/>
          <w:sz w:val="14"/>
          <w:szCs w:val="14"/>
          <w:color w:val="auto"/>
        </w:rPr>
        <w:t>Unfunded debt and equity investments are disclosed in the Consolidated Schedule of Investments and Note 11 of our Consolidated Financial Statements.</w:t>
      </w:r>
    </w:p>
    <w:p>
      <w:pPr>
        <w:spacing w:after="0" w:line="124" w:lineRule="exact"/>
        <w:rPr>
          <w:sz w:val="20"/>
          <w:szCs w:val="20"/>
          <w:color w:val="auto"/>
        </w:rPr>
      </w:pPr>
    </w:p>
    <w:p>
      <w:pPr>
        <w:ind w:right="40" w:firstLine="438"/>
        <w:spacing w:after="0" w:line="233" w:lineRule="auto"/>
        <w:rPr>
          <w:sz w:val="20"/>
          <w:szCs w:val="20"/>
          <w:color w:val="auto"/>
        </w:rPr>
      </w:pPr>
      <w:r>
        <w:rPr>
          <w:rFonts w:ascii="Arial" w:cs="Arial" w:eastAsia="Arial" w:hAnsi="Arial"/>
          <w:sz w:val="14"/>
          <w:szCs w:val="14"/>
          <w:color w:val="auto"/>
        </w:rPr>
        <w:t>We have entered into certain contracts under which we have material future commitments. Under our Investment Management Agreement, which was most recently reapproved by our board of directors, including a majority of our directors who are not interested persons of us or the Investment Adviser, in February 2018, PennantPark Investment Advisers serves as our investment adviser. Payments under our Investment Management Agreement in each reporting period are equal to (1) a management fee equal to a percentage of the value of our average adjusted gross assets and (2) an incentive fee based on our performance.</w:t>
      </w:r>
    </w:p>
    <w:p>
      <w:pPr>
        <w:spacing w:after="0" w:line="117" w:lineRule="exact"/>
        <w:rPr>
          <w:sz w:val="20"/>
          <w:szCs w:val="20"/>
          <w:color w:val="auto"/>
        </w:rPr>
      </w:pPr>
    </w:p>
    <w:p>
      <w:pPr>
        <w:ind w:right="20" w:firstLine="438"/>
        <w:spacing w:after="0" w:line="231" w:lineRule="auto"/>
        <w:rPr>
          <w:sz w:val="20"/>
          <w:szCs w:val="20"/>
          <w:color w:val="auto"/>
        </w:rPr>
      </w:pPr>
      <w:r>
        <w:rPr>
          <w:rFonts w:ascii="Arial" w:cs="Arial" w:eastAsia="Arial" w:hAnsi="Arial"/>
          <w:sz w:val="14"/>
          <w:szCs w:val="14"/>
          <w:color w:val="auto"/>
        </w:rPr>
        <w:t>Under our Administration Agreement, which was most recently reapproved by our board of directors, including a majority of our directors who are not interested persons of us, in February 2018, the Administrator furnishes us with office facilities and administrative services necessary to conduct our day-to-day operations. If requested to provide significant managerial assistance to our portfolio companies, we or the Administrator will be paid an additional amount based on the services provided. Payment under our Administration Agreement is based upon our allocable portion of the Administrator’s overhead in performing its obligations under our Administration Agreement, including rent and our allocable portion of the costs of our Chief Compliance Officer, Chief Financial Officer and their respective staffs.</w:t>
      </w:r>
    </w:p>
    <w:p>
      <w:pPr>
        <w:spacing w:after="0" w:line="116" w:lineRule="exact"/>
        <w:rPr>
          <w:sz w:val="20"/>
          <w:szCs w:val="20"/>
          <w:color w:val="auto"/>
        </w:rPr>
      </w:pPr>
    </w:p>
    <w:p>
      <w:pPr>
        <w:ind w:right="80" w:firstLine="438"/>
        <w:spacing w:after="0" w:line="238" w:lineRule="auto"/>
        <w:rPr>
          <w:sz w:val="20"/>
          <w:szCs w:val="20"/>
          <w:color w:val="auto"/>
        </w:rPr>
      </w:pPr>
      <w:r>
        <w:rPr>
          <w:rFonts w:ascii="Arial" w:cs="Arial" w:eastAsia="Arial" w:hAnsi="Arial"/>
          <w:sz w:val="14"/>
          <w:szCs w:val="14"/>
          <w:color w:val="auto"/>
        </w:rPr>
        <w:t>If any of our contractual obligations discussed above are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Off-Balance Sheet Arrangements</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We currently engage in no off-balance sheet arrangements other than our funding requirements for the unfunded investments described above.</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Distributions</w:t>
      </w:r>
    </w:p>
    <w:p>
      <w:pPr>
        <w:spacing w:after="0" w:line="136" w:lineRule="exact"/>
        <w:rPr>
          <w:sz w:val="20"/>
          <w:szCs w:val="20"/>
          <w:color w:val="auto"/>
        </w:rPr>
      </w:pPr>
    </w:p>
    <w:p>
      <w:pPr>
        <w:ind w:right="100" w:firstLine="438"/>
        <w:spacing w:after="0" w:line="238" w:lineRule="auto"/>
        <w:rPr>
          <w:sz w:val="20"/>
          <w:szCs w:val="20"/>
          <w:color w:val="auto"/>
        </w:rPr>
      </w:pPr>
      <w:r>
        <w:rPr>
          <w:rFonts w:ascii="Arial" w:cs="Arial" w:eastAsia="Arial" w:hAnsi="Arial"/>
          <w:sz w:val="14"/>
          <w:szCs w:val="14"/>
          <w:color w:val="auto"/>
        </w:rPr>
        <w:t>In order to be treated as a RIC for federal income tax purposes and to not be subject to corporate-level tax on our undistributed income or gains, we are required, under Subchapter M of the Code, to annually distribute dividends for U.S. federal income tax purposes to our stockholders out of the assets legally available for distribution of an amount generally at least equal to 90% of our investment company taxable income, determined without regard to any deduction for dividends paid.</w:t>
      </w:r>
    </w:p>
    <w:p>
      <w:pPr>
        <w:spacing w:after="0" w:line="115" w:lineRule="exact"/>
        <w:rPr>
          <w:sz w:val="20"/>
          <w:szCs w:val="20"/>
          <w:color w:val="auto"/>
        </w:rPr>
      </w:pPr>
    </w:p>
    <w:p>
      <w:pPr>
        <w:ind w:right="40" w:firstLine="438"/>
        <w:spacing w:after="0" w:line="228" w:lineRule="auto"/>
        <w:rPr>
          <w:sz w:val="20"/>
          <w:szCs w:val="20"/>
          <w:color w:val="auto"/>
        </w:rPr>
      </w:pPr>
      <w:r>
        <w:rPr>
          <w:rFonts w:ascii="Arial" w:cs="Arial" w:eastAsia="Arial" w:hAnsi="Arial"/>
          <w:sz w:val="14"/>
          <w:szCs w:val="14"/>
          <w:color w:val="auto"/>
        </w:rPr>
        <w:t>Although not required for us to maintain our RIC tax status, in order to preclude the imposition of a 4% nondeductible federal excise tax imposed on RICs, we must distribute dividends for U.S. federal income tax purposes to our stockholders in respect of each calendar year of an amount at least equal to the sum of (1) 98% of our net ordinary income (subject to certain deferrals and elections) for the calendar year, (2) 98.2% of our capital gain net income (adjusted for certain ordinary losses) for the one-year period ending on October 31 of the calendar year plus (3) the sum of any net ordinary income plus capital gain net income for preceding years that was not distributed during such years and on which we did not incur any federal income tax.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subject to our ability to be taxed as a RIC, in order to provide us with additional liquidity.</w:t>
      </w:r>
    </w:p>
    <w:p>
      <w:pPr>
        <w:spacing w:after="0" w:line="117" w:lineRule="exact"/>
        <w:rPr>
          <w:sz w:val="20"/>
          <w:szCs w:val="20"/>
          <w:color w:val="auto"/>
        </w:rPr>
      </w:pPr>
    </w:p>
    <w:p>
      <w:pPr>
        <w:ind w:right="40" w:firstLine="438"/>
        <w:spacing w:after="0" w:line="251" w:lineRule="auto"/>
        <w:rPr>
          <w:sz w:val="20"/>
          <w:szCs w:val="20"/>
          <w:color w:val="auto"/>
        </w:rPr>
      </w:pPr>
      <w:r>
        <w:rPr>
          <w:rFonts w:ascii="Arial" w:cs="Arial" w:eastAsia="Arial" w:hAnsi="Arial"/>
          <w:sz w:val="13"/>
          <w:szCs w:val="13"/>
          <w:color w:val="auto"/>
        </w:rPr>
        <w:t>During the three and nine months ended June 30, 2018, we declared distributions of $0.285 and $0.855 per share, respectively, for total distributions of $11.1 million and $32.5 million, respectively. For the same periods in the prior year, we declared distributions of $0.285 and $0.855 per share, respectively, for total distributions of $7.6 million and $22.9 million, respectively. We monitor available net investment income to determine if a return of capital for tax purposes may occur for the fiscal year. To the extent our taxable earnings fall below the total amount of our distributions for any given fiscal year, stockholders will be notified of the portion of those distributions deemed to be a tax return of capital. Tax characteristics of all distributions will be reported to stockholders subject to information reporting on Form 1099-DIV after the end of each calendar year and in our periodic reports filed with the SEC.</w:t>
      </w:r>
    </w:p>
    <w:p>
      <w:pPr>
        <w:spacing w:after="0" w:line="109"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We intend to continue to make monthly distributions to our stockholders. Our monthly distributions, if any, are determined by our board of directors quarterly.</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3"/>
          <w:szCs w:val="13"/>
          <w:color w:val="auto"/>
        </w:rPr>
        <w:t>On November 22, 2017, we terminated our dividend reinvestment plan. The termination of the plan applies to the reinvestment of cash distributions paid on or after December 22, 2017.</w:t>
      </w:r>
    </w:p>
    <w:p>
      <w:pPr>
        <w:spacing w:after="0" w:line="148" w:lineRule="exact"/>
        <w:rPr>
          <w:sz w:val="20"/>
          <w:szCs w:val="20"/>
          <w:color w:val="auto"/>
        </w:rPr>
      </w:pPr>
    </w:p>
    <w:p>
      <w:pPr>
        <w:ind w:firstLine="438"/>
        <w:spacing w:after="0" w:line="233" w:lineRule="auto"/>
        <w:rPr>
          <w:sz w:val="20"/>
          <w:szCs w:val="20"/>
          <w:color w:val="auto"/>
        </w:rPr>
      </w:pPr>
      <w:r>
        <w:rPr>
          <w:rFonts w:ascii="Arial" w:cs="Arial" w:eastAsia="Arial" w:hAnsi="Arial"/>
          <w:sz w:val="14"/>
          <w:szCs w:val="14"/>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applicable to us as a BDC under the 1940 Act and due to provisions in future credit facilities. If we do not distribute at least a certain percentage of our income annually, we could suffer adverse tax consequences, including possible loss of our ability to be subject to tax as a RIC. We cannot assure stockholders that they will receive any distributions at a particular level.</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 Accounting Pronouncements</w:t>
      </w:r>
    </w:p>
    <w:p>
      <w:pPr>
        <w:spacing w:after="0" w:line="136" w:lineRule="exact"/>
        <w:rPr>
          <w:sz w:val="20"/>
          <w:szCs w:val="20"/>
          <w:color w:val="auto"/>
        </w:rPr>
      </w:pPr>
    </w:p>
    <w:p>
      <w:pPr>
        <w:ind w:right="200" w:firstLine="438"/>
        <w:spacing w:after="0" w:line="238" w:lineRule="auto"/>
        <w:rPr>
          <w:sz w:val="20"/>
          <w:szCs w:val="20"/>
          <w:color w:val="auto"/>
        </w:rPr>
      </w:pPr>
      <w:r>
        <w:rPr>
          <w:rFonts w:ascii="Arial" w:cs="Arial" w:eastAsia="Arial" w:hAnsi="Arial"/>
          <w:sz w:val="14"/>
          <w:szCs w:val="14"/>
          <w:color w:val="auto"/>
        </w:rPr>
        <w:t>In May 2014, the FASB issued guidance to establish a comprehensive and converged standard on revenue recognition to enable financial statement users to better understand and consistently analyze an entity’s revenue across industries, transactions, and geographies. An amended guidance defers the effective date of the new guidance to interim reporting periods within annual reporting periods beginning after December 15, 2017. Public business entities are permitted to apply this guidance early, but not</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39" w:name="page40"/>
    <w:bookmarkEnd w:id="39"/>
    <w:p>
      <w:pPr>
        <w:ind w:right="300"/>
        <w:spacing w:after="0" w:line="253" w:lineRule="auto"/>
        <w:rPr>
          <w:sz w:val="20"/>
          <w:szCs w:val="20"/>
          <w:color w:val="auto"/>
        </w:rPr>
      </w:pPr>
      <w:r>
        <w:rPr>
          <w:rFonts w:ascii="Arial" w:cs="Arial" w:eastAsia="Arial" w:hAnsi="Arial"/>
          <w:sz w:val="14"/>
          <w:szCs w:val="14"/>
          <w:color w:val="auto"/>
        </w:rPr>
        <w:t>before the original effective date (i.e., interim periods within annual periods beginning after December 15, 2016). The Company has evaluated this guidance and determined it will not have a material impact on its financial statements.</w:t>
      </w:r>
    </w:p>
    <w:p>
      <w:pPr>
        <w:spacing w:after="0" w:line="102" w:lineRule="exact"/>
        <w:rPr>
          <w:sz w:val="20"/>
          <w:szCs w:val="20"/>
          <w:color w:val="auto"/>
        </w:rPr>
      </w:pPr>
    </w:p>
    <w:p>
      <w:pPr>
        <w:spacing w:after="0"/>
        <w:tabs>
          <w:tab w:leader="none" w:pos="800" w:val="left"/>
        </w:tabs>
        <w:rPr>
          <w:sz w:val="20"/>
          <w:szCs w:val="20"/>
          <w:color w:val="auto"/>
        </w:rPr>
      </w:pPr>
      <w:r>
        <w:rPr>
          <w:rFonts w:ascii="Arial" w:cs="Arial" w:eastAsia="Arial" w:hAnsi="Arial"/>
          <w:sz w:val="14"/>
          <w:szCs w:val="14"/>
          <w:b w:val="1"/>
          <w:bCs w:val="1"/>
          <w:color w:val="auto"/>
        </w:rPr>
        <w:t>Item 3.</w:t>
      </w:r>
      <w:r>
        <w:rPr>
          <w:sz w:val="20"/>
          <w:szCs w:val="20"/>
          <w:color w:val="auto"/>
        </w:rPr>
        <w:tab/>
      </w:r>
      <w:r>
        <w:rPr>
          <w:rFonts w:ascii="Arial" w:cs="Arial" w:eastAsia="Arial" w:hAnsi="Arial"/>
          <w:sz w:val="13"/>
          <w:szCs w:val="13"/>
          <w:b w:val="1"/>
          <w:bCs w:val="1"/>
          <w:color w:val="auto"/>
        </w:rPr>
        <w:t>Quantitative And Qualitative Disclosures About Market Risk</w:t>
      </w:r>
    </w:p>
    <w:p>
      <w:pPr>
        <w:spacing w:after="0" w:line="140" w:lineRule="exact"/>
        <w:rPr>
          <w:sz w:val="20"/>
          <w:szCs w:val="20"/>
          <w:color w:val="auto"/>
        </w:rPr>
      </w:pPr>
    </w:p>
    <w:p>
      <w:pPr>
        <w:ind w:right="20" w:firstLine="394"/>
        <w:spacing w:after="0" w:line="231" w:lineRule="auto"/>
        <w:rPr>
          <w:sz w:val="20"/>
          <w:szCs w:val="20"/>
          <w:color w:val="auto"/>
        </w:rPr>
      </w:pPr>
      <w:r>
        <w:rPr>
          <w:rFonts w:ascii="Arial" w:cs="Arial" w:eastAsia="Arial" w:hAnsi="Arial"/>
          <w:sz w:val="14"/>
          <w:szCs w:val="14"/>
          <w:color w:val="auto"/>
        </w:rPr>
        <w:t>We are subject to financial market risks, including changes in interest rates. As of June 30, 2018, our debt portfolio consisted of 100% variable-rate investments. The variable-rate loans are usually based on a LIBOR rate and typically have durations of three months, after which they reset to current market interest rates. Variable-rate investments subject to a floor generally reset by reference to the current market index after one to nine months only if the index exceeds the floor. In regards to variable-rate instruments with a floor, we do not benefit from increases in interest rates until such rates exceed the floor and thereafter benefit from market rates above any such floor. In contrast, our cost of funds, to the extent it is not fixed, will fluctuate with changes in interest rates since it has no floor.</w:t>
      </w:r>
    </w:p>
    <w:p>
      <w:pPr>
        <w:spacing w:after="0" w:line="116" w:lineRule="exact"/>
        <w:rPr>
          <w:sz w:val="20"/>
          <w:szCs w:val="20"/>
          <w:color w:val="auto"/>
        </w:rPr>
      </w:pPr>
    </w:p>
    <w:p>
      <w:pPr>
        <w:ind w:right="560" w:firstLine="394"/>
        <w:spacing w:after="0" w:line="253" w:lineRule="auto"/>
        <w:rPr>
          <w:sz w:val="20"/>
          <w:szCs w:val="20"/>
          <w:color w:val="auto"/>
        </w:rPr>
      </w:pPr>
      <w:r>
        <w:rPr>
          <w:rFonts w:ascii="Arial" w:cs="Arial" w:eastAsia="Arial" w:hAnsi="Arial"/>
          <w:sz w:val="14"/>
          <w:szCs w:val="14"/>
          <w:color w:val="auto"/>
        </w:rPr>
        <w:t>Assuming that the most recent Consolidated Statements of Assets and Liabilities was to remain constant, and no actions were taken to alter the existing interest rate sensitivity, the following table shows the annualized impact of hypothetical base rate changes in interest rates: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3"/>
              </w:rPr>
              <w:t>Change In Interest Income,</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1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4"/>
              </w:rPr>
              <w:t>Change In Interest Income,</w:t>
            </w:r>
          </w:p>
        </w:tc>
        <w:tc>
          <w:tcPr>
            <w:tcW w:w="0" w:type="dxa"/>
            <w:vAlign w:val="bottom"/>
          </w:tcPr>
          <w:p>
            <w:pPr>
              <w:spacing w:after="0"/>
              <w:rPr>
                <w:sz w:val="1"/>
                <w:szCs w:val="1"/>
                <w:color w:val="auto"/>
              </w:rPr>
            </w:pPr>
          </w:p>
        </w:tc>
      </w:tr>
      <w:tr>
        <w:trPr>
          <w:trHeight w:val="149"/>
        </w:trPr>
        <w:tc>
          <w:tcPr>
            <w:tcW w:w="3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Change In Interest Rates</w:t>
            </w: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2"/>
              </w:rPr>
              <w:t>Net of Interest Expense</w:t>
            </w: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1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5"/>
              </w:rPr>
              <w:t>Net of Interest</w:t>
            </w:r>
          </w:p>
        </w:tc>
        <w:tc>
          <w:tcPr>
            <w:tcW w:w="0" w:type="dxa"/>
            <w:vAlign w:val="bottom"/>
          </w:tcPr>
          <w:p>
            <w:pPr>
              <w:spacing w:after="0"/>
              <w:rPr>
                <w:sz w:val="1"/>
                <w:szCs w:val="1"/>
                <w:color w:val="auto"/>
              </w:rPr>
            </w:pPr>
          </w:p>
        </w:tc>
      </w:tr>
      <w:tr>
        <w:trPr>
          <w:trHeight w:val="171"/>
        </w:trPr>
        <w:tc>
          <w:tcPr>
            <w:tcW w:w="36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1"/>
              </w:rPr>
              <w:t>(in thousands)</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1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9"/>
              </w:rPr>
              <w:t>Expense Per Share</w:t>
            </w:r>
          </w:p>
        </w:tc>
        <w:tc>
          <w:tcPr>
            <w:tcW w:w="0" w:type="dxa"/>
            <w:vAlign w:val="bottom"/>
          </w:tcPr>
          <w:p>
            <w:pPr>
              <w:spacing w:after="0"/>
              <w:rPr>
                <w:sz w:val="1"/>
                <w:szCs w:val="1"/>
                <w:color w:val="auto"/>
              </w:rPr>
            </w:pPr>
          </w:p>
        </w:tc>
      </w:tr>
      <w:tr>
        <w:trPr>
          <w:trHeight w:val="155"/>
        </w:trPr>
        <w:tc>
          <w:tcPr>
            <w:tcW w:w="36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6"/>
              </w:rPr>
              <w:t>Down 1%</w:t>
            </w:r>
          </w:p>
        </w:tc>
        <w:tc>
          <w:tcPr>
            <w:tcW w:w="220" w:type="dxa"/>
            <w:vAlign w:val="bottom"/>
            <w:tcBorders>
              <w:top w:val="single" w:sz="8" w:color="CCECFF"/>
            </w:tcBorders>
            <w:shd w:val="clear" w:color="auto" w:fill="CCECFF"/>
          </w:tcPr>
          <w:p>
            <w:pPr>
              <w:spacing w:after="0"/>
              <w:rPr>
                <w:sz w:val="13"/>
                <w:szCs w:val="13"/>
                <w:color w:val="auto"/>
              </w:rPr>
            </w:pPr>
          </w:p>
        </w:tc>
        <w:tc>
          <w:tcPr>
            <w:tcW w:w="480" w:type="dxa"/>
            <w:vAlign w:val="bottom"/>
            <w:tcBorders>
              <w:top w:val="single" w:sz="8" w:color="auto"/>
            </w:tcBorders>
            <w:shd w:val="clear" w:color="auto" w:fill="CCECFF"/>
          </w:tcPr>
          <w:p>
            <w:pPr>
              <w:jc w:val="right"/>
              <w:ind w:right="328"/>
              <w:spacing w:after="0" w:line="155" w:lineRule="exact"/>
              <w:rPr>
                <w:sz w:val="20"/>
                <w:szCs w:val="20"/>
                <w:color w:val="auto"/>
              </w:rPr>
            </w:pPr>
            <w:r>
              <w:rPr>
                <w:rFonts w:ascii="Arial" w:cs="Arial" w:eastAsia="Arial" w:hAnsi="Arial"/>
                <w:sz w:val="14"/>
                <w:szCs w:val="14"/>
                <w:color w:val="auto"/>
                <w:w w:val="76"/>
              </w:rPr>
              <w:t>$</w:t>
            </w:r>
          </w:p>
        </w:tc>
        <w:tc>
          <w:tcPr>
            <w:tcW w:w="30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(5,946)</w:t>
            </w:r>
          </w:p>
        </w:tc>
        <w:tc>
          <w:tcPr>
            <w:tcW w:w="20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CCECFF"/>
            </w:tcBorders>
            <w:shd w:val="clear" w:color="auto" w:fill="CCECFF"/>
          </w:tcPr>
          <w:p>
            <w:pPr>
              <w:spacing w:after="0"/>
              <w:rPr>
                <w:sz w:val="13"/>
                <w:szCs w:val="13"/>
                <w:color w:val="auto"/>
              </w:rPr>
            </w:pPr>
          </w:p>
        </w:tc>
        <w:tc>
          <w:tcPr>
            <w:tcW w:w="480" w:type="dxa"/>
            <w:vAlign w:val="bottom"/>
            <w:tcBorders>
              <w:top w:val="single" w:sz="8" w:color="auto"/>
            </w:tcBorders>
            <w:shd w:val="clear" w:color="auto" w:fill="CCECFF"/>
          </w:tcPr>
          <w:p>
            <w:pPr>
              <w:jc w:val="right"/>
              <w:ind w:right="369"/>
              <w:spacing w:after="0"/>
              <w:rPr>
                <w:sz w:val="20"/>
                <w:szCs w:val="20"/>
                <w:color w:val="auto"/>
              </w:rPr>
            </w:pPr>
            <w:r>
              <w:rPr>
                <w:rFonts w:ascii="Arial" w:cs="Arial" w:eastAsia="Arial" w:hAnsi="Arial"/>
                <w:sz w:val="10"/>
                <w:szCs w:val="10"/>
                <w:color w:val="auto"/>
                <w:w w:val="71"/>
              </w:rPr>
              <w:t>$</w:t>
            </w:r>
          </w:p>
        </w:tc>
        <w:tc>
          <w:tcPr>
            <w:tcW w:w="30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(0.15)</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600" w:type="dxa"/>
            <w:vAlign w:val="bottom"/>
          </w:tcPr>
          <w:p>
            <w:pPr>
              <w:jc w:val="center"/>
              <w:spacing w:after="0"/>
              <w:rPr>
                <w:sz w:val="20"/>
                <w:szCs w:val="20"/>
                <w:color w:val="auto"/>
              </w:rPr>
            </w:pPr>
            <w:r>
              <w:rPr>
                <w:rFonts w:ascii="Arial" w:cs="Arial" w:eastAsia="Arial" w:hAnsi="Arial"/>
                <w:sz w:val="14"/>
                <w:szCs w:val="14"/>
                <w:color w:val="auto"/>
                <w:w w:val="95"/>
              </w:rPr>
              <w:t>Up 1%</w:t>
            </w:r>
          </w:p>
        </w:tc>
        <w:tc>
          <w:tcPr>
            <w:tcW w:w="700" w:type="dxa"/>
            <w:vAlign w:val="bottom"/>
            <w:gridSpan w:val="2"/>
          </w:tcPr>
          <w:p>
            <w:pPr>
              <w:jc w:val="right"/>
              <w:ind w:right="328"/>
              <w:spacing w:after="0"/>
              <w:rPr>
                <w:sz w:val="20"/>
                <w:szCs w:val="20"/>
                <w:color w:val="auto"/>
              </w:rPr>
            </w:pPr>
            <w:r>
              <w:rPr>
                <w:rFonts w:ascii="Arial" w:cs="Arial" w:eastAsia="Arial" w:hAnsi="Arial"/>
                <w:sz w:val="14"/>
                <w:szCs w:val="14"/>
                <w:color w:val="auto"/>
              </w:rPr>
              <w:t>$</w:t>
            </w:r>
          </w:p>
        </w:tc>
        <w:tc>
          <w:tcPr>
            <w:tcW w:w="3000" w:type="dxa"/>
            <w:vAlign w:val="bottom"/>
          </w:tcPr>
          <w:p>
            <w:pPr>
              <w:jc w:val="right"/>
              <w:spacing w:after="0"/>
              <w:rPr>
                <w:sz w:val="20"/>
                <w:szCs w:val="20"/>
                <w:color w:val="auto"/>
              </w:rPr>
            </w:pPr>
            <w:r>
              <w:rPr>
                <w:rFonts w:ascii="Arial" w:cs="Arial" w:eastAsia="Arial" w:hAnsi="Arial"/>
                <w:sz w:val="14"/>
                <w:szCs w:val="14"/>
                <w:color w:val="auto"/>
              </w:rPr>
              <w:t>5,946</w:t>
            </w:r>
          </w:p>
        </w:tc>
        <w:tc>
          <w:tcPr>
            <w:tcW w:w="200" w:type="dxa"/>
            <w:vAlign w:val="bottom"/>
          </w:tcPr>
          <w:p>
            <w:pPr>
              <w:spacing w:after="0"/>
              <w:rPr>
                <w:sz w:val="14"/>
                <w:szCs w:val="14"/>
                <w:color w:val="auto"/>
              </w:rPr>
            </w:pPr>
          </w:p>
        </w:tc>
        <w:tc>
          <w:tcPr>
            <w:tcW w:w="620" w:type="dxa"/>
            <w:vAlign w:val="bottom"/>
            <w:gridSpan w:val="2"/>
          </w:tcPr>
          <w:p>
            <w:pPr>
              <w:jc w:val="right"/>
              <w:ind w:right="369"/>
              <w:spacing w:after="0"/>
              <w:rPr>
                <w:sz w:val="20"/>
                <w:szCs w:val="20"/>
                <w:color w:val="auto"/>
              </w:rPr>
            </w:pPr>
            <w:r>
              <w:rPr>
                <w:rFonts w:ascii="Arial" w:cs="Arial" w:eastAsia="Arial" w:hAnsi="Arial"/>
                <w:sz w:val="14"/>
                <w:szCs w:val="14"/>
                <w:color w:val="auto"/>
              </w:rPr>
              <w:t>$</w:t>
            </w:r>
          </w:p>
        </w:tc>
        <w:tc>
          <w:tcPr>
            <w:tcW w:w="3000" w:type="dxa"/>
            <w:vAlign w:val="bottom"/>
          </w:tcPr>
          <w:p>
            <w:pPr>
              <w:jc w:val="right"/>
              <w:spacing w:after="0"/>
              <w:rPr>
                <w:sz w:val="20"/>
                <w:szCs w:val="20"/>
                <w:color w:val="auto"/>
              </w:rPr>
            </w:pPr>
            <w:r>
              <w:rPr>
                <w:rFonts w:ascii="Arial" w:cs="Arial" w:eastAsia="Arial" w:hAnsi="Arial"/>
                <w:sz w:val="14"/>
                <w:szCs w:val="14"/>
                <w:color w:val="auto"/>
              </w:rPr>
              <w:t>0.15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5"/>
              </w:rPr>
              <w:t>Up 2%</w:t>
            </w:r>
          </w:p>
        </w:tc>
        <w:tc>
          <w:tcPr>
            <w:tcW w:w="700" w:type="dxa"/>
            <w:vAlign w:val="bottom"/>
            <w:gridSpan w:val="2"/>
            <w:shd w:val="clear" w:color="auto" w:fill="CCECFF"/>
          </w:tcPr>
          <w:p>
            <w:pPr>
              <w:jc w:val="right"/>
              <w:ind w:right="328"/>
              <w:spacing w:after="0"/>
              <w:rPr>
                <w:sz w:val="20"/>
                <w:szCs w:val="20"/>
                <w:color w:val="auto"/>
              </w:rPr>
            </w:pPr>
            <w:r>
              <w:rPr>
                <w:rFonts w:ascii="Arial" w:cs="Arial" w:eastAsia="Arial" w:hAnsi="Arial"/>
                <w:sz w:val="14"/>
                <w:szCs w:val="14"/>
                <w:color w:val="auto"/>
              </w:rPr>
              <w:t>$</w:t>
            </w:r>
          </w:p>
        </w:tc>
        <w:tc>
          <w:tcPr>
            <w:tcW w:w="3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11,969</w:t>
            </w:r>
          </w:p>
        </w:tc>
        <w:tc>
          <w:tcPr>
            <w:tcW w:w="200" w:type="dxa"/>
            <w:vAlign w:val="bottom"/>
            <w:shd w:val="clear" w:color="auto" w:fill="CCECFF"/>
          </w:tcPr>
          <w:p>
            <w:pPr>
              <w:spacing w:after="0"/>
              <w:rPr>
                <w:sz w:val="14"/>
                <w:szCs w:val="14"/>
                <w:color w:val="auto"/>
              </w:rPr>
            </w:pPr>
          </w:p>
        </w:tc>
        <w:tc>
          <w:tcPr>
            <w:tcW w:w="620" w:type="dxa"/>
            <w:vAlign w:val="bottom"/>
            <w:gridSpan w:val="2"/>
            <w:shd w:val="clear" w:color="auto" w:fill="CCECFF"/>
          </w:tcPr>
          <w:p>
            <w:pPr>
              <w:jc w:val="right"/>
              <w:ind w:right="369"/>
              <w:spacing w:after="0"/>
              <w:rPr>
                <w:sz w:val="20"/>
                <w:szCs w:val="20"/>
                <w:color w:val="auto"/>
              </w:rPr>
            </w:pPr>
            <w:r>
              <w:rPr>
                <w:rFonts w:ascii="Arial" w:cs="Arial" w:eastAsia="Arial" w:hAnsi="Arial"/>
                <w:sz w:val="14"/>
                <w:szCs w:val="14"/>
                <w:color w:val="auto"/>
              </w:rPr>
              <w:t>$</w:t>
            </w:r>
          </w:p>
        </w:tc>
        <w:tc>
          <w:tcPr>
            <w:tcW w:w="3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0.31</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tcPr>
          <w:p>
            <w:pPr>
              <w:jc w:val="center"/>
              <w:spacing w:after="0"/>
              <w:rPr>
                <w:sz w:val="20"/>
                <w:szCs w:val="20"/>
                <w:color w:val="auto"/>
              </w:rPr>
            </w:pPr>
            <w:r>
              <w:rPr>
                <w:rFonts w:ascii="Arial" w:cs="Arial" w:eastAsia="Arial" w:hAnsi="Arial"/>
                <w:sz w:val="14"/>
                <w:szCs w:val="14"/>
                <w:color w:val="auto"/>
                <w:w w:val="95"/>
              </w:rPr>
              <w:t>Up 3%</w:t>
            </w:r>
          </w:p>
        </w:tc>
        <w:tc>
          <w:tcPr>
            <w:tcW w:w="700" w:type="dxa"/>
            <w:vAlign w:val="bottom"/>
            <w:gridSpan w:val="2"/>
          </w:tcPr>
          <w:p>
            <w:pPr>
              <w:jc w:val="right"/>
              <w:ind w:right="328"/>
              <w:spacing w:after="0"/>
              <w:rPr>
                <w:sz w:val="20"/>
                <w:szCs w:val="20"/>
                <w:color w:val="auto"/>
              </w:rPr>
            </w:pPr>
            <w:r>
              <w:rPr>
                <w:rFonts w:ascii="Arial" w:cs="Arial" w:eastAsia="Arial" w:hAnsi="Arial"/>
                <w:sz w:val="14"/>
                <w:szCs w:val="14"/>
                <w:color w:val="auto"/>
              </w:rPr>
              <w:t>$</w:t>
            </w:r>
          </w:p>
        </w:tc>
        <w:tc>
          <w:tcPr>
            <w:tcW w:w="3000" w:type="dxa"/>
            <w:vAlign w:val="bottom"/>
          </w:tcPr>
          <w:p>
            <w:pPr>
              <w:jc w:val="right"/>
              <w:spacing w:after="0"/>
              <w:rPr>
                <w:sz w:val="20"/>
                <w:szCs w:val="20"/>
                <w:color w:val="auto"/>
              </w:rPr>
            </w:pPr>
            <w:r>
              <w:rPr>
                <w:rFonts w:ascii="Arial" w:cs="Arial" w:eastAsia="Arial" w:hAnsi="Arial"/>
                <w:sz w:val="14"/>
                <w:szCs w:val="14"/>
                <w:color w:val="auto"/>
              </w:rPr>
              <w:t>18,133</w:t>
            </w:r>
          </w:p>
        </w:tc>
        <w:tc>
          <w:tcPr>
            <w:tcW w:w="200" w:type="dxa"/>
            <w:vAlign w:val="bottom"/>
          </w:tcPr>
          <w:p>
            <w:pPr>
              <w:spacing w:after="0"/>
              <w:rPr>
                <w:sz w:val="14"/>
                <w:szCs w:val="14"/>
                <w:color w:val="auto"/>
              </w:rPr>
            </w:pPr>
          </w:p>
        </w:tc>
        <w:tc>
          <w:tcPr>
            <w:tcW w:w="620" w:type="dxa"/>
            <w:vAlign w:val="bottom"/>
            <w:gridSpan w:val="2"/>
          </w:tcPr>
          <w:p>
            <w:pPr>
              <w:jc w:val="right"/>
              <w:ind w:right="369"/>
              <w:spacing w:after="0"/>
              <w:rPr>
                <w:sz w:val="20"/>
                <w:szCs w:val="20"/>
                <w:color w:val="auto"/>
              </w:rPr>
            </w:pPr>
            <w:r>
              <w:rPr>
                <w:rFonts w:ascii="Arial" w:cs="Arial" w:eastAsia="Arial" w:hAnsi="Arial"/>
                <w:sz w:val="14"/>
                <w:szCs w:val="14"/>
                <w:color w:val="auto"/>
              </w:rPr>
              <w:t>$</w:t>
            </w:r>
          </w:p>
        </w:tc>
        <w:tc>
          <w:tcPr>
            <w:tcW w:w="3000" w:type="dxa"/>
            <w:vAlign w:val="bottom"/>
          </w:tcPr>
          <w:p>
            <w:pPr>
              <w:jc w:val="right"/>
              <w:spacing w:after="0"/>
              <w:rPr>
                <w:sz w:val="20"/>
                <w:szCs w:val="20"/>
                <w:color w:val="auto"/>
              </w:rPr>
            </w:pPr>
            <w:r>
              <w:rPr>
                <w:rFonts w:ascii="Arial" w:cs="Arial" w:eastAsia="Arial" w:hAnsi="Arial"/>
                <w:sz w:val="14"/>
                <w:szCs w:val="14"/>
                <w:color w:val="auto"/>
              </w:rPr>
              <w:t>0.47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5"/>
              </w:rPr>
              <w:t>Up 4%</w:t>
            </w:r>
          </w:p>
        </w:tc>
        <w:tc>
          <w:tcPr>
            <w:tcW w:w="700" w:type="dxa"/>
            <w:vAlign w:val="bottom"/>
            <w:gridSpan w:val="2"/>
            <w:shd w:val="clear" w:color="auto" w:fill="CCECFF"/>
          </w:tcPr>
          <w:p>
            <w:pPr>
              <w:jc w:val="right"/>
              <w:ind w:right="328"/>
              <w:spacing w:after="0"/>
              <w:rPr>
                <w:sz w:val="20"/>
                <w:szCs w:val="20"/>
                <w:color w:val="auto"/>
              </w:rPr>
            </w:pPr>
            <w:r>
              <w:rPr>
                <w:rFonts w:ascii="Arial" w:cs="Arial" w:eastAsia="Arial" w:hAnsi="Arial"/>
                <w:sz w:val="14"/>
                <w:szCs w:val="14"/>
                <w:color w:val="auto"/>
              </w:rPr>
              <w:t>$</w:t>
            </w:r>
          </w:p>
        </w:tc>
        <w:tc>
          <w:tcPr>
            <w:tcW w:w="3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24,297</w:t>
            </w:r>
          </w:p>
        </w:tc>
        <w:tc>
          <w:tcPr>
            <w:tcW w:w="200" w:type="dxa"/>
            <w:vAlign w:val="bottom"/>
            <w:shd w:val="clear" w:color="auto" w:fill="CCECFF"/>
          </w:tcPr>
          <w:p>
            <w:pPr>
              <w:spacing w:after="0"/>
              <w:rPr>
                <w:sz w:val="14"/>
                <w:szCs w:val="14"/>
                <w:color w:val="auto"/>
              </w:rPr>
            </w:pPr>
          </w:p>
        </w:tc>
        <w:tc>
          <w:tcPr>
            <w:tcW w:w="620" w:type="dxa"/>
            <w:vAlign w:val="bottom"/>
            <w:gridSpan w:val="2"/>
            <w:shd w:val="clear" w:color="auto" w:fill="CCECFF"/>
          </w:tcPr>
          <w:p>
            <w:pPr>
              <w:jc w:val="right"/>
              <w:ind w:right="369"/>
              <w:spacing w:after="0"/>
              <w:rPr>
                <w:sz w:val="20"/>
                <w:szCs w:val="20"/>
                <w:color w:val="auto"/>
              </w:rPr>
            </w:pPr>
            <w:r>
              <w:rPr>
                <w:rFonts w:ascii="Arial" w:cs="Arial" w:eastAsia="Arial" w:hAnsi="Arial"/>
                <w:sz w:val="14"/>
                <w:szCs w:val="14"/>
                <w:color w:val="auto"/>
              </w:rPr>
              <w:t>$</w:t>
            </w:r>
          </w:p>
        </w:tc>
        <w:tc>
          <w:tcPr>
            <w:tcW w:w="3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0.63</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right="80" w:firstLine="394"/>
        <w:spacing w:after="0" w:line="238" w:lineRule="auto"/>
        <w:rPr>
          <w:sz w:val="20"/>
          <w:szCs w:val="20"/>
          <w:color w:val="auto"/>
        </w:rPr>
      </w:pPr>
      <w:r>
        <w:rPr>
          <w:rFonts w:ascii="Arial" w:cs="Arial" w:eastAsia="Arial" w:hAnsi="Arial"/>
          <w:sz w:val="14"/>
          <w:szCs w:val="14"/>
          <w:color w:val="auto"/>
        </w:rPr>
        <w:t>Although management believes that this measure is indicative of our sensitivity to interest rate changes, it does not adjust for potential changes in the credit market, credit quality, size and composition of the assets on the Consolidated Statements of Assets and Liabilities and other business developments that could affect net increase in net assets resulting from operations or net investment income. Accordingly, no assurances can be given that actual results would not differ materially from those shown above.</w:t>
      </w:r>
    </w:p>
    <w:p>
      <w:pPr>
        <w:spacing w:after="0" w:line="115" w:lineRule="exact"/>
        <w:rPr>
          <w:sz w:val="20"/>
          <w:szCs w:val="20"/>
          <w:color w:val="auto"/>
        </w:rPr>
      </w:pPr>
    </w:p>
    <w:p>
      <w:pPr>
        <w:jc w:val="both"/>
        <w:ind w:right="200" w:firstLine="394"/>
        <w:spacing w:after="0" w:line="238" w:lineRule="auto"/>
        <w:rPr>
          <w:sz w:val="20"/>
          <w:szCs w:val="20"/>
          <w:color w:val="auto"/>
        </w:rPr>
      </w:pPr>
      <w:r>
        <w:rPr>
          <w:rFonts w:ascii="Arial" w:cs="Arial" w:eastAsia="Arial" w:hAnsi="Arial"/>
          <w:sz w:val="14"/>
          <w:szCs w:val="14"/>
          <w:color w:val="auto"/>
        </w:rPr>
        <w:t>Because we borrow money to make investments, our net investment income is dependent upon the difference between the rate at which we borrow funds and the rate at which we invest these funds, as well as our level of leverage. As a result, there can be no assurance that a significant change in market interest rates will not have a material adverse effect on our net investment income or net assets.</w:t>
      </w:r>
    </w:p>
    <w:p>
      <w:pPr>
        <w:spacing w:after="0" w:line="115" w:lineRule="exact"/>
        <w:rPr>
          <w:sz w:val="20"/>
          <w:szCs w:val="20"/>
          <w:color w:val="auto"/>
        </w:rPr>
      </w:pPr>
    </w:p>
    <w:p>
      <w:pPr>
        <w:ind w:right="100" w:firstLine="394"/>
        <w:spacing w:after="0" w:line="255" w:lineRule="auto"/>
        <w:rPr>
          <w:sz w:val="20"/>
          <w:szCs w:val="20"/>
          <w:color w:val="auto"/>
        </w:rPr>
      </w:pPr>
      <w:r>
        <w:rPr>
          <w:rFonts w:ascii="Arial" w:cs="Arial" w:eastAsia="Arial" w:hAnsi="Arial"/>
          <w:sz w:val="13"/>
          <w:szCs w:val="13"/>
          <w:color w:val="auto"/>
        </w:rPr>
        <w:t>We may hedge against interest rate and foreign currency fluctuations by using standard hedging instruments such as futures, options and forward contracts or our Credit Facility subject to the requirements of the 1940 Act and applicable commodities laws. While hedging activities may insulate us against adverse changes in interest rates and foreign currencies, they may also limit our ability to participate in benefits of lower interest rates or higher exchange rates with respect to our portfolio of investments with fixed interest rates or investments denominated in foreign currencies. During the periods covered by this Report, we did not engage in interest rate hedging activities or foreign currency derivatives hedging activities.</w:t>
      </w:r>
    </w:p>
    <w:p>
      <w:pPr>
        <w:spacing w:after="0" w:line="103" w:lineRule="exact"/>
        <w:rPr>
          <w:sz w:val="20"/>
          <w:szCs w:val="20"/>
          <w:color w:val="auto"/>
        </w:rPr>
      </w:pPr>
    </w:p>
    <w:p>
      <w:pPr>
        <w:spacing w:after="0"/>
        <w:tabs>
          <w:tab w:leader="none" w:pos="800" w:val="left"/>
        </w:tabs>
        <w:rPr>
          <w:sz w:val="20"/>
          <w:szCs w:val="20"/>
          <w:color w:val="auto"/>
        </w:rPr>
      </w:pPr>
      <w:r>
        <w:rPr>
          <w:rFonts w:ascii="Arial" w:cs="Arial" w:eastAsia="Arial" w:hAnsi="Arial"/>
          <w:sz w:val="14"/>
          <w:szCs w:val="14"/>
          <w:b w:val="1"/>
          <w:bCs w:val="1"/>
          <w:color w:val="auto"/>
        </w:rPr>
        <w:t>Item 4.</w:t>
      </w:r>
      <w:r>
        <w:rPr>
          <w:sz w:val="20"/>
          <w:szCs w:val="20"/>
          <w:color w:val="auto"/>
        </w:rPr>
        <w:tab/>
      </w:r>
      <w:r>
        <w:rPr>
          <w:rFonts w:ascii="Arial" w:cs="Arial" w:eastAsia="Arial" w:hAnsi="Arial"/>
          <w:sz w:val="12"/>
          <w:szCs w:val="12"/>
          <w:b w:val="1"/>
          <w:bCs w:val="1"/>
          <w:color w:val="auto"/>
        </w:rPr>
        <w:t>Controls and Procedures</w:t>
      </w:r>
    </w:p>
    <w:p>
      <w:pPr>
        <w:spacing w:after="0" w:line="140" w:lineRule="exact"/>
        <w:rPr>
          <w:sz w:val="20"/>
          <w:szCs w:val="20"/>
          <w:color w:val="auto"/>
        </w:rPr>
      </w:pPr>
    </w:p>
    <w:p>
      <w:pPr>
        <w:ind w:right="80" w:firstLine="394"/>
        <w:spacing w:after="0" w:line="247" w:lineRule="auto"/>
        <w:rPr>
          <w:sz w:val="20"/>
          <w:szCs w:val="20"/>
          <w:color w:val="auto"/>
        </w:rPr>
      </w:pPr>
      <w:r>
        <w:rPr>
          <w:rFonts w:ascii="Arial" w:cs="Arial" w:eastAsia="Arial" w:hAnsi="Arial"/>
          <w:sz w:val="13"/>
          <w:szCs w:val="13"/>
          <w:color w:val="auto"/>
        </w:rPr>
        <w:t>As of the period covered by this Report, we, including our Chief Executive Officer and Chief Financial Officer, evaluated the effectiveness of the design and operation of our disclosure controls and procedures (as defined in Rule 13a-15(e) under the Exchange Act). Based on that evaluation, our management, including the Chief Executive Officer and Chief Financial Officer, concluded that our disclosure controls and procedures were effective and provided reasonable assurance that information required to be disclosed in our periodic filings with the SEC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111" w:lineRule="exact"/>
        <w:rPr>
          <w:sz w:val="20"/>
          <w:szCs w:val="20"/>
          <w:color w:val="auto"/>
        </w:rPr>
      </w:pPr>
    </w:p>
    <w:p>
      <w:pPr>
        <w:ind w:right="200" w:firstLine="394"/>
        <w:spacing w:after="0" w:line="253" w:lineRule="auto"/>
        <w:rPr>
          <w:sz w:val="20"/>
          <w:szCs w:val="20"/>
          <w:color w:val="auto"/>
        </w:rPr>
      </w:pPr>
      <w:r>
        <w:rPr>
          <w:rFonts w:ascii="Arial" w:cs="Arial" w:eastAsia="Arial" w:hAnsi="Arial"/>
          <w:sz w:val="14"/>
          <w:szCs w:val="14"/>
          <w:color w:val="auto"/>
        </w:rPr>
        <w:t>There have been no changes in our internal control over financial reporting that occurred during the quarter ended June 30, 2018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40" w:name="page41"/>
    <w:bookmarkEnd w:id="40"/>
    <w:p>
      <w:pPr>
        <w:spacing w:after="0"/>
        <w:rPr>
          <w:sz w:val="20"/>
          <w:szCs w:val="20"/>
          <w:color w:val="auto"/>
        </w:rPr>
      </w:pPr>
      <w:r>
        <w:rPr>
          <w:rFonts w:ascii="Arial" w:cs="Arial" w:eastAsia="Arial" w:hAnsi="Arial"/>
          <w:sz w:val="14"/>
          <w:szCs w:val="14"/>
          <w:b w:val="1"/>
          <w:bCs w:val="1"/>
          <w:color w:val="auto"/>
        </w:rPr>
        <w:t>PART II – OTHER INFORMATION</w:t>
      </w:r>
    </w:p>
    <w:p>
      <w:pPr>
        <w:spacing w:after="0" w:line="123" w:lineRule="exact"/>
        <w:rPr>
          <w:sz w:val="20"/>
          <w:szCs w:val="20"/>
          <w:color w:val="auto"/>
        </w:rPr>
      </w:pPr>
    </w:p>
    <w:p>
      <w:pPr>
        <w:spacing w:after="0"/>
        <w:tabs>
          <w:tab w:leader="none" w:pos="740" w:val="left"/>
        </w:tabs>
        <w:rPr>
          <w:sz w:val="20"/>
          <w:szCs w:val="20"/>
          <w:color w:val="auto"/>
        </w:rPr>
      </w:pPr>
      <w:r>
        <w:rPr>
          <w:rFonts w:ascii="Arial" w:cs="Arial" w:eastAsia="Arial" w:hAnsi="Arial"/>
          <w:sz w:val="14"/>
          <w:szCs w:val="14"/>
          <w:b w:val="1"/>
          <w:bCs w:val="1"/>
          <w:color w:val="auto"/>
        </w:rPr>
        <w:t>Item 1.</w:t>
      </w:r>
      <w:r>
        <w:rPr>
          <w:sz w:val="20"/>
          <w:szCs w:val="20"/>
          <w:color w:val="auto"/>
        </w:rPr>
        <w:tab/>
      </w:r>
      <w:r>
        <w:rPr>
          <w:rFonts w:ascii="Arial" w:cs="Arial" w:eastAsia="Arial" w:hAnsi="Arial"/>
          <w:sz w:val="12"/>
          <w:szCs w:val="12"/>
          <w:b w:val="1"/>
          <w:bCs w:val="1"/>
          <w:color w:val="auto"/>
        </w:rPr>
        <w:t>Legal Proceedings</w:t>
      </w:r>
    </w:p>
    <w:p>
      <w:pPr>
        <w:spacing w:after="0" w:line="154" w:lineRule="exact"/>
        <w:rPr>
          <w:sz w:val="20"/>
          <w:szCs w:val="20"/>
          <w:color w:val="auto"/>
        </w:rPr>
      </w:pPr>
    </w:p>
    <w:p>
      <w:pPr>
        <w:ind w:firstLine="394"/>
        <w:spacing w:after="0" w:line="233" w:lineRule="auto"/>
        <w:rPr>
          <w:sz w:val="20"/>
          <w:szCs w:val="20"/>
          <w:color w:val="auto"/>
        </w:rPr>
      </w:pPr>
      <w:r>
        <w:rPr>
          <w:rFonts w:ascii="Arial" w:cs="Arial" w:eastAsia="Arial" w:hAnsi="Arial"/>
          <w:sz w:val="14"/>
          <w:szCs w:val="14"/>
          <w:color w:val="auto"/>
        </w:rPr>
        <w:t>None of us, our Investment Adviser or our Administrator, is currently subject to any material legal proceedings, nor, to our knowledge, is any material legal proceeding threatened against us, or against our Investment Adviser or Administrator. From time to time, we, our Investment Adviser or Administrator, may be a party to certain legal proceedings, including proceedings relating to the enforcement of our rights under contracts with our portfolio companies. While the outcome of these and any future legal proceedings cannot be predicted with certainty, we do not expect that these proceedings will have a material effect upon our financial condition or results of operations.</w:t>
      </w:r>
    </w:p>
    <w:p>
      <w:pPr>
        <w:spacing w:after="0" w:line="100" w:lineRule="exact"/>
        <w:rPr>
          <w:sz w:val="20"/>
          <w:szCs w:val="20"/>
          <w:color w:val="auto"/>
        </w:rPr>
      </w:pPr>
    </w:p>
    <w:p>
      <w:pPr>
        <w:spacing w:after="0"/>
        <w:tabs>
          <w:tab w:leader="none" w:pos="740" w:val="left"/>
        </w:tabs>
        <w:rPr>
          <w:sz w:val="20"/>
          <w:szCs w:val="20"/>
          <w:color w:val="auto"/>
        </w:rPr>
      </w:pPr>
      <w:r>
        <w:rPr>
          <w:rFonts w:ascii="Arial" w:cs="Arial" w:eastAsia="Arial" w:hAnsi="Arial"/>
          <w:sz w:val="14"/>
          <w:szCs w:val="14"/>
          <w:b w:val="1"/>
          <w:bCs w:val="1"/>
          <w:color w:val="auto"/>
        </w:rPr>
        <w:t>Item 1A.</w:t>
      </w:r>
      <w:r>
        <w:rPr>
          <w:sz w:val="20"/>
          <w:szCs w:val="20"/>
          <w:color w:val="auto"/>
        </w:rPr>
        <w:tab/>
      </w:r>
      <w:r>
        <w:rPr>
          <w:rFonts w:ascii="Arial" w:cs="Arial" w:eastAsia="Arial" w:hAnsi="Arial"/>
          <w:sz w:val="12"/>
          <w:szCs w:val="12"/>
          <w:b w:val="1"/>
          <w:bCs w:val="1"/>
          <w:color w:val="auto"/>
        </w:rPr>
        <w:t>Risk Factors</w:t>
      </w:r>
    </w:p>
    <w:p>
      <w:pPr>
        <w:spacing w:after="0" w:line="154" w:lineRule="exact"/>
        <w:rPr>
          <w:sz w:val="20"/>
          <w:szCs w:val="20"/>
          <w:color w:val="auto"/>
        </w:rPr>
      </w:pPr>
    </w:p>
    <w:p>
      <w:pPr>
        <w:ind w:right="40" w:firstLine="394"/>
        <w:spacing w:after="0" w:line="229" w:lineRule="auto"/>
        <w:rPr>
          <w:sz w:val="20"/>
          <w:szCs w:val="20"/>
          <w:color w:val="auto"/>
        </w:rPr>
      </w:pPr>
      <w:r>
        <w:rPr>
          <w:rFonts w:ascii="Arial" w:cs="Arial" w:eastAsia="Arial" w:hAnsi="Arial"/>
          <w:sz w:val="14"/>
          <w:szCs w:val="14"/>
          <w:color w:val="auto"/>
        </w:rPr>
        <w:t>In addition to the other information set forth in this Report, you should consider carefully the factors discussed in Part I “Item 1A. Risk Factors” in our Annual Report on Form 10-K for the fiscal year ended September 30, 2017 filed on November 30, 2017, in “Risk Factors” in Post-Effective Amendment No. 3 to the Registration Statement on Form N-2 filed on December 13, 2017, and in Part II “Item 1A. “Risk Factors” in our Quarterly Report on Form 10-Q for the fiscal quarter ended March 31, 2018 filed on May 10, 2018, which could materially affect our business, financial condition and/or operating results. The risks described in our Annual Report on Form 10-K, Registration Statement on Form N-2 and Quarterly Report on Form 10-Q are not the only risks facing PennantPark Floating Rate Capital Ltd. Additional risks and uncertainties not currently known to us or that we currently deem to be immaterial also may materially and adversely affect our business, financial condition and/or operating results.</w:t>
      </w:r>
    </w:p>
    <w:p>
      <w:pPr>
        <w:spacing w:after="0" w:line="100" w:lineRule="exact"/>
        <w:rPr>
          <w:sz w:val="20"/>
          <w:szCs w:val="20"/>
          <w:color w:val="auto"/>
        </w:rPr>
      </w:pPr>
    </w:p>
    <w:p>
      <w:pPr>
        <w:spacing w:after="0"/>
        <w:tabs>
          <w:tab w:leader="none" w:pos="740" w:val="left"/>
        </w:tabs>
        <w:rPr>
          <w:sz w:val="20"/>
          <w:szCs w:val="20"/>
          <w:color w:val="auto"/>
        </w:rPr>
      </w:pPr>
      <w:r>
        <w:rPr>
          <w:rFonts w:ascii="Arial" w:cs="Arial" w:eastAsia="Arial" w:hAnsi="Arial"/>
          <w:sz w:val="14"/>
          <w:szCs w:val="14"/>
          <w:b w:val="1"/>
          <w:bCs w:val="1"/>
          <w:color w:val="auto"/>
        </w:rPr>
        <w:t>Item 2.</w:t>
      </w:r>
      <w:r>
        <w:rPr>
          <w:sz w:val="20"/>
          <w:szCs w:val="20"/>
          <w:color w:val="auto"/>
        </w:rPr>
        <w:tab/>
      </w:r>
      <w:r>
        <w:rPr>
          <w:rFonts w:ascii="Arial" w:cs="Arial" w:eastAsia="Arial" w:hAnsi="Arial"/>
          <w:sz w:val="12"/>
          <w:szCs w:val="12"/>
          <w:b w:val="1"/>
          <w:bCs w:val="1"/>
          <w:color w:val="auto"/>
        </w:rPr>
        <w:t>Unregistered Sales of Equity Securities and Use of Proceeds</w:t>
      </w:r>
    </w:p>
    <w:p>
      <w:pPr>
        <w:spacing w:after="0" w:line="154" w:lineRule="exact"/>
        <w:rPr>
          <w:sz w:val="20"/>
          <w:szCs w:val="20"/>
          <w:color w:val="auto"/>
        </w:rPr>
      </w:pPr>
    </w:p>
    <w:p>
      <w:pPr>
        <w:ind w:left="400"/>
        <w:spacing w:after="0"/>
        <w:rPr>
          <w:sz w:val="20"/>
          <w:szCs w:val="20"/>
          <w:color w:val="auto"/>
        </w:rPr>
      </w:pPr>
      <w:r>
        <w:rPr>
          <w:rFonts w:ascii="Arial" w:cs="Arial" w:eastAsia="Arial" w:hAnsi="Arial"/>
          <w:sz w:val="14"/>
          <w:szCs w:val="14"/>
          <w:color w:val="auto"/>
        </w:rPr>
        <w:t>None.</w:t>
      </w:r>
    </w:p>
    <w:p>
      <w:pPr>
        <w:spacing w:after="0" w:line="119" w:lineRule="exact"/>
        <w:rPr>
          <w:sz w:val="20"/>
          <w:szCs w:val="20"/>
          <w:color w:val="auto"/>
        </w:rPr>
      </w:pPr>
    </w:p>
    <w:p>
      <w:pPr>
        <w:spacing w:after="0"/>
        <w:tabs>
          <w:tab w:leader="none" w:pos="740" w:val="left"/>
        </w:tabs>
        <w:rPr>
          <w:sz w:val="20"/>
          <w:szCs w:val="20"/>
          <w:color w:val="auto"/>
        </w:rPr>
      </w:pPr>
      <w:r>
        <w:rPr>
          <w:rFonts w:ascii="Arial" w:cs="Arial" w:eastAsia="Arial" w:hAnsi="Arial"/>
          <w:sz w:val="14"/>
          <w:szCs w:val="14"/>
          <w:b w:val="1"/>
          <w:bCs w:val="1"/>
          <w:color w:val="auto"/>
        </w:rPr>
        <w:t>Item 3.</w:t>
      </w:r>
      <w:r>
        <w:rPr>
          <w:sz w:val="20"/>
          <w:szCs w:val="20"/>
          <w:color w:val="auto"/>
        </w:rPr>
        <w:tab/>
      </w:r>
      <w:r>
        <w:rPr>
          <w:rFonts w:ascii="Arial" w:cs="Arial" w:eastAsia="Arial" w:hAnsi="Arial"/>
          <w:sz w:val="12"/>
          <w:szCs w:val="12"/>
          <w:b w:val="1"/>
          <w:bCs w:val="1"/>
          <w:color w:val="auto"/>
        </w:rPr>
        <w:t>Defaults Upon Senior Securities</w:t>
      </w:r>
    </w:p>
    <w:p>
      <w:pPr>
        <w:spacing w:after="0" w:line="154" w:lineRule="exact"/>
        <w:rPr>
          <w:sz w:val="20"/>
          <w:szCs w:val="20"/>
          <w:color w:val="auto"/>
        </w:rPr>
      </w:pPr>
    </w:p>
    <w:p>
      <w:pPr>
        <w:ind w:left="400"/>
        <w:spacing w:after="0"/>
        <w:rPr>
          <w:sz w:val="20"/>
          <w:szCs w:val="20"/>
          <w:color w:val="auto"/>
        </w:rPr>
      </w:pPr>
      <w:r>
        <w:rPr>
          <w:rFonts w:ascii="Arial" w:cs="Arial" w:eastAsia="Arial" w:hAnsi="Arial"/>
          <w:sz w:val="14"/>
          <w:szCs w:val="14"/>
          <w:color w:val="auto"/>
        </w:rPr>
        <w:t>None.</w:t>
      </w:r>
    </w:p>
    <w:p>
      <w:pPr>
        <w:spacing w:after="0" w:line="119" w:lineRule="exact"/>
        <w:rPr>
          <w:sz w:val="20"/>
          <w:szCs w:val="20"/>
          <w:color w:val="auto"/>
        </w:rPr>
      </w:pPr>
    </w:p>
    <w:p>
      <w:pPr>
        <w:spacing w:after="0"/>
        <w:tabs>
          <w:tab w:leader="none" w:pos="740" w:val="left"/>
        </w:tabs>
        <w:rPr>
          <w:sz w:val="20"/>
          <w:szCs w:val="20"/>
          <w:color w:val="auto"/>
        </w:rPr>
      </w:pPr>
      <w:r>
        <w:rPr>
          <w:rFonts w:ascii="Arial" w:cs="Arial" w:eastAsia="Arial" w:hAnsi="Arial"/>
          <w:sz w:val="14"/>
          <w:szCs w:val="14"/>
          <w:b w:val="1"/>
          <w:bCs w:val="1"/>
          <w:color w:val="auto"/>
        </w:rPr>
        <w:t>Item 4.</w:t>
      </w:r>
      <w:r>
        <w:rPr>
          <w:sz w:val="20"/>
          <w:szCs w:val="20"/>
          <w:color w:val="auto"/>
        </w:rPr>
        <w:tab/>
      </w:r>
      <w:r>
        <w:rPr>
          <w:rFonts w:ascii="Arial" w:cs="Arial" w:eastAsia="Arial" w:hAnsi="Arial"/>
          <w:sz w:val="12"/>
          <w:szCs w:val="12"/>
          <w:b w:val="1"/>
          <w:bCs w:val="1"/>
          <w:color w:val="auto"/>
        </w:rPr>
        <w:t>Mine Safety Disclosures</w:t>
      </w:r>
    </w:p>
    <w:p>
      <w:pPr>
        <w:spacing w:after="0" w:line="154" w:lineRule="exact"/>
        <w:rPr>
          <w:sz w:val="20"/>
          <w:szCs w:val="20"/>
          <w:color w:val="auto"/>
        </w:rPr>
      </w:pPr>
    </w:p>
    <w:p>
      <w:pPr>
        <w:ind w:left="400"/>
        <w:spacing w:after="0"/>
        <w:rPr>
          <w:sz w:val="20"/>
          <w:szCs w:val="20"/>
          <w:color w:val="auto"/>
        </w:rPr>
      </w:pPr>
      <w:r>
        <w:rPr>
          <w:rFonts w:ascii="Arial" w:cs="Arial" w:eastAsia="Arial" w:hAnsi="Arial"/>
          <w:sz w:val="14"/>
          <w:szCs w:val="14"/>
          <w:color w:val="auto"/>
        </w:rPr>
        <w:t>Not applicable.</w:t>
      </w:r>
    </w:p>
    <w:p>
      <w:pPr>
        <w:spacing w:after="0" w:line="119" w:lineRule="exact"/>
        <w:rPr>
          <w:sz w:val="20"/>
          <w:szCs w:val="20"/>
          <w:color w:val="auto"/>
        </w:rPr>
      </w:pPr>
    </w:p>
    <w:p>
      <w:pPr>
        <w:spacing w:after="0"/>
        <w:tabs>
          <w:tab w:leader="none" w:pos="740" w:val="left"/>
        </w:tabs>
        <w:rPr>
          <w:sz w:val="20"/>
          <w:szCs w:val="20"/>
          <w:color w:val="auto"/>
        </w:rPr>
      </w:pPr>
      <w:r>
        <w:rPr>
          <w:rFonts w:ascii="Arial" w:cs="Arial" w:eastAsia="Arial" w:hAnsi="Arial"/>
          <w:sz w:val="14"/>
          <w:szCs w:val="14"/>
          <w:b w:val="1"/>
          <w:bCs w:val="1"/>
          <w:color w:val="auto"/>
        </w:rPr>
        <w:t>Item 5.</w:t>
      </w:r>
      <w:r>
        <w:rPr>
          <w:sz w:val="20"/>
          <w:szCs w:val="20"/>
          <w:color w:val="auto"/>
        </w:rPr>
        <w:tab/>
      </w:r>
      <w:r>
        <w:rPr>
          <w:rFonts w:ascii="Arial" w:cs="Arial" w:eastAsia="Arial" w:hAnsi="Arial"/>
          <w:sz w:val="13"/>
          <w:szCs w:val="13"/>
          <w:b w:val="1"/>
          <w:bCs w:val="1"/>
          <w:color w:val="auto"/>
        </w:rPr>
        <w:t>Other Information</w:t>
      </w:r>
    </w:p>
    <w:p>
      <w:pPr>
        <w:spacing w:after="0" w:line="154" w:lineRule="exact"/>
        <w:rPr>
          <w:sz w:val="20"/>
          <w:szCs w:val="20"/>
          <w:color w:val="auto"/>
        </w:rPr>
      </w:pPr>
    </w:p>
    <w:p>
      <w:pPr>
        <w:ind w:left="400"/>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20"/>
          </w:cols>
          <w:pgMar w:left="320" w:top="414" w:right="459" w:bottom="1440" w:gutter="0" w:footer="0" w:header="0"/>
        </w:sectPr>
      </w:pPr>
    </w:p>
    <w:bookmarkStart w:id="41" w:name="page42"/>
    <w:bookmarkEnd w:id="41"/>
    <w:p>
      <w:pPr>
        <w:spacing w:after="0"/>
        <w:tabs>
          <w:tab w:leader="none" w:pos="740" w:val="left"/>
        </w:tabs>
        <w:rPr>
          <w:sz w:val="20"/>
          <w:szCs w:val="20"/>
          <w:color w:val="auto"/>
        </w:rPr>
      </w:pPr>
      <w:r>
        <w:rPr>
          <w:rFonts w:ascii="Arial" w:cs="Arial" w:eastAsia="Arial" w:hAnsi="Arial"/>
          <w:sz w:val="14"/>
          <w:szCs w:val="14"/>
          <w:b w:val="1"/>
          <w:bCs w:val="1"/>
          <w:color w:val="auto"/>
        </w:rPr>
        <w:t>Item 6.</w:t>
      </w:r>
      <w:r>
        <w:rPr>
          <w:sz w:val="20"/>
          <w:szCs w:val="20"/>
          <w:color w:val="auto"/>
        </w:rPr>
        <w:tab/>
      </w:r>
      <w:r>
        <w:rPr>
          <w:rFonts w:ascii="Arial" w:cs="Arial" w:eastAsia="Arial" w:hAnsi="Arial"/>
          <w:sz w:val="12"/>
          <w:szCs w:val="12"/>
          <w:b w:val="1"/>
          <w:bCs w:val="1"/>
          <w:color w:val="auto"/>
        </w:rPr>
        <w:t>Exhibits</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color w:val="auto"/>
        </w:rPr>
        <w:t>Unless specifically indicated otherwise, the following exhibits are incorporated by reference to exhibits previously filed with the SEC:</w:t>
      </w:r>
    </w:p>
    <w:p>
      <w:pPr>
        <w:spacing w:after="0" w:line="136" w:lineRule="exact"/>
        <w:rPr>
          <w:sz w:val="20"/>
          <w:szCs w:val="20"/>
          <w:color w:val="auto"/>
        </w:rPr>
      </w:pPr>
    </w:p>
    <w:p>
      <w:pPr>
        <w:ind w:left="580" w:hanging="579"/>
        <w:spacing w:after="0" w:line="253" w:lineRule="auto"/>
        <w:tabs>
          <w:tab w:leader="none" w:pos="560" w:val="left"/>
        </w:tabs>
        <w:rPr>
          <w:rFonts w:ascii="Arial" w:cs="Arial" w:eastAsia="Arial" w:hAnsi="Arial"/>
          <w:sz w:val="14"/>
          <w:szCs w:val="14"/>
          <w:u w:val="single" w:color="auto"/>
          <w:color w:val="0000EE"/>
        </w:rPr>
      </w:pPr>
      <w:r>
        <w:rPr>
          <w:rFonts w:ascii="Arial" w:cs="Arial" w:eastAsia="Arial" w:hAnsi="Arial"/>
          <w:sz w:val="14"/>
          <w:szCs w:val="14"/>
          <w:color w:val="auto"/>
        </w:rPr>
        <w:t>3.1</w:t>
      </w:r>
      <w:r>
        <w:rPr>
          <w:sz w:val="20"/>
          <w:szCs w:val="20"/>
          <w:color w:val="auto"/>
        </w:rPr>
        <w:tab/>
      </w:r>
      <w:hyperlink r:id="rId71">
        <w:r>
          <w:rPr>
            <w:rFonts w:ascii="Arial" w:cs="Arial" w:eastAsia="Arial" w:hAnsi="Arial"/>
            <w:sz w:val="14"/>
            <w:szCs w:val="14"/>
            <w:u w:val="single" w:color="auto"/>
            <w:color w:val="0000EE"/>
          </w:rPr>
          <w:t>Articles of Amendment and Restatement of the Registrant (Incorporated by reference to Exhibit 99(A) to the Registrant's Pre-Effective Amendment No. 3 to the Registration Statement</w:t>
        </w:r>
      </w:hyperlink>
      <w:r>
        <w:rPr>
          <w:rFonts w:ascii="Arial" w:cs="Arial" w:eastAsia="Arial" w:hAnsi="Arial"/>
          <w:sz w:val="14"/>
          <w:szCs w:val="14"/>
          <w:u w:val="single" w:color="auto"/>
          <w:color w:val="0000EE"/>
        </w:rPr>
        <w:t xml:space="preserve"> </w:t>
      </w:r>
      <w:hyperlink r:id="rId71">
        <w:r>
          <w:rPr>
            <w:rFonts w:ascii="Arial" w:cs="Arial" w:eastAsia="Arial" w:hAnsi="Arial"/>
            <w:sz w:val="14"/>
            <w:szCs w:val="14"/>
            <w:u w:val="single" w:color="auto"/>
            <w:color w:val="0000EE"/>
          </w:rPr>
          <w:t>on Form N-2 (File No. 333-170243), filed on March 29, 2011).</w:t>
        </w:r>
      </w:hyperlink>
    </w:p>
    <w:p>
      <w:pPr>
        <w:spacing w:after="0" w:line="106" w:lineRule="exact"/>
        <w:rPr>
          <w:sz w:val="20"/>
          <w:szCs w:val="20"/>
          <w:color w:val="auto"/>
        </w:rPr>
      </w:pPr>
    </w:p>
    <w:p>
      <w:pPr>
        <w:spacing w:after="0"/>
        <w:tabs>
          <w:tab w:leader="none" w:pos="560" w:val="left"/>
        </w:tabs>
        <w:rPr>
          <w:rFonts w:ascii="Arial" w:cs="Arial" w:eastAsia="Arial" w:hAnsi="Arial"/>
          <w:sz w:val="13"/>
          <w:szCs w:val="13"/>
          <w:u w:val="single" w:color="auto"/>
          <w:color w:val="0000EE"/>
        </w:rPr>
      </w:pPr>
      <w:r>
        <w:rPr>
          <w:rFonts w:ascii="Arial" w:cs="Arial" w:eastAsia="Arial" w:hAnsi="Arial"/>
          <w:sz w:val="14"/>
          <w:szCs w:val="14"/>
          <w:color w:val="auto"/>
        </w:rPr>
        <w:t>3.2</w:t>
      </w:r>
      <w:r>
        <w:rPr>
          <w:sz w:val="20"/>
          <w:szCs w:val="20"/>
          <w:color w:val="auto"/>
        </w:rPr>
        <w:tab/>
      </w:r>
      <w:hyperlink r:id="rId72">
        <w:r>
          <w:rPr>
            <w:rFonts w:ascii="Arial" w:cs="Arial" w:eastAsia="Arial" w:hAnsi="Arial"/>
            <w:sz w:val="13"/>
            <w:szCs w:val="13"/>
            <w:u w:val="single" w:color="auto"/>
            <w:color w:val="0000EE"/>
          </w:rPr>
          <w:t>Amended and Restated Bylaws of the Registrant (Incorporated by reference to Exhibit 3.1 to the Registrant’s Current Report on Form 8-K (File No. 814-00891), filed on December 2,</w:t>
        </w:r>
      </w:hyperlink>
    </w:p>
    <w:p>
      <w:pPr>
        <w:ind w:left="580"/>
        <w:spacing w:after="0"/>
        <w:rPr>
          <w:rFonts w:ascii="Arial" w:cs="Arial" w:eastAsia="Arial" w:hAnsi="Arial"/>
          <w:sz w:val="14"/>
          <w:szCs w:val="14"/>
          <w:u w:val="single" w:color="auto"/>
          <w:color w:val="0000EE"/>
        </w:rPr>
      </w:pPr>
      <w:hyperlink r:id="rId72">
        <w:r>
          <w:rPr>
            <w:rFonts w:ascii="Arial" w:cs="Arial" w:eastAsia="Arial" w:hAnsi="Arial"/>
            <w:sz w:val="14"/>
            <w:szCs w:val="14"/>
            <w:u w:val="single" w:color="auto"/>
            <w:color w:val="0000EE"/>
          </w:rPr>
          <w:t>2015).</w:t>
        </w:r>
      </w:hyperlink>
    </w:p>
    <w:p>
      <w:pPr>
        <w:spacing w:after="0" w:line="124" w:lineRule="exact"/>
        <w:rPr>
          <w:sz w:val="20"/>
          <w:szCs w:val="20"/>
          <w:color w:val="auto"/>
        </w:rPr>
      </w:pPr>
    </w:p>
    <w:p>
      <w:pPr>
        <w:spacing w:after="0"/>
        <w:tabs>
          <w:tab w:leader="none" w:pos="560" w:val="left"/>
        </w:tabs>
        <w:rPr>
          <w:rFonts w:ascii="Arial" w:cs="Arial" w:eastAsia="Arial" w:hAnsi="Arial"/>
          <w:sz w:val="13"/>
          <w:szCs w:val="13"/>
          <w:u w:val="single" w:color="auto"/>
          <w:color w:val="0000EE"/>
        </w:rPr>
      </w:pPr>
      <w:r>
        <w:rPr>
          <w:rFonts w:ascii="Arial" w:cs="Arial" w:eastAsia="Arial" w:hAnsi="Arial"/>
          <w:sz w:val="14"/>
          <w:szCs w:val="14"/>
          <w:color w:val="auto"/>
        </w:rPr>
        <w:t>4.1</w:t>
      </w:r>
      <w:r>
        <w:rPr>
          <w:sz w:val="20"/>
          <w:szCs w:val="20"/>
          <w:color w:val="auto"/>
        </w:rPr>
        <w:tab/>
      </w:r>
      <w:hyperlink r:id="rId73">
        <w:r>
          <w:rPr>
            <w:rFonts w:ascii="Arial" w:cs="Arial" w:eastAsia="Arial" w:hAnsi="Arial"/>
            <w:sz w:val="13"/>
            <w:szCs w:val="13"/>
            <w:u w:val="single" w:color="auto"/>
            <w:color w:val="0000EE"/>
          </w:rPr>
          <w:t>Form of Share Certificate (Incorporated by reference to Exhibit 99(D) to the Registrant's Pre-Effective Amendment No. 5 to the Registration Statement on Form N-2 (File No. 333-</w:t>
        </w:r>
      </w:hyperlink>
    </w:p>
    <w:p>
      <w:pPr>
        <w:ind w:left="580"/>
        <w:spacing w:after="0"/>
        <w:rPr>
          <w:rFonts w:ascii="Arial" w:cs="Arial" w:eastAsia="Arial" w:hAnsi="Arial"/>
          <w:sz w:val="14"/>
          <w:szCs w:val="14"/>
          <w:u w:val="single" w:color="auto"/>
          <w:color w:val="0000EE"/>
        </w:rPr>
      </w:pPr>
      <w:hyperlink r:id="rId73">
        <w:r>
          <w:rPr>
            <w:rFonts w:ascii="Arial" w:cs="Arial" w:eastAsia="Arial" w:hAnsi="Arial"/>
            <w:sz w:val="14"/>
            <w:szCs w:val="14"/>
            <w:u w:val="single" w:color="auto"/>
            <w:color w:val="0000EE"/>
          </w:rPr>
          <w:t>170243), filed on April 5, 2011).</w:t>
        </w:r>
      </w:hyperlink>
    </w:p>
    <w:p>
      <w:pPr>
        <w:spacing w:after="0" w:line="124" w:lineRule="exact"/>
        <w:rPr>
          <w:sz w:val="20"/>
          <w:szCs w:val="20"/>
          <w:color w:val="auto"/>
        </w:rPr>
      </w:pPr>
    </w:p>
    <w:p>
      <w:pPr>
        <w:ind w:right="3380" w:firstLine="8"/>
        <w:spacing w:after="0" w:line="476" w:lineRule="auto"/>
        <w:tabs>
          <w:tab w:leader="none" w:pos="580" w:val="left"/>
        </w:tabs>
        <w:numPr>
          <w:ilvl w:val="0"/>
          <w:numId w:val="28"/>
        </w:numPr>
        <w:rPr>
          <w:rFonts w:ascii="Arial" w:cs="Arial" w:eastAsia="Arial" w:hAnsi="Arial"/>
          <w:sz w:val="13"/>
          <w:szCs w:val="13"/>
          <w:color w:val="000000"/>
        </w:rPr>
      </w:pPr>
      <w:hyperlink w:anchor="page25">
        <w:r>
          <w:rPr>
            <w:rFonts w:ascii="Arial" w:cs="Arial" w:eastAsia="Arial" w:hAnsi="Arial"/>
            <w:sz w:val="13"/>
            <w:szCs w:val="13"/>
            <w:u w:val="single" w:color="auto"/>
            <w:color w:val="0000EE"/>
          </w:rPr>
          <w:t>Computation of Per Share Earnings (included in the notes to the Consolidated Financial Statements contained in this Report)</w:t>
        </w:r>
        <w:r>
          <w:rPr>
            <w:rFonts w:ascii="Arial" w:cs="Arial" w:eastAsia="Arial" w:hAnsi="Arial"/>
            <w:sz w:val="13"/>
            <w:szCs w:val="13"/>
            <w:color w:val="0000EE"/>
          </w:rPr>
          <w:t>.</w:t>
        </w:r>
      </w:hyperlink>
      <w:r>
        <w:rPr>
          <w:rFonts w:ascii="Arial" w:cs="Arial" w:eastAsia="Arial" w:hAnsi="Arial"/>
          <w:sz w:val="13"/>
          <w:szCs w:val="13"/>
          <w:color w:val="0000EE"/>
        </w:rPr>
        <w:t xml:space="preserve"> </w:t>
      </w:r>
      <w:r>
        <w:rPr>
          <w:rFonts w:ascii="Arial" w:cs="Arial" w:eastAsia="Arial" w:hAnsi="Arial"/>
          <w:sz w:val="13"/>
          <w:szCs w:val="13"/>
          <w:color w:val="000000"/>
        </w:rPr>
        <w:t xml:space="preserve">31.1* </w:t>
      </w:r>
      <w:hyperlink w:anchor="page44">
        <w:r>
          <w:rPr>
            <w:rFonts w:ascii="Arial" w:cs="Arial" w:eastAsia="Arial" w:hAnsi="Arial"/>
            <w:sz w:val="13"/>
            <w:szCs w:val="13"/>
            <w:u w:val="single" w:color="auto"/>
            <w:color w:val="0000EE"/>
          </w:rPr>
          <w:t>Certification of Chief Executive Officer pursuant to Rule 13a-14 of the Securities Exchange Act of 1934, as amended.</w:t>
        </w:r>
      </w:hyperlink>
    </w:p>
    <w:p>
      <w:pPr>
        <w:spacing w:after="0" w:line="1" w:lineRule="exact"/>
        <w:rPr>
          <w:rFonts w:ascii="Arial" w:cs="Arial" w:eastAsia="Arial" w:hAnsi="Arial"/>
          <w:sz w:val="13"/>
          <w:szCs w:val="13"/>
          <w:color w:val="000000"/>
        </w:rPr>
      </w:pPr>
    </w:p>
    <w:p>
      <w:pPr>
        <w:spacing w:after="0"/>
        <w:rPr>
          <w:rFonts w:ascii="Arial" w:cs="Arial" w:eastAsia="Arial" w:hAnsi="Arial"/>
          <w:sz w:val="13"/>
          <w:szCs w:val="13"/>
          <w:u w:val="single" w:color="auto"/>
          <w:color w:val="0000EE"/>
        </w:rPr>
      </w:pPr>
      <w:r>
        <w:rPr>
          <w:rFonts w:ascii="Arial" w:cs="Arial" w:eastAsia="Arial" w:hAnsi="Arial"/>
          <w:sz w:val="14"/>
          <w:szCs w:val="14"/>
          <w:color w:val="auto"/>
        </w:rPr>
        <w:t>31.2*</w:t>
      </w:r>
      <w:hyperlink w:anchor="page45">
        <w:r>
          <w:rPr>
            <w:rFonts w:ascii="Arial" w:cs="Arial" w:eastAsia="Arial" w:hAnsi="Arial"/>
            <w:sz w:val="13"/>
            <w:szCs w:val="13"/>
            <w:u w:val="single" w:color="auto"/>
            <w:color w:val="0000EE"/>
          </w:rPr>
          <w:t>Certification of Chief Financial Officer pursuant to Rule 13a-14 of the Securities Exchange Act of 1934, as amended.</w:t>
        </w:r>
      </w:hyperlink>
    </w:p>
    <w:p>
      <w:pPr>
        <w:spacing w:after="0" w:line="136" w:lineRule="exact"/>
        <w:rPr>
          <w:rFonts w:ascii="Arial" w:cs="Arial" w:eastAsia="Arial" w:hAnsi="Arial"/>
          <w:sz w:val="13"/>
          <w:szCs w:val="13"/>
          <w:u w:val="single" w:color="auto"/>
          <w:color w:val="0000EE"/>
        </w:rPr>
      </w:pPr>
    </w:p>
    <w:p>
      <w:pPr>
        <w:spacing w:after="0"/>
        <w:rPr>
          <w:rFonts w:ascii="Arial" w:cs="Arial" w:eastAsia="Arial" w:hAnsi="Arial"/>
          <w:sz w:val="13"/>
          <w:szCs w:val="13"/>
          <w:u w:val="single" w:color="auto"/>
          <w:color w:val="0000EE"/>
        </w:rPr>
      </w:pPr>
      <w:r>
        <w:rPr>
          <w:rFonts w:ascii="Arial" w:cs="Arial" w:eastAsia="Arial" w:hAnsi="Arial"/>
          <w:sz w:val="14"/>
          <w:szCs w:val="14"/>
          <w:color w:val="auto"/>
        </w:rPr>
        <w:t>32.1*</w:t>
      </w:r>
      <w:hyperlink w:anchor="page46">
        <w:r>
          <w:rPr>
            <w:rFonts w:ascii="Arial" w:cs="Arial" w:eastAsia="Arial" w:hAnsi="Arial"/>
            <w:sz w:val="13"/>
            <w:szCs w:val="13"/>
            <w:u w:val="single" w:color="auto"/>
            <w:color w:val="0000EE"/>
          </w:rPr>
          <w:t>Certification of Chief Executive Officer pursuant to section 906 of The Sarbanes-Oxley Act of 2002.</w:t>
        </w:r>
      </w:hyperlink>
    </w:p>
    <w:p>
      <w:pPr>
        <w:spacing w:after="0" w:line="136" w:lineRule="exact"/>
        <w:rPr>
          <w:rFonts w:ascii="Arial" w:cs="Arial" w:eastAsia="Arial" w:hAnsi="Arial"/>
          <w:sz w:val="13"/>
          <w:szCs w:val="13"/>
          <w:u w:val="single" w:color="auto"/>
          <w:color w:val="0000EE"/>
        </w:rPr>
      </w:pPr>
    </w:p>
    <w:p>
      <w:pPr>
        <w:spacing w:after="0"/>
        <w:rPr>
          <w:rFonts w:ascii="Arial" w:cs="Arial" w:eastAsia="Arial" w:hAnsi="Arial"/>
          <w:sz w:val="13"/>
          <w:szCs w:val="13"/>
          <w:u w:val="single" w:color="auto"/>
          <w:color w:val="0000EE"/>
        </w:rPr>
      </w:pPr>
      <w:r>
        <w:rPr>
          <w:rFonts w:ascii="Arial" w:cs="Arial" w:eastAsia="Arial" w:hAnsi="Arial"/>
          <w:sz w:val="14"/>
          <w:szCs w:val="14"/>
          <w:color w:val="auto"/>
        </w:rPr>
        <w:t>32.2*</w:t>
      </w:r>
      <w:hyperlink w:anchor="page47">
        <w:r>
          <w:rPr>
            <w:rFonts w:ascii="Arial" w:cs="Arial" w:eastAsia="Arial" w:hAnsi="Arial"/>
            <w:sz w:val="13"/>
            <w:szCs w:val="13"/>
            <w:u w:val="single" w:color="auto"/>
            <w:color w:val="0000EE"/>
          </w:rPr>
          <w:t>Certification of Chief Financial Officer pursuant to section 906 of The Sarbanes-Oxley Act of 2002.</w:t>
        </w:r>
      </w:hyperlink>
    </w:p>
    <w:p>
      <w:pPr>
        <w:spacing w:after="0" w:line="136" w:lineRule="exact"/>
        <w:rPr>
          <w:rFonts w:ascii="Arial" w:cs="Arial" w:eastAsia="Arial" w:hAnsi="Arial"/>
          <w:sz w:val="13"/>
          <w:szCs w:val="13"/>
          <w:u w:val="single" w:color="auto"/>
          <w:color w:val="0000EE"/>
        </w:rPr>
      </w:pPr>
    </w:p>
    <w:p>
      <w:pPr>
        <w:ind w:right="420"/>
        <w:spacing w:after="0" w:line="534" w:lineRule="auto"/>
        <w:rPr>
          <w:rFonts w:ascii="Arial" w:cs="Arial" w:eastAsia="Arial" w:hAnsi="Arial"/>
          <w:sz w:val="14"/>
          <w:szCs w:val="14"/>
          <w:color w:val="auto"/>
        </w:rPr>
      </w:pPr>
      <w:r>
        <w:rPr>
          <w:rFonts w:ascii="Arial" w:cs="Arial" w:eastAsia="Arial" w:hAnsi="Arial"/>
          <w:sz w:val="14"/>
          <w:szCs w:val="14"/>
          <w:color w:val="auto"/>
        </w:rPr>
        <w:t xml:space="preserve">99.1 </w:t>
      </w:r>
      <w:hyperlink r:id="rId74">
        <w:r>
          <w:rPr>
            <w:rFonts w:ascii="Arial" w:cs="Arial" w:eastAsia="Arial" w:hAnsi="Arial"/>
            <w:sz w:val="14"/>
            <w:szCs w:val="14"/>
            <w:u w:val="single" w:color="auto"/>
            <w:color w:val="0000EE"/>
          </w:rPr>
          <w:t>Privacy Policy of the Registrant (Incorporated by reference to Exhibit 99.1 to the Registrant’s Annual Report on Form 10-K (File No. 814-00891), filed on November 17, 2011).</w:t>
        </w:r>
      </w:hyperlink>
      <w:r>
        <w:rPr>
          <w:rFonts w:ascii="Arial" w:cs="Arial" w:eastAsia="Arial" w:hAnsi="Arial"/>
          <w:sz w:val="14"/>
          <w:szCs w:val="14"/>
          <w:color w:val="auto"/>
        </w:rPr>
        <w:t xml:space="preserve"> * Filed herewith.</w:t>
      </w:r>
    </w:p>
    <w:p>
      <w:pPr>
        <w:spacing w:after="0" w:line="20" w:lineRule="exact"/>
        <w:rPr>
          <w:rFonts w:ascii="Arial" w:cs="Arial" w:eastAsia="Arial" w:hAnsi="Arial"/>
          <w:sz w:val="13"/>
          <w:szCs w:val="13"/>
          <w:u w:val="single" w:color="auto"/>
          <w:color w:val="0000EE"/>
        </w:rPr>
      </w:pPr>
      <w:r>
        <w:rPr>
          <w:rFonts w:ascii="Arial" w:cs="Arial" w:eastAsia="Arial" w:hAnsi="Arial"/>
          <w:sz w:val="13"/>
          <w:szCs w:val="13"/>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185991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5">
                      <a:extLst>
                        <a:ext uri="{28A0092B-C50C-407E-A947-70E740481C1C}"/>
                      </a:extLst>
                    </a:blip>
                    <a:srcRect/>
                    <a:stretch>
                      <a:fillRect/>
                    </a:stretch>
                  </pic:blipFill>
                  <pic:spPr bwMode="auto">
                    <a:xfrm>
                      <a:off x="0" y="0"/>
                      <a:ext cx="1859915" cy="8890"/>
                    </a:xfrm>
                    <a:prstGeom prst="rect">
                      <a:avLst/>
                    </a:prstGeom>
                    <a:noFill/>
                  </pic:spPr>
                </pic:pic>
              </a:graphicData>
            </a:graphic>
          </wp:anchor>
        </w:drawing>
      </w:r>
    </w:p>
    <w:p>
      <w:pPr>
        <w:spacing w:after="0" w:line="200" w:lineRule="exact"/>
        <w:rPr>
          <w:rFonts w:ascii="Arial" w:cs="Arial" w:eastAsia="Arial" w:hAnsi="Arial"/>
          <w:sz w:val="13"/>
          <w:szCs w:val="13"/>
          <w:u w:val="single" w:color="auto"/>
          <w:color w:val="0000EE"/>
        </w:rPr>
      </w:pPr>
    </w:p>
    <w:p>
      <w:pPr>
        <w:spacing w:after="0" w:line="346" w:lineRule="exact"/>
        <w:rPr>
          <w:rFonts w:ascii="Arial" w:cs="Arial" w:eastAsia="Arial" w:hAnsi="Arial"/>
          <w:sz w:val="13"/>
          <w:szCs w:val="13"/>
          <w:u w:val="single" w:color="auto"/>
          <w:color w:val="0000EE"/>
        </w:rPr>
      </w:pPr>
    </w:p>
    <w:p>
      <w:pPr>
        <w:jc w:val="center"/>
        <w:ind w:right="-79"/>
        <w:spacing w:after="0"/>
        <w:rPr>
          <w:sz w:val="20"/>
          <w:szCs w:val="20"/>
          <w:color w:val="auto"/>
        </w:rPr>
      </w:pPr>
      <w:r>
        <w:rPr>
          <w:rFonts w:ascii="Arial" w:cs="Arial" w:eastAsia="Arial" w:hAnsi="Arial"/>
          <w:sz w:val="14"/>
          <w:szCs w:val="14"/>
          <w:color w:val="auto"/>
        </w:rPr>
        <w:t>42</w:t>
      </w:r>
    </w:p>
    <w:p>
      <w:pPr>
        <w:spacing w:after="0" w:line="20" w:lineRule="exact"/>
        <w:rPr>
          <w:rFonts w:ascii="Arial" w:cs="Arial" w:eastAsia="Arial" w:hAnsi="Arial"/>
          <w:sz w:val="13"/>
          <w:szCs w:val="13"/>
          <w:u w:val="single" w:color="auto"/>
          <w:color w:val="0000EE"/>
        </w:rPr>
      </w:pPr>
      <w:r>
        <w:rPr>
          <w:rFonts w:ascii="Arial" w:cs="Arial" w:eastAsia="Arial" w:hAnsi="Arial"/>
          <w:sz w:val="13"/>
          <w:szCs w:val="13"/>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265" w:right="399" w:bottom="1440" w:gutter="0" w:footer="0" w:header="0"/>
        </w:sectPr>
      </w:pPr>
    </w:p>
    <w:bookmarkStart w:id="42" w:name="page43"/>
    <w:bookmarkEnd w:id="42"/>
    <w:p>
      <w:pPr>
        <w:jc w:val="center"/>
        <w:spacing w:after="0"/>
        <w:rPr>
          <w:sz w:val="20"/>
          <w:szCs w:val="20"/>
          <w:color w:val="auto"/>
        </w:rPr>
      </w:pPr>
      <w:r>
        <w:rPr>
          <w:rFonts w:ascii="Arial" w:cs="Arial" w:eastAsia="Arial" w:hAnsi="Arial"/>
          <w:sz w:val="14"/>
          <w:szCs w:val="14"/>
          <w:b w:val="1"/>
          <w:bCs w:val="1"/>
          <w:color w:val="auto"/>
        </w:rPr>
        <w:t>SIGNATURES</w:t>
      </w:r>
    </w:p>
    <w:p>
      <w:pPr>
        <w:spacing w:after="0" w:line="140" w:lineRule="exact"/>
        <w:rPr>
          <w:sz w:val="20"/>
          <w:szCs w:val="20"/>
          <w:color w:val="auto"/>
        </w:rPr>
      </w:pPr>
    </w:p>
    <w:p>
      <w:pPr>
        <w:ind w:right="260" w:firstLine="496"/>
        <w:spacing w:after="0" w:line="253" w:lineRule="auto"/>
        <w:rPr>
          <w:sz w:val="20"/>
          <w:szCs w:val="20"/>
          <w:color w:val="auto"/>
        </w:rPr>
      </w:pPr>
      <w:r>
        <w:rPr>
          <w:rFonts w:ascii="Arial" w:cs="Arial" w:eastAsia="Arial" w:hAnsi="Arial"/>
          <w:sz w:val="14"/>
          <w:szCs w:val="14"/>
          <w:color w:val="auto"/>
        </w:rPr>
        <w:t>Pursuant to the requirements of the Securities Exchange Act of 1934, the registrant has duly caused this Report on Form 10-Q to be signed on its behalf by the undersigned, thereunto duly authorized.</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24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5120" w:type="dxa"/>
            <w:vAlign w:val="bottom"/>
          </w:tcPr>
          <w:p>
            <w:pPr>
              <w:ind w:left="540"/>
              <w:spacing w:after="0"/>
              <w:rPr>
                <w:sz w:val="20"/>
                <w:szCs w:val="20"/>
                <w:color w:val="auto"/>
              </w:rPr>
            </w:pPr>
            <w:r>
              <w:rPr>
                <w:rFonts w:ascii="Arial" w:cs="Arial" w:eastAsia="Arial" w:hAnsi="Arial"/>
                <w:sz w:val="14"/>
                <w:szCs w:val="14"/>
                <w:color w:val="auto"/>
              </w:rPr>
              <w:t>PENNANTPARK FLOATING RATE CAPITAL LTD.</w:t>
            </w:r>
          </w:p>
        </w:tc>
        <w:tc>
          <w:tcPr>
            <w:tcW w:w="0" w:type="dxa"/>
            <w:vAlign w:val="bottom"/>
          </w:tcPr>
          <w:p>
            <w:pPr>
              <w:spacing w:after="0"/>
              <w:rPr>
                <w:sz w:val="1"/>
                <w:szCs w:val="1"/>
                <w:color w:val="auto"/>
              </w:rPr>
            </w:pPr>
          </w:p>
        </w:tc>
      </w:tr>
      <w:tr>
        <w:trPr>
          <w:trHeight w:val="324"/>
        </w:trPr>
        <w:tc>
          <w:tcPr>
            <w:tcW w:w="3240" w:type="dxa"/>
            <w:vAlign w:val="bottom"/>
          </w:tcPr>
          <w:p>
            <w:pPr>
              <w:spacing w:after="0"/>
              <w:rPr>
                <w:sz w:val="20"/>
                <w:szCs w:val="20"/>
                <w:color w:val="auto"/>
              </w:rPr>
            </w:pPr>
            <w:r>
              <w:rPr>
                <w:rFonts w:ascii="Arial" w:cs="Arial" w:eastAsia="Arial" w:hAnsi="Arial"/>
                <w:sz w:val="14"/>
                <w:szCs w:val="14"/>
                <w:color w:val="auto"/>
              </w:rPr>
              <w:t>Date: August 8, 2018</w:t>
            </w:r>
          </w:p>
        </w:tc>
        <w:tc>
          <w:tcPr>
            <w:tcW w:w="2880" w:type="dxa"/>
            <w:vAlign w:val="bottom"/>
            <w:vMerge w:val="restart"/>
          </w:tcPr>
          <w:p>
            <w:pPr>
              <w:ind w:left="2000"/>
              <w:spacing w:after="0"/>
              <w:rPr>
                <w:sz w:val="20"/>
                <w:szCs w:val="20"/>
                <w:color w:val="auto"/>
              </w:rPr>
            </w:pPr>
            <w:r>
              <w:rPr>
                <w:rFonts w:ascii="Arial" w:cs="Arial" w:eastAsia="Arial" w:hAnsi="Arial"/>
                <w:sz w:val="14"/>
                <w:szCs w:val="14"/>
                <w:color w:val="auto"/>
              </w:rPr>
              <w:t>By:</w:t>
            </w:r>
          </w:p>
        </w:tc>
        <w:tc>
          <w:tcPr>
            <w:tcW w:w="5120" w:type="dxa"/>
            <w:vAlign w:val="bottom"/>
            <w:vMerge w:val="restart"/>
          </w:tcPr>
          <w:p>
            <w:pPr>
              <w:jc w:val="center"/>
              <w:spacing w:after="0"/>
              <w:rPr>
                <w:sz w:val="20"/>
                <w:szCs w:val="20"/>
                <w:color w:val="auto"/>
              </w:rPr>
            </w:pPr>
            <w:r>
              <w:rPr>
                <w:rFonts w:ascii="Arial" w:cs="Arial" w:eastAsia="Arial" w:hAnsi="Arial"/>
                <w:sz w:val="14"/>
                <w:szCs w:val="14"/>
                <w:color w:val="auto"/>
                <w:w w:val="93"/>
              </w:rPr>
              <w:t>/s/ Arthur H. Penn</w:t>
            </w:r>
          </w:p>
        </w:tc>
        <w:tc>
          <w:tcPr>
            <w:tcW w:w="0" w:type="dxa"/>
            <w:vAlign w:val="bottom"/>
          </w:tcPr>
          <w:p>
            <w:pPr>
              <w:spacing w:after="0"/>
              <w:rPr>
                <w:sz w:val="1"/>
                <w:szCs w:val="1"/>
                <w:color w:val="auto"/>
              </w:rPr>
            </w:pPr>
          </w:p>
        </w:tc>
      </w:tr>
      <w:tr>
        <w:trPr>
          <w:trHeight w:val="58"/>
        </w:trPr>
        <w:tc>
          <w:tcPr>
            <w:tcW w:w="3240" w:type="dxa"/>
            <w:vAlign w:val="bottom"/>
          </w:tcPr>
          <w:p>
            <w:pPr>
              <w:spacing w:after="0"/>
              <w:rPr>
                <w:sz w:val="4"/>
                <w:szCs w:val="4"/>
                <w:color w:val="auto"/>
              </w:rPr>
            </w:pPr>
          </w:p>
        </w:tc>
        <w:tc>
          <w:tcPr>
            <w:tcW w:w="2880" w:type="dxa"/>
            <w:vAlign w:val="bottom"/>
            <w:vMerge w:val="continue"/>
          </w:tcPr>
          <w:p>
            <w:pPr>
              <w:spacing w:after="0"/>
              <w:rPr>
                <w:sz w:val="4"/>
                <w:szCs w:val="4"/>
                <w:color w:val="auto"/>
              </w:rPr>
            </w:pPr>
          </w:p>
        </w:tc>
        <w:tc>
          <w:tcPr>
            <w:tcW w:w="512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324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512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97"/>
              </w:rPr>
              <w:t>Arthur H. Penn</w:t>
            </w:r>
          </w:p>
        </w:tc>
        <w:tc>
          <w:tcPr>
            <w:tcW w:w="0" w:type="dxa"/>
            <w:vAlign w:val="bottom"/>
          </w:tcPr>
          <w:p>
            <w:pPr>
              <w:spacing w:after="0"/>
              <w:rPr>
                <w:sz w:val="1"/>
                <w:szCs w:val="1"/>
                <w:color w:val="auto"/>
              </w:rPr>
            </w:pPr>
          </w:p>
        </w:tc>
      </w:tr>
      <w:tr>
        <w:trPr>
          <w:trHeight w:val="148"/>
        </w:trPr>
        <w:tc>
          <w:tcPr>
            <w:tcW w:w="32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5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Chief Executive Officer and Chairman of the Board of Directors</w:t>
            </w:r>
          </w:p>
        </w:tc>
        <w:tc>
          <w:tcPr>
            <w:tcW w:w="0" w:type="dxa"/>
            <w:vAlign w:val="bottom"/>
          </w:tcPr>
          <w:p>
            <w:pPr>
              <w:spacing w:after="0"/>
              <w:rPr>
                <w:sz w:val="1"/>
                <w:szCs w:val="1"/>
                <w:color w:val="auto"/>
              </w:rPr>
            </w:pPr>
          </w:p>
        </w:tc>
      </w:tr>
      <w:tr>
        <w:trPr>
          <w:trHeight w:val="186"/>
        </w:trPr>
        <w:tc>
          <w:tcPr>
            <w:tcW w:w="324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5120" w:type="dxa"/>
            <w:vAlign w:val="bottom"/>
          </w:tcPr>
          <w:p>
            <w:pPr>
              <w:jc w:val="center"/>
              <w:spacing w:after="0"/>
              <w:rPr>
                <w:sz w:val="20"/>
                <w:szCs w:val="20"/>
                <w:color w:val="auto"/>
              </w:rPr>
            </w:pPr>
            <w:r>
              <w:rPr>
                <w:rFonts w:ascii="Arial" w:cs="Arial" w:eastAsia="Arial" w:hAnsi="Arial"/>
                <w:sz w:val="14"/>
                <w:szCs w:val="14"/>
                <w:b w:val="1"/>
                <w:bCs w:val="1"/>
                <w:color w:val="auto"/>
                <w:w w:val="94"/>
              </w:rPr>
              <w:t>(Principal Executive Officer)</w:t>
            </w:r>
          </w:p>
        </w:tc>
        <w:tc>
          <w:tcPr>
            <w:tcW w:w="0" w:type="dxa"/>
            <w:vAlign w:val="bottom"/>
          </w:tcPr>
          <w:p>
            <w:pPr>
              <w:spacing w:after="0"/>
              <w:rPr>
                <w:sz w:val="1"/>
                <w:szCs w:val="1"/>
                <w:color w:val="auto"/>
              </w:rPr>
            </w:pPr>
          </w:p>
        </w:tc>
      </w:tr>
      <w:tr>
        <w:trPr>
          <w:trHeight w:val="297"/>
        </w:trPr>
        <w:tc>
          <w:tcPr>
            <w:tcW w:w="3240" w:type="dxa"/>
            <w:vAlign w:val="bottom"/>
          </w:tcPr>
          <w:p>
            <w:pPr>
              <w:spacing w:after="0"/>
              <w:rPr>
                <w:sz w:val="20"/>
                <w:szCs w:val="20"/>
                <w:color w:val="auto"/>
              </w:rPr>
            </w:pPr>
            <w:r>
              <w:rPr>
                <w:rFonts w:ascii="Arial" w:cs="Arial" w:eastAsia="Arial" w:hAnsi="Arial"/>
                <w:sz w:val="14"/>
                <w:szCs w:val="14"/>
                <w:color w:val="auto"/>
              </w:rPr>
              <w:t>Date: August 8, 2018</w:t>
            </w:r>
          </w:p>
        </w:tc>
        <w:tc>
          <w:tcPr>
            <w:tcW w:w="2880" w:type="dxa"/>
            <w:vAlign w:val="bottom"/>
            <w:vMerge w:val="restart"/>
          </w:tcPr>
          <w:p>
            <w:pPr>
              <w:ind w:left="2000"/>
              <w:spacing w:after="0"/>
              <w:rPr>
                <w:sz w:val="20"/>
                <w:szCs w:val="20"/>
                <w:color w:val="auto"/>
              </w:rPr>
            </w:pPr>
            <w:r>
              <w:rPr>
                <w:rFonts w:ascii="Arial" w:cs="Arial" w:eastAsia="Arial" w:hAnsi="Arial"/>
                <w:sz w:val="14"/>
                <w:szCs w:val="14"/>
                <w:color w:val="auto"/>
              </w:rPr>
              <w:t>By:</w:t>
            </w:r>
          </w:p>
        </w:tc>
        <w:tc>
          <w:tcPr>
            <w:tcW w:w="5120" w:type="dxa"/>
            <w:vAlign w:val="bottom"/>
            <w:vMerge w:val="restart"/>
          </w:tcPr>
          <w:p>
            <w:pPr>
              <w:jc w:val="center"/>
              <w:spacing w:after="0"/>
              <w:rPr>
                <w:sz w:val="20"/>
                <w:szCs w:val="20"/>
                <w:color w:val="auto"/>
              </w:rPr>
            </w:pPr>
            <w:r>
              <w:rPr>
                <w:rFonts w:ascii="Arial" w:cs="Arial" w:eastAsia="Arial" w:hAnsi="Arial"/>
                <w:sz w:val="14"/>
                <w:szCs w:val="14"/>
                <w:color w:val="auto"/>
                <w:w w:val="96"/>
              </w:rPr>
              <w:t>/s/ Aviv Efrat</w:t>
            </w:r>
          </w:p>
        </w:tc>
        <w:tc>
          <w:tcPr>
            <w:tcW w:w="0" w:type="dxa"/>
            <w:vAlign w:val="bottom"/>
          </w:tcPr>
          <w:p>
            <w:pPr>
              <w:spacing w:after="0"/>
              <w:rPr>
                <w:sz w:val="1"/>
                <w:szCs w:val="1"/>
                <w:color w:val="auto"/>
              </w:rPr>
            </w:pPr>
          </w:p>
        </w:tc>
      </w:tr>
      <w:tr>
        <w:trPr>
          <w:trHeight w:val="58"/>
        </w:trPr>
        <w:tc>
          <w:tcPr>
            <w:tcW w:w="3240" w:type="dxa"/>
            <w:vAlign w:val="bottom"/>
          </w:tcPr>
          <w:p>
            <w:pPr>
              <w:spacing w:after="0"/>
              <w:rPr>
                <w:sz w:val="4"/>
                <w:szCs w:val="4"/>
                <w:color w:val="auto"/>
              </w:rPr>
            </w:pPr>
          </w:p>
        </w:tc>
        <w:tc>
          <w:tcPr>
            <w:tcW w:w="2880" w:type="dxa"/>
            <w:vAlign w:val="bottom"/>
            <w:vMerge w:val="continue"/>
          </w:tcPr>
          <w:p>
            <w:pPr>
              <w:spacing w:after="0"/>
              <w:rPr>
                <w:sz w:val="4"/>
                <w:szCs w:val="4"/>
                <w:color w:val="auto"/>
              </w:rPr>
            </w:pPr>
          </w:p>
        </w:tc>
        <w:tc>
          <w:tcPr>
            <w:tcW w:w="512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324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5120" w:type="dxa"/>
            <w:vAlign w:val="bottom"/>
          </w:tcPr>
          <w:p>
            <w:pPr>
              <w:jc w:val="center"/>
              <w:spacing w:after="0"/>
              <w:rPr>
                <w:sz w:val="20"/>
                <w:szCs w:val="20"/>
                <w:color w:val="auto"/>
              </w:rPr>
            </w:pPr>
            <w:r>
              <w:rPr>
                <w:rFonts w:ascii="Arial" w:cs="Arial" w:eastAsia="Arial" w:hAnsi="Arial"/>
                <w:sz w:val="14"/>
                <w:szCs w:val="14"/>
                <w:b w:val="1"/>
                <w:bCs w:val="1"/>
                <w:color w:val="auto"/>
                <w:w w:val="97"/>
              </w:rPr>
              <w:t>Aviv Efrat</w:t>
            </w:r>
          </w:p>
        </w:tc>
        <w:tc>
          <w:tcPr>
            <w:tcW w:w="0" w:type="dxa"/>
            <w:vAlign w:val="bottom"/>
          </w:tcPr>
          <w:p>
            <w:pPr>
              <w:spacing w:after="0"/>
              <w:rPr>
                <w:sz w:val="1"/>
                <w:szCs w:val="1"/>
                <w:color w:val="auto"/>
              </w:rPr>
            </w:pPr>
          </w:p>
        </w:tc>
      </w:tr>
      <w:tr>
        <w:trPr>
          <w:trHeight w:val="205"/>
        </w:trPr>
        <w:tc>
          <w:tcPr>
            <w:tcW w:w="324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5120" w:type="dxa"/>
            <w:vAlign w:val="bottom"/>
          </w:tcPr>
          <w:p>
            <w:pPr>
              <w:jc w:val="center"/>
              <w:spacing w:after="0"/>
              <w:rPr>
                <w:sz w:val="20"/>
                <w:szCs w:val="20"/>
                <w:color w:val="auto"/>
              </w:rPr>
            </w:pPr>
            <w:r>
              <w:rPr>
                <w:rFonts w:ascii="Arial" w:cs="Arial" w:eastAsia="Arial" w:hAnsi="Arial"/>
                <w:sz w:val="14"/>
                <w:szCs w:val="14"/>
                <w:b w:val="1"/>
                <w:bCs w:val="1"/>
                <w:color w:val="auto"/>
                <w:w w:val="94"/>
              </w:rPr>
              <w:t>Chief Financial Officer and Treasurer</w:t>
            </w:r>
          </w:p>
        </w:tc>
        <w:tc>
          <w:tcPr>
            <w:tcW w:w="0" w:type="dxa"/>
            <w:vAlign w:val="bottom"/>
          </w:tcPr>
          <w:p>
            <w:pPr>
              <w:spacing w:after="0"/>
              <w:rPr>
                <w:sz w:val="1"/>
                <w:szCs w:val="1"/>
                <w:color w:val="auto"/>
              </w:rPr>
            </w:pPr>
          </w:p>
        </w:tc>
      </w:tr>
      <w:tr>
        <w:trPr>
          <w:trHeight w:val="186"/>
        </w:trPr>
        <w:tc>
          <w:tcPr>
            <w:tcW w:w="324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5120" w:type="dxa"/>
            <w:vAlign w:val="bottom"/>
          </w:tcPr>
          <w:p>
            <w:pPr>
              <w:jc w:val="center"/>
              <w:spacing w:after="0"/>
              <w:rPr>
                <w:sz w:val="20"/>
                <w:szCs w:val="20"/>
                <w:color w:val="auto"/>
              </w:rPr>
            </w:pPr>
            <w:r>
              <w:rPr>
                <w:rFonts w:ascii="Arial" w:cs="Arial" w:eastAsia="Arial" w:hAnsi="Arial"/>
                <w:sz w:val="14"/>
                <w:szCs w:val="14"/>
                <w:b w:val="1"/>
                <w:bCs w:val="1"/>
                <w:color w:val="auto"/>
                <w:w w:val="94"/>
              </w:rPr>
              <w:t>(Principal Financial and Accounting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ectPr>
          <w:pgSz w:w="11900" w:h="16838" w:orient="portrait"/>
          <w:cols w:equalWidth="0" w:num="1">
            <w:col w:w="11240"/>
          </w:cols>
          <w:pgMar w:left="320" w:top="265"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4"/>
          <w:szCs w:val="14"/>
          <w:b w:val="1"/>
          <w:bCs w:val="1"/>
          <w:color w:val="auto"/>
        </w:rPr>
        <w:t>EXHIBIT 31.1</w:t>
      </w:r>
    </w:p>
    <w:p>
      <w:pPr>
        <w:ind w:left="4040"/>
        <w:spacing w:after="0" w:line="226" w:lineRule="auto"/>
        <w:rPr>
          <w:sz w:val="20"/>
          <w:szCs w:val="20"/>
          <w:color w:val="auto"/>
        </w:rPr>
      </w:pPr>
      <w:r>
        <w:rPr>
          <w:rFonts w:ascii="Arial" w:cs="Arial" w:eastAsia="Arial" w:hAnsi="Arial"/>
          <w:sz w:val="14"/>
          <w:szCs w:val="14"/>
          <w:b w:val="1"/>
          <w:bCs w:val="1"/>
          <w:color w:val="auto"/>
        </w:rPr>
        <w:t>CERTIFICATION PURSUANT TO SECTION 302</w:t>
      </w:r>
    </w:p>
    <w:p>
      <w:pPr>
        <w:ind w:left="4020"/>
        <w:spacing w:after="0"/>
        <w:rPr>
          <w:sz w:val="20"/>
          <w:szCs w:val="20"/>
          <w:color w:val="auto"/>
        </w:rPr>
      </w:pPr>
      <w:r>
        <w:rPr>
          <w:rFonts w:ascii="Arial" w:cs="Arial" w:eastAsia="Arial" w:hAnsi="Arial"/>
          <w:sz w:val="14"/>
          <w:szCs w:val="14"/>
          <w:b w:val="1"/>
          <w:bCs w:val="1"/>
          <w:color w:val="auto"/>
        </w:rPr>
        <w:t>CHIEF EXECUTIVE OFFICER CERTIFICATION</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auto"/>
        </w:rPr>
        <w:t>I, Arthur H. Penn, Chief Executive Officer of PennantPark Floating Rate Capital Ltd., certify that:</w:t>
      </w:r>
    </w:p>
    <w:p>
      <w:pPr>
        <w:spacing w:after="0" w:line="150" w:lineRule="exact"/>
        <w:rPr>
          <w:sz w:val="20"/>
          <w:szCs w:val="20"/>
          <w:color w:val="auto"/>
        </w:rPr>
      </w:pPr>
    </w:p>
    <w:p>
      <w:pPr>
        <w:ind w:left="900" w:hanging="143"/>
        <w:spacing w:after="0"/>
        <w:tabs>
          <w:tab w:leader="none" w:pos="9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 have reviewed this Report on Form 10-Q of PennantPark Floating Rate Capital Ltd.;</w:t>
      </w:r>
    </w:p>
    <w:p>
      <w:pPr>
        <w:spacing w:after="0" w:line="149" w:lineRule="exact"/>
        <w:rPr>
          <w:rFonts w:ascii="Arial" w:cs="Arial" w:eastAsia="Arial" w:hAnsi="Arial"/>
          <w:sz w:val="14"/>
          <w:szCs w:val="14"/>
          <w:color w:val="auto"/>
        </w:rPr>
      </w:pPr>
    </w:p>
    <w:p>
      <w:pPr>
        <w:ind w:right="20" w:firstLine="757"/>
        <w:spacing w:after="0" w:line="253" w:lineRule="auto"/>
        <w:tabs>
          <w:tab w:leader="none" w:pos="895" w:val="left"/>
        </w:tabs>
        <w:numPr>
          <w:ilvl w:val="0"/>
          <w:numId w:val="29"/>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9" w:lineRule="exact"/>
        <w:rPr>
          <w:rFonts w:ascii="Arial" w:cs="Arial" w:eastAsia="Arial" w:hAnsi="Arial"/>
          <w:sz w:val="14"/>
          <w:szCs w:val="14"/>
          <w:color w:val="auto"/>
        </w:rPr>
      </w:pPr>
    </w:p>
    <w:p>
      <w:pPr>
        <w:ind w:firstLine="757"/>
        <w:spacing w:after="0" w:line="253" w:lineRule="auto"/>
        <w:tabs>
          <w:tab w:leader="none" w:pos="899" w:val="left"/>
        </w:tabs>
        <w:numPr>
          <w:ilvl w:val="0"/>
          <w:numId w:val="29"/>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4"/>
          <w:szCs w:val="14"/>
          <w:color w:val="auto"/>
        </w:rPr>
      </w:pPr>
    </w:p>
    <w:p>
      <w:pPr>
        <w:ind w:left="900" w:hanging="143"/>
        <w:spacing w:after="0"/>
        <w:tabs>
          <w:tab w:leader="none" w:pos="9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w:t>
      </w:r>
    </w:p>
    <w:p>
      <w:pPr>
        <w:spacing w:after="0" w:line="1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15d-15(e)) and internal control over financial reporting (as defined in Exchange Act Rules 13a-15(f) and 15d-15(f)) for the registrant and have:</w:t>
      </w:r>
    </w:p>
    <w:p>
      <w:pPr>
        <w:spacing w:after="0" w:line="43" w:lineRule="exact"/>
        <w:rPr>
          <w:rFonts w:ascii="Arial" w:cs="Arial" w:eastAsia="Arial" w:hAnsi="Arial"/>
          <w:sz w:val="13"/>
          <w:szCs w:val="13"/>
          <w:color w:val="auto"/>
        </w:rPr>
      </w:pPr>
    </w:p>
    <w:p>
      <w:pPr>
        <w:jc w:val="both"/>
        <w:ind w:firstLine="1405"/>
        <w:spacing w:after="0" w:line="238" w:lineRule="auto"/>
        <w:tabs>
          <w:tab w:leader="none" w:pos="1558" w:val="left"/>
        </w:tabs>
        <w:numPr>
          <w:ilvl w:val="1"/>
          <w:numId w:val="29"/>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128" w:lineRule="exact"/>
        <w:rPr>
          <w:rFonts w:ascii="Arial" w:cs="Arial" w:eastAsia="Arial" w:hAnsi="Arial"/>
          <w:sz w:val="14"/>
          <w:szCs w:val="14"/>
          <w:color w:val="auto"/>
        </w:rPr>
      </w:pPr>
    </w:p>
    <w:p>
      <w:pPr>
        <w:jc w:val="both"/>
        <w:ind w:firstLine="1405"/>
        <w:spacing w:after="0" w:line="238" w:lineRule="auto"/>
        <w:tabs>
          <w:tab w:leader="none" w:pos="1573" w:val="left"/>
        </w:tabs>
        <w:numPr>
          <w:ilvl w:val="1"/>
          <w:numId w:val="29"/>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28" w:lineRule="exact"/>
        <w:rPr>
          <w:rFonts w:ascii="Arial" w:cs="Arial" w:eastAsia="Arial" w:hAnsi="Arial"/>
          <w:sz w:val="14"/>
          <w:szCs w:val="14"/>
          <w:color w:val="auto"/>
        </w:rPr>
      </w:pPr>
    </w:p>
    <w:p>
      <w:pPr>
        <w:ind w:firstLine="1405"/>
        <w:spacing w:after="0" w:line="253" w:lineRule="auto"/>
        <w:tabs>
          <w:tab w:leader="none" w:pos="1547" w:val="left"/>
        </w:tabs>
        <w:numPr>
          <w:ilvl w:val="1"/>
          <w:numId w:val="29"/>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9" w:lineRule="exact"/>
        <w:rPr>
          <w:rFonts w:ascii="Arial" w:cs="Arial" w:eastAsia="Arial" w:hAnsi="Arial"/>
          <w:sz w:val="14"/>
          <w:szCs w:val="14"/>
          <w:color w:val="auto"/>
        </w:rPr>
      </w:pPr>
    </w:p>
    <w:p>
      <w:pPr>
        <w:jc w:val="both"/>
        <w:ind w:firstLine="1405"/>
        <w:spacing w:after="0" w:line="290" w:lineRule="auto"/>
        <w:tabs>
          <w:tab w:leader="none" w:pos="1566" w:val="left"/>
        </w:tabs>
        <w:numPr>
          <w:ilvl w:val="1"/>
          <w:numId w:val="29"/>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7" w:lineRule="exact"/>
        <w:rPr>
          <w:rFonts w:ascii="Arial" w:cs="Arial" w:eastAsia="Arial" w:hAnsi="Arial"/>
          <w:sz w:val="13"/>
          <w:szCs w:val="13"/>
          <w:color w:val="auto"/>
        </w:rPr>
      </w:pPr>
    </w:p>
    <w:p>
      <w:pPr>
        <w:ind w:firstLine="757"/>
        <w:spacing w:after="0" w:line="253" w:lineRule="auto"/>
        <w:tabs>
          <w:tab w:leader="none" w:pos="902"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4"/>
          <w:szCs w:val="14"/>
          <w:color w:val="auto"/>
        </w:rPr>
      </w:pPr>
    </w:p>
    <w:p>
      <w:pPr>
        <w:ind w:right="20" w:firstLine="1405"/>
        <w:spacing w:after="0" w:line="253" w:lineRule="auto"/>
        <w:tabs>
          <w:tab w:leader="none" w:pos="1559" w:val="left"/>
        </w:tabs>
        <w:numPr>
          <w:ilvl w:val="1"/>
          <w:numId w:val="29"/>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9" w:lineRule="exact"/>
        <w:rPr>
          <w:rFonts w:ascii="Arial" w:cs="Arial" w:eastAsia="Arial" w:hAnsi="Arial"/>
          <w:sz w:val="14"/>
          <w:szCs w:val="14"/>
          <w:color w:val="auto"/>
        </w:rPr>
      </w:pPr>
    </w:p>
    <w:p>
      <w:pPr>
        <w:ind w:left="1580" w:hanging="175"/>
        <w:spacing w:after="0"/>
        <w:tabs>
          <w:tab w:leader="none" w:pos="1580" w:val="left"/>
        </w:tabs>
        <w:numPr>
          <w:ilvl w:val="1"/>
          <w:numId w:val="29"/>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w:t>
      </w:r>
    </w:p>
    <w:p>
      <w:pPr>
        <w:spacing w:after="0" w:line="1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reporting.</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auto"/>
        </w:rPr>
        <w:t>Dated: August 8, 2018</w:t>
      </w:r>
    </w:p>
    <w:p>
      <w:pPr>
        <w:spacing w:after="0" w:line="339" w:lineRule="exact"/>
        <w:rPr>
          <w:sz w:val="20"/>
          <w:szCs w:val="20"/>
          <w:color w:val="auto"/>
        </w:rPr>
      </w:pPr>
    </w:p>
    <w:p>
      <w:pPr>
        <w:spacing w:after="0"/>
        <w:rPr>
          <w:sz w:val="20"/>
          <w:szCs w:val="20"/>
          <w:color w:val="auto"/>
        </w:rPr>
      </w:pPr>
      <w:r>
        <w:rPr>
          <w:rFonts w:ascii="Arial" w:cs="Arial" w:eastAsia="Arial" w:hAnsi="Arial"/>
          <w:sz w:val="14"/>
          <w:szCs w:val="14"/>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4688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7">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Name: Arthur H. Penn</w:t>
      </w:r>
    </w:p>
    <w:p>
      <w:pPr>
        <w:spacing w:after="0" w:line="28" w:lineRule="exact"/>
        <w:rPr>
          <w:sz w:val="20"/>
          <w:szCs w:val="20"/>
          <w:color w:val="auto"/>
        </w:rPr>
      </w:pPr>
    </w:p>
    <w:p>
      <w:pPr>
        <w:spacing w:after="0"/>
        <w:tabs>
          <w:tab w:leader="none" w:pos="44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3"/>
          <w:szCs w:val="13"/>
          <w:color w:val="auto"/>
        </w:rPr>
        <w:t>Chief Executive Officer</w:t>
      </w:r>
    </w:p>
    <w:p>
      <w:pPr>
        <w:sectPr>
          <w:pgSz w:w="11900" w:h="16838" w:orient="portrait"/>
          <w:cols w:equalWidth="0" w:num="1">
            <w:col w:w="11240"/>
          </w:cols>
          <w:pgMar w:left="320" w:top="333"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4"/>
          <w:szCs w:val="14"/>
          <w:b w:val="1"/>
          <w:bCs w:val="1"/>
          <w:color w:val="auto"/>
        </w:rPr>
        <w:t>EXHIBIT 31.2</w:t>
      </w:r>
    </w:p>
    <w:p>
      <w:pPr>
        <w:ind w:left="4040"/>
        <w:spacing w:after="0" w:line="226" w:lineRule="auto"/>
        <w:rPr>
          <w:sz w:val="20"/>
          <w:szCs w:val="20"/>
          <w:color w:val="auto"/>
        </w:rPr>
      </w:pPr>
      <w:r>
        <w:rPr>
          <w:rFonts w:ascii="Arial" w:cs="Arial" w:eastAsia="Arial" w:hAnsi="Arial"/>
          <w:sz w:val="14"/>
          <w:szCs w:val="14"/>
          <w:b w:val="1"/>
          <w:bCs w:val="1"/>
          <w:color w:val="auto"/>
        </w:rPr>
        <w:t>CERTIFICATION PURSUANT TO SECTION 302</w:t>
      </w:r>
    </w:p>
    <w:p>
      <w:pPr>
        <w:ind w:left="4040"/>
        <w:spacing w:after="0"/>
        <w:rPr>
          <w:sz w:val="20"/>
          <w:szCs w:val="20"/>
          <w:color w:val="auto"/>
        </w:rPr>
      </w:pPr>
      <w:r>
        <w:rPr>
          <w:rFonts w:ascii="Arial" w:cs="Arial" w:eastAsia="Arial" w:hAnsi="Arial"/>
          <w:sz w:val="14"/>
          <w:szCs w:val="14"/>
          <w:b w:val="1"/>
          <w:bCs w:val="1"/>
          <w:color w:val="auto"/>
        </w:rPr>
        <w:t>CHIEF FINANCIAL OFFICER CERTIFICATION</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auto"/>
        </w:rPr>
        <w:t>I, Aviv Efrat, Chief Financial Officer of PennantPark Floating Rate Capital Ltd., certify that:</w:t>
      </w:r>
    </w:p>
    <w:p>
      <w:pPr>
        <w:spacing w:after="0" w:line="150" w:lineRule="exact"/>
        <w:rPr>
          <w:sz w:val="20"/>
          <w:szCs w:val="20"/>
          <w:color w:val="auto"/>
        </w:rPr>
      </w:pPr>
    </w:p>
    <w:p>
      <w:pPr>
        <w:ind w:left="900" w:hanging="143"/>
        <w:spacing w:after="0"/>
        <w:tabs>
          <w:tab w:leader="none" w:pos="9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I have reviewed this Report on Form 10-Q of PennantPark Floating Rate Capital Ltd.;</w:t>
      </w:r>
    </w:p>
    <w:p>
      <w:pPr>
        <w:spacing w:after="0" w:line="149" w:lineRule="exact"/>
        <w:rPr>
          <w:rFonts w:ascii="Arial" w:cs="Arial" w:eastAsia="Arial" w:hAnsi="Arial"/>
          <w:sz w:val="14"/>
          <w:szCs w:val="14"/>
          <w:color w:val="auto"/>
        </w:rPr>
      </w:pPr>
    </w:p>
    <w:p>
      <w:pPr>
        <w:ind w:right="20" w:firstLine="757"/>
        <w:spacing w:after="0" w:line="253" w:lineRule="auto"/>
        <w:tabs>
          <w:tab w:leader="none" w:pos="895" w:val="left"/>
        </w:tabs>
        <w:numPr>
          <w:ilvl w:val="0"/>
          <w:numId w:val="30"/>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9" w:lineRule="exact"/>
        <w:rPr>
          <w:rFonts w:ascii="Arial" w:cs="Arial" w:eastAsia="Arial" w:hAnsi="Arial"/>
          <w:sz w:val="14"/>
          <w:szCs w:val="14"/>
          <w:color w:val="auto"/>
        </w:rPr>
      </w:pPr>
    </w:p>
    <w:p>
      <w:pPr>
        <w:ind w:firstLine="757"/>
        <w:spacing w:after="0" w:line="253" w:lineRule="auto"/>
        <w:tabs>
          <w:tab w:leader="none" w:pos="899" w:val="left"/>
        </w:tabs>
        <w:numPr>
          <w:ilvl w:val="0"/>
          <w:numId w:val="30"/>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4"/>
          <w:szCs w:val="14"/>
          <w:color w:val="auto"/>
        </w:rPr>
      </w:pPr>
    </w:p>
    <w:p>
      <w:pPr>
        <w:ind w:left="900" w:hanging="143"/>
        <w:spacing w:after="0"/>
        <w:tabs>
          <w:tab w:leader="none" w:pos="9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w:t>
      </w:r>
    </w:p>
    <w:p>
      <w:pPr>
        <w:spacing w:after="0" w:line="1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15d-15(e)) and internal control over financial reporting (as defined in Exchange Act Rules 13a-15(f) and 15d-15(f)) for the registrant and have:</w:t>
      </w:r>
    </w:p>
    <w:p>
      <w:pPr>
        <w:spacing w:after="0" w:line="43" w:lineRule="exact"/>
        <w:rPr>
          <w:rFonts w:ascii="Arial" w:cs="Arial" w:eastAsia="Arial" w:hAnsi="Arial"/>
          <w:sz w:val="13"/>
          <w:szCs w:val="13"/>
          <w:color w:val="auto"/>
        </w:rPr>
      </w:pPr>
    </w:p>
    <w:p>
      <w:pPr>
        <w:jc w:val="both"/>
        <w:ind w:firstLine="1405"/>
        <w:spacing w:after="0" w:line="238" w:lineRule="auto"/>
        <w:tabs>
          <w:tab w:leader="none" w:pos="1558" w:val="left"/>
        </w:tabs>
        <w:numPr>
          <w:ilvl w:val="1"/>
          <w:numId w:val="30"/>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128" w:lineRule="exact"/>
        <w:rPr>
          <w:rFonts w:ascii="Arial" w:cs="Arial" w:eastAsia="Arial" w:hAnsi="Arial"/>
          <w:sz w:val="14"/>
          <w:szCs w:val="14"/>
          <w:color w:val="auto"/>
        </w:rPr>
      </w:pPr>
    </w:p>
    <w:p>
      <w:pPr>
        <w:jc w:val="both"/>
        <w:ind w:firstLine="1405"/>
        <w:spacing w:after="0" w:line="238" w:lineRule="auto"/>
        <w:tabs>
          <w:tab w:leader="none" w:pos="1573" w:val="left"/>
        </w:tabs>
        <w:numPr>
          <w:ilvl w:val="1"/>
          <w:numId w:val="30"/>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28" w:lineRule="exact"/>
        <w:rPr>
          <w:rFonts w:ascii="Arial" w:cs="Arial" w:eastAsia="Arial" w:hAnsi="Arial"/>
          <w:sz w:val="14"/>
          <w:szCs w:val="14"/>
          <w:color w:val="auto"/>
        </w:rPr>
      </w:pPr>
    </w:p>
    <w:p>
      <w:pPr>
        <w:ind w:firstLine="1405"/>
        <w:spacing w:after="0" w:line="253" w:lineRule="auto"/>
        <w:tabs>
          <w:tab w:leader="none" w:pos="1549" w:val="left"/>
        </w:tabs>
        <w:numPr>
          <w:ilvl w:val="1"/>
          <w:numId w:val="30"/>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9" w:lineRule="exact"/>
        <w:rPr>
          <w:rFonts w:ascii="Arial" w:cs="Arial" w:eastAsia="Arial" w:hAnsi="Arial"/>
          <w:sz w:val="14"/>
          <w:szCs w:val="14"/>
          <w:color w:val="auto"/>
        </w:rPr>
      </w:pPr>
    </w:p>
    <w:p>
      <w:pPr>
        <w:jc w:val="both"/>
        <w:ind w:firstLine="1405"/>
        <w:spacing w:after="0" w:line="290" w:lineRule="auto"/>
        <w:tabs>
          <w:tab w:leader="none" w:pos="1566" w:val="left"/>
        </w:tabs>
        <w:numPr>
          <w:ilvl w:val="1"/>
          <w:numId w:val="30"/>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7" w:lineRule="exact"/>
        <w:rPr>
          <w:rFonts w:ascii="Arial" w:cs="Arial" w:eastAsia="Arial" w:hAnsi="Arial"/>
          <w:sz w:val="13"/>
          <w:szCs w:val="13"/>
          <w:color w:val="auto"/>
        </w:rPr>
      </w:pPr>
    </w:p>
    <w:p>
      <w:pPr>
        <w:ind w:firstLine="757"/>
        <w:spacing w:after="0" w:line="253" w:lineRule="auto"/>
        <w:tabs>
          <w:tab w:leader="none" w:pos="902"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4"/>
          <w:szCs w:val="14"/>
          <w:color w:val="auto"/>
        </w:rPr>
      </w:pPr>
    </w:p>
    <w:p>
      <w:pPr>
        <w:ind w:right="20" w:firstLine="1405"/>
        <w:spacing w:after="0" w:line="253" w:lineRule="auto"/>
        <w:tabs>
          <w:tab w:leader="none" w:pos="1559" w:val="left"/>
        </w:tabs>
        <w:numPr>
          <w:ilvl w:val="1"/>
          <w:numId w:val="30"/>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9" w:lineRule="exact"/>
        <w:rPr>
          <w:rFonts w:ascii="Arial" w:cs="Arial" w:eastAsia="Arial" w:hAnsi="Arial"/>
          <w:sz w:val="14"/>
          <w:szCs w:val="14"/>
          <w:color w:val="auto"/>
        </w:rPr>
      </w:pPr>
    </w:p>
    <w:p>
      <w:pPr>
        <w:ind w:left="1580" w:hanging="175"/>
        <w:spacing w:after="0"/>
        <w:tabs>
          <w:tab w:leader="none" w:pos="1580" w:val="left"/>
        </w:tabs>
        <w:numPr>
          <w:ilvl w:val="1"/>
          <w:numId w:val="30"/>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w:t>
      </w:r>
    </w:p>
    <w:p>
      <w:pPr>
        <w:spacing w:after="0" w:line="1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reporting.</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auto"/>
        </w:rPr>
        <w:t>Dated: August 8, 2018</w:t>
      </w:r>
    </w:p>
    <w:p>
      <w:pPr>
        <w:spacing w:after="0" w:line="339" w:lineRule="exact"/>
        <w:rPr>
          <w:sz w:val="20"/>
          <w:szCs w:val="20"/>
          <w:color w:val="auto"/>
        </w:rPr>
      </w:pPr>
    </w:p>
    <w:p>
      <w:pPr>
        <w:spacing w:after="0"/>
        <w:rPr>
          <w:sz w:val="20"/>
          <w:szCs w:val="20"/>
          <w:color w:val="auto"/>
        </w:rPr>
      </w:pPr>
      <w:r>
        <w:rPr>
          <w:rFonts w:ascii="Arial" w:cs="Arial" w:eastAsia="Arial" w:hAnsi="Arial"/>
          <w:sz w:val="14"/>
          <w:szCs w:val="14"/>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4688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8">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Name: Aviv Efrat</w:t>
      </w:r>
    </w:p>
    <w:p>
      <w:pPr>
        <w:spacing w:after="0" w:line="28" w:lineRule="exact"/>
        <w:rPr>
          <w:sz w:val="20"/>
          <w:szCs w:val="20"/>
          <w:color w:val="auto"/>
        </w:rPr>
      </w:pPr>
    </w:p>
    <w:p>
      <w:pPr>
        <w:spacing w:after="0"/>
        <w:tabs>
          <w:tab w:leader="none" w:pos="44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3"/>
          <w:szCs w:val="13"/>
          <w:color w:val="auto"/>
        </w:rPr>
        <w:t>Chief Financial Officer</w:t>
      </w:r>
    </w:p>
    <w:p>
      <w:pPr>
        <w:sectPr>
          <w:pgSz w:w="11900" w:h="16838" w:orient="portrait"/>
          <w:cols w:equalWidth="0" w:num="1">
            <w:col w:w="11240"/>
          </w:cols>
          <w:pgMar w:left="320" w:top="333"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4"/>
          <w:szCs w:val="14"/>
          <w:b w:val="1"/>
          <w:bCs w:val="1"/>
          <w:color w:val="auto"/>
        </w:rPr>
        <w:t>EXHIBIT 32.1</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CHIEF EXECUTIVE OFFICER</w:t>
      </w:r>
    </w:p>
    <w:p>
      <w:pPr>
        <w:jc w:val="center"/>
        <w:spacing w:after="0" w:line="226" w:lineRule="auto"/>
        <w:rPr>
          <w:sz w:val="20"/>
          <w:szCs w:val="20"/>
          <w:color w:val="auto"/>
        </w:rPr>
      </w:pPr>
      <w:r>
        <w:rPr>
          <w:rFonts w:ascii="Arial" w:cs="Arial" w:eastAsia="Arial" w:hAnsi="Arial"/>
          <w:sz w:val="14"/>
          <w:szCs w:val="14"/>
          <w:b w:val="1"/>
          <w:bCs w:val="1"/>
          <w:color w:val="auto"/>
        </w:rPr>
        <w:t>PURSUANT TO</w:t>
      </w:r>
    </w:p>
    <w:p>
      <w:pPr>
        <w:jc w:val="center"/>
        <w:spacing w:after="0"/>
        <w:rPr>
          <w:sz w:val="20"/>
          <w:szCs w:val="20"/>
          <w:color w:val="auto"/>
        </w:rPr>
      </w:pPr>
      <w:r>
        <w:rPr>
          <w:rFonts w:ascii="Arial" w:cs="Arial" w:eastAsia="Arial" w:hAnsi="Arial"/>
          <w:sz w:val="14"/>
          <w:szCs w:val="14"/>
          <w:b w:val="1"/>
          <w:bCs w:val="1"/>
          <w:color w:val="auto"/>
        </w:rPr>
        <w:t>SECTION 906 OF THE SARBANES-OXLEY ACT OF 2002 (18 U.S.C. 1350)</w:t>
      </w:r>
    </w:p>
    <w:p>
      <w:pPr>
        <w:spacing w:after="0" w:line="138" w:lineRule="exact"/>
        <w:rPr>
          <w:sz w:val="20"/>
          <w:szCs w:val="20"/>
          <w:color w:val="auto"/>
        </w:rPr>
      </w:pPr>
    </w:p>
    <w:p>
      <w:pPr>
        <w:ind w:firstLine="479"/>
        <w:spacing w:after="0" w:line="290" w:lineRule="auto"/>
        <w:rPr>
          <w:sz w:val="20"/>
          <w:szCs w:val="20"/>
          <w:color w:val="auto"/>
        </w:rPr>
      </w:pPr>
      <w:r>
        <w:rPr>
          <w:rFonts w:ascii="Arial" w:cs="Arial" w:eastAsia="Arial" w:hAnsi="Arial"/>
          <w:sz w:val="13"/>
          <w:szCs w:val="13"/>
          <w:color w:val="auto"/>
        </w:rPr>
        <w:t>In connection with this Report on Form 10-Q for the three and nine months ended June 30, 2018, or the Report, of PennantPark Floating Rate Capital Ltd., or the Registrant, as filed with the Securities and Exchange Commission on the date hereof, I, Arthur H. Penn, Chief Executive Officer of the Registrant, hereby certify, to the best of my knowledge, that:</w:t>
      </w:r>
    </w:p>
    <w:p>
      <w:pPr>
        <w:spacing w:after="0" w:line="17" w:lineRule="exact"/>
        <w:rPr>
          <w:sz w:val="20"/>
          <w:szCs w:val="20"/>
          <w:color w:val="auto"/>
        </w:rPr>
      </w:pPr>
    </w:p>
    <w:p>
      <w:pPr>
        <w:ind w:left="760" w:hanging="374"/>
        <w:spacing w:after="0"/>
        <w:tabs>
          <w:tab w:leader="none" w:pos="7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as amended; and</w:t>
      </w:r>
    </w:p>
    <w:p>
      <w:pPr>
        <w:spacing w:after="0" w:line="109" w:lineRule="exact"/>
        <w:rPr>
          <w:rFonts w:ascii="Arial" w:cs="Arial" w:eastAsia="Arial" w:hAnsi="Arial"/>
          <w:sz w:val="14"/>
          <w:szCs w:val="14"/>
          <w:color w:val="auto"/>
        </w:rPr>
      </w:pPr>
    </w:p>
    <w:p>
      <w:pPr>
        <w:ind w:left="760" w:hanging="374"/>
        <w:spacing w:after="0"/>
        <w:tabs>
          <w:tab w:leader="none" w:pos="7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4"/>
          <w:szCs w:val="14"/>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4688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9">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Name: Arthur H. Penn</w:t>
      </w:r>
    </w:p>
    <w:p>
      <w:pPr>
        <w:spacing w:after="0" w:line="28" w:lineRule="exact"/>
        <w:rPr>
          <w:sz w:val="20"/>
          <w:szCs w:val="20"/>
          <w:color w:val="auto"/>
        </w:rPr>
      </w:pPr>
    </w:p>
    <w:p>
      <w:pPr>
        <w:spacing w:after="0"/>
        <w:tabs>
          <w:tab w:leader="none" w:pos="44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3"/>
          <w:szCs w:val="13"/>
          <w:color w:val="auto"/>
        </w:rPr>
        <w:t>Chief Executive Officer</w:t>
      </w:r>
    </w:p>
    <w:p>
      <w:pPr>
        <w:spacing w:after="0" w:line="28" w:lineRule="exact"/>
        <w:rPr>
          <w:sz w:val="20"/>
          <w:szCs w:val="20"/>
          <w:color w:val="auto"/>
        </w:rPr>
      </w:pPr>
    </w:p>
    <w:p>
      <w:pPr>
        <w:spacing w:after="0"/>
        <w:tabs>
          <w:tab w:leader="none" w:pos="440" w:val="left"/>
        </w:tabs>
        <w:rPr>
          <w:sz w:val="20"/>
          <w:szCs w:val="20"/>
          <w:color w:val="auto"/>
        </w:rPr>
      </w:pPr>
      <w:r>
        <w:rPr>
          <w:rFonts w:ascii="Arial" w:cs="Arial" w:eastAsia="Arial" w:hAnsi="Arial"/>
          <w:sz w:val="14"/>
          <w:szCs w:val="14"/>
          <w:color w:val="auto"/>
        </w:rPr>
        <w:t>Date:</w:t>
      </w:r>
      <w:r>
        <w:rPr>
          <w:sz w:val="20"/>
          <w:szCs w:val="20"/>
          <w:color w:val="auto"/>
        </w:rPr>
        <w:tab/>
      </w:r>
      <w:r>
        <w:rPr>
          <w:rFonts w:ascii="Arial" w:cs="Arial" w:eastAsia="Arial" w:hAnsi="Arial"/>
          <w:sz w:val="13"/>
          <w:szCs w:val="13"/>
          <w:color w:val="auto"/>
        </w:rPr>
        <w:t>August 8, 2018</w:t>
      </w:r>
    </w:p>
    <w:p>
      <w:pPr>
        <w:sectPr>
          <w:pgSz w:w="11900" w:h="16838" w:orient="portrait"/>
          <w:cols w:equalWidth="0" w:num="1">
            <w:col w:w="11240"/>
          </w:cols>
          <w:pgMar w:left="320" w:top="333"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4"/>
          <w:szCs w:val="14"/>
          <w:b w:val="1"/>
          <w:bCs w:val="1"/>
          <w:color w:val="auto"/>
        </w:rPr>
        <w:t>EXHIBIT 32.2</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CHIEF FINANCIAL OFFICER</w:t>
      </w:r>
    </w:p>
    <w:p>
      <w:pPr>
        <w:jc w:val="center"/>
        <w:spacing w:after="0" w:line="226" w:lineRule="auto"/>
        <w:rPr>
          <w:sz w:val="20"/>
          <w:szCs w:val="20"/>
          <w:color w:val="auto"/>
        </w:rPr>
      </w:pPr>
      <w:r>
        <w:rPr>
          <w:rFonts w:ascii="Arial" w:cs="Arial" w:eastAsia="Arial" w:hAnsi="Arial"/>
          <w:sz w:val="14"/>
          <w:szCs w:val="14"/>
          <w:b w:val="1"/>
          <w:bCs w:val="1"/>
          <w:color w:val="auto"/>
        </w:rPr>
        <w:t>PURSUANT TO</w:t>
      </w:r>
    </w:p>
    <w:p>
      <w:pPr>
        <w:jc w:val="center"/>
        <w:spacing w:after="0"/>
        <w:rPr>
          <w:sz w:val="20"/>
          <w:szCs w:val="20"/>
          <w:color w:val="auto"/>
        </w:rPr>
      </w:pPr>
      <w:r>
        <w:rPr>
          <w:rFonts w:ascii="Arial" w:cs="Arial" w:eastAsia="Arial" w:hAnsi="Arial"/>
          <w:sz w:val="14"/>
          <w:szCs w:val="14"/>
          <w:b w:val="1"/>
          <w:bCs w:val="1"/>
          <w:color w:val="auto"/>
        </w:rPr>
        <w:t>SECTION 906 OF THE SARBANES-OXLEY ACT OF 2002 (18 U.S.C. 1350)</w:t>
      </w:r>
    </w:p>
    <w:p>
      <w:pPr>
        <w:spacing w:after="0" w:line="138" w:lineRule="exact"/>
        <w:rPr>
          <w:sz w:val="20"/>
          <w:szCs w:val="20"/>
          <w:color w:val="auto"/>
        </w:rPr>
      </w:pPr>
    </w:p>
    <w:p>
      <w:pPr>
        <w:ind w:firstLine="479"/>
        <w:spacing w:after="0" w:line="253" w:lineRule="auto"/>
        <w:rPr>
          <w:sz w:val="20"/>
          <w:szCs w:val="20"/>
          <w:color w:val="auto"/>
        </w:rPr>
      </w:pPr>
      <w:r>
        <w:rPr>
          <w:rFonts w:ascii="Arial" w:cs="Arial" w:eastAsia="Arial" w:hAnsi="Arial"/>
          <w:sz w:val="14"/>
          <w:szCs w:val="14"/>
          <w:color w:val="auto"/>
        </w:rPr>
        <w:t>In connection with this Report on Form 10-Q for the three and nine months ended June 30, 2018, or the Report, of PennantPark Floating Rate Capital Ltd., or the Registrant, as filed with the Securities and Exchange Commission on the date hereof, I, Aviv Efrat, Chief Financial Officer of the Registrant, hereby certify, to the best of my knowledge, that:</w:t>
      </w:r>
    </w:p>
    <w:p>
      <w:pPr>
        <w:spacing w:after="0" w:line="39" w:lineRule="exact"/>
        <w:rPr>
          <w:sz w:val="20"/>
          <w:szCs w:val="20"/>
          <w:color w:val="auto"/>
        </w:rPr>
      </w:pPr>
    </w:p>
    <w:p>
      <w:pPr>
        <w:ind w:left="760" w:hanging="374"/>
        <w:spacing w:after="0"/>
        <w:tabs>
          <w:tab w:leader="none" w:pos="7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as amended; and</w:t>
      </w:r>
    </w:p>
    <w:p>
      <w:pPr>
        <w:spacing w:after="0" w:line="109" w:lineRule="exact"/>
        <w:rPr>
          <w:rFonts w:ascii="Arial" w:cs="Arial" w:eastAsia="Arial" w:hAnsi="Arial"/>
          <w:sz w:val="14"/>
          <w:szCs w:val="14"/>
          <w:color w:val="auto"/>
        </w:rPr>
      </w:pPr>
    </w:p>
    <w:p>
      <w:pPr>
        <w:ind w:left="760" w:hanging="374"/>
        <w:spacing w:after="0"/>
        <w:tabs>
          <w:tab w:leader="none" w:pos="7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4"/>
          <w:szCs w:val="14"/>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4688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0">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Name: Aviv Efrat</w:t>
      </w:r>
    </w:p>
    <w:p>
      <w:pPr>
        <w:spacing w:after="0" w:line="28" w:lineRule="exact"/>
        <w:rPr>
          <w:sz w:val="20"/>
          <w:szCs w:val="20"/>
          <w:color w:val="auto"/>
        </w:rPr>
      </w:pPr>
    </w:p>
    <w:p>
      <w:pPr>
        <w:spacing w:after="0"/>
        <w:tabs>
          <w:tab w:leader="none" w:pos="44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3"/>
          <w:szCs w:val="13"/>
          <w:color w:val="auto"/>
        </w:rPr>
        <w:t>Chief Financial Officer</w:t>
      </w:r>
    </w:p>
    <w:p>
      <w:pPr>
        <w:spacing w:after="0" w:line="28" w:lineRule="exact"/>
        <w:rPr>
          <w:sz w:val="20"/>
          <w:szCs w:val="20"/>
          <w:color w:val="auto"/>
        </w:rPr>
      </w:pPr>
    </w:p>
    <w:p>
      <w:pPr>
        <w:spacing w:after="0"/>
        <w:tabs>
          <w:tab w:leader="none" w:pos="440" w:val="left"/>
        </w:tabs>
        <w:rPr>
          <w:sz w:val="20"/>
          <w:szCs w:val="20"/>
          <w:color w:val="auto"/>
        </w:rPr>
      </w:pPr>
      <w:r>
        <w:rPr>
          <w:rFonts w:ascii="Arial" w:cs="Arial" w:eastAsia="Arial" w:hAnsi="Arial"/>
          <w:sz w:val="14"/>
          <w:szCs w:val="14"/>
          <w:color w:val="auto"/>
        </w:rPr>
        <w:t>Date:</w:t>
      </w:r>
      <w:r>
        <w:rPr>
          <w:sz w:val="20"/>
          <w:szCs w:val="20"/>
          <w:color w:val="auto"/>
        </w:rPr>
        <w:tab/>
      </w:r>
      <w:r>
        <w:rPr>
          <w:rFonts w:ascii="Arial" w:cs="Arial" w:eastAsia="Arial" w:hAnsi="Arial"/>
          <w:sz w:val="13"/>
          <w:szCs w:val="13"/>
          <w:color w:val="auto"/>
        </w:rPr>
        <w:t>August 8, 2018</w:t>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1)"/>
      <w:numFmt w:val="decimal"/>
      <w:start w:val="1"/>
    </w:lvl>
    <w:lvl w:ilvl="1">
      <w:lvlJc w:val="left"/>
      <w:lvlText w:val="(%2)"/>
      <w:numFmt w:val="decimal"/>
      <w:start w:val="12"/>
    </w:lvl>
  </w:abstractNum>
  <w:abstractNum w:abstractNumId="3">
    <w:nsid w:val="431BD7B7"/>
    <w:multiLevelType w:val="hybridMultilevel"/>
    <w:lvl w:ilvl="0">
      <w:lvlJc w:val="left"/>
      <w:lvlText w:val="(%1)"/>
      <w:numFmt w:val="decimal"/>
      <w:start w:val="1"/>
    </w:lvl>
    <w:lvl w:ilvl="1">
      <w:lvlJc w:val="left"/>
      <w:lvlText w:val="(%2)"/>
      <w:numFmt w:val="decimal"/>
      <w:start w:val="13"/>
    </w:lvl>
  </w:abstractNum>
  <w:abstractNum w:abstractNumId="4">
    <w:nsid w:val="3F2DBA31"/>
    <w:multiLevelType w:val="hybridMultilevel"/>
    <w:lvl w:ilvl="0">
      <w:lvlJc w:val="left"/>
      <w:lvlText w:val="(%1)"/>
      <w:numFmt w:val="decimal"/>
      <w:start w:val="1"/>
    </w:lvl>
  </w:abstractNum>
  <w:abstractNum w:abstractNumId="5">
    <w:nsid w:val="7C83E458"/>
    <w:multiLevelType w:val="hybridMultilevel"/>
    <w:lvl w:ilvl="0">
      <w:lvlJc w:val="left"/>
      <w:lvlText w:val="(%1)"/>
      <w:numFmt w:val="lowerLetter"/>
      <w:start w:val="5"/>
    </w:lvl>
    <w:lvl w:ilvl="1">
      <w:lvlJc w:val="left"/>
      <w:lvlText w:val="%2."/>
      <w:numFmt w:val="decimal"/>
      <w:start w:val="1"/>
    </w:lvl>
  </w:abstractNum>
  <w:abstractNum w:abstractNumId="6">
    <w:nsid w:val="257130A3"/>
    <w:multiLevelType w:val="hybridMultilevel"/>
    <w:lvl w:ilvl="0">
      <w:lvlJc w:val="left"/>
      <w:lvlText w:val="(%1)"/>
      <w:numFmt w:val="decimal"/>
      <w:start w:val="1"/>
    </w:lvl>
  </w:abstractNum>
  <w:abstractNum w:abstractNumId="7">
    <w:nsid w:val="62BBD95A"/>
    <w:multiLevelType w:val="hybridMultilevel"/>
    <w:lvl w:ilvl="0">
      <w:lvlJc w:val="left"/>
      <w:lvlText w:val="(%1)"/>
      <w:numFmt w:val="decimal"/>
      <w:start w:val="1"/>
    </w:lvl>
  </w:abstractNum>
  <w:abstractNum w:abstractNumId="8">
    <w:nsid w:val="436C6125"/>
    <w:multiLevelType w:val="hybridMultilevel"/>
    <w:lvl w:ilvl="0">
      <w:lvlJc w:val="left"/>
      <w:lvlText w:val="(%1)"/>
      <w:numFmt w:val="decimal"/>
      <w:start w:val="4"/>
    </w:lvl>
  </w:abstractNum>
  <w:abstractNum w:abstractNumId="9">
    <w:nsid w:val="628C895D"/>
    <w:multiLevelType w:val="hybridMultilevel"/>
    <w:lvl w:ilvl="0">
      <w:lvlJc w:val="left"/>
      <w:lvlText w:val="(%1)"/>
      <w:numFmt w:val="decimal"/>
      <w:start w:val="1"/>
    </w:lvl>
  </w:abstractNum>
  <w:abstractNum w:abstractNumId="10">
    <w:nsid w:val="333AB105"/>
    <w:multiLevelType w:val="hybridMultilevel"/>
    <w:lvl w:ilvl="0">
      <w:lvlJc w:val="left"/>
      <w:lvlText w:val="(%1)"/>
      <w:numFmt w:val="decimal"/>
      <w:start w:val="1"/>
    </w:lvl>
  </w:abstractNum>
  <w:abstractNum w:abstractNumId="11">
    <w:nsid w:val="721DA317"/>
    <w:multiLevelType w:val="hybridMultilevel"/>
    <w:lvl w:ilvl="0">
      <w:lvlJc w:val="left"/>
      <w:lvlText w:val="(%1)"/>
      <w:numFmt w:val="decimal"/>
      <w:start w:val="1"/>
    </w:lvl>
  </w:abstractNum>
  <w:abstractNum w:abstractNumId="12">
    <w:nsid w:val="2443A858"/>
    <w:multiLevelType w:val="hybridMultilevel"/>
    <w:lvl w:ilvl="0">
      <w:lvlJc w:val="left"/>
      <w:lvlText w:val="(%1)"/>
      <w:numFmt w:val="decimal"/>
      <w:start w:val="1"/>
    </w:lvl>
  </w:abstractNum>
  <w:abstractNum w:abstractNumId="13">
    <w:nsid w:val="2D1D5AE9"/>
    <w:multiLevelType w:val="hybridMultilevel"/>
    <w:lvl w:ilvl="0">
      <w:lvlJc w:val="left"/>
      <w:lvlText w:val="(%1)"/>
      <w:numFmt w:val="decimal"/>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1)"/>
      <w:numFmt w:val="decimal"/>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
      <w:numFmt w:val="bullet"/>
      <w:start w:val="1"/>
    </w:lvl>
  </w:abstractNum>
  <w:abstractNum w:abstractNumId="19">
    <w:nsid w:val="B03E0C6"/>
    <w:multiLevelType w:val="hybridMultilevel"/>
    <w:lvl w:ilvl="0">
      <w:lvlJc w:val="left"/>
      <w:lvlText w:val="(%1)"/>
      <w:numFmt w:val="decimal"/>
      <w:start w:val="1"/>
    </w:lvl>
  </w:abstractNum>
  <w:abstractNum w:abstractNumId="20">
    <w:nsid w:val="189A769B"/>
    <w:multiLevelType w:val="hybridMultilevel"/>
    <w:lvl w:ilvl="0">
      <w:lvlJc w:val="left"/>
      <w:lvlText w:val="(%1)"/>
      <w:numFmt w:val="decimal"/>
      <w:start w:val="3"/>
    </w:lvl>
  </w:abstractNum>
  <w:abstractNum w:abstractNumId="21">
    <w:nsid w:val="54E49EB4"/>
    <w:multiLevelType w:val="hybridMultilevel"/>
    <w:lvl w:ilvl="0">
      <w:lvlJc w:val="left"/>
      <w:lvlText w:val="%1."/>
      <w:numFmt w:val="decimal"/>
      <w:start w:val="1"/>
    </w:lvl>
  </w:abstractNum>
  <w:abstractNum w:abstractNumId="22">
    <w:nsid w:val="71F32454"/>
    <w:multiLevelType w:val="hybridMultilevel"/>
    <w:lvl w:ilvl="0">
      <w:lvlJc w:val="left"/>
      <w:lvlText w:val="(%1)"/>
      <w:numFmt w:val="decimal"/>
      <w:start w:val="1"/>
    </w:lvl>
  </w:abstractNum>
  <w:abstractNum w:abstractNumId="23">
    <w:nsid w:val="2CA88611"/>
    <w:multiLevelType w:val="hybridMultilevel"/>
    <w:lvl w:ilvl="0">
      <w:lvlJc w:val="left"/>
      <w:lvlText w:val="(%1)"/>
      <w:numFmt w:val="decimal"/>
      <w:start w:val="1"/>
    </w:lvl>
  </w:abstractNum>
  <w:abstractNum w:abstractNumId="24">
    <w:nsid w:val="836C40E"/>
    <w:multiLevelType w:val="hybridMultilevel"/>
    <w:lvl w:ilvl="0">
      <w:lvlJc w:val="left"/>
      <w:lvlText w:val="(%1)"/>
      <w:numFmt w:val="decimal"/>
      <w:start w:val="1"/>
    </w:lvl>
  </w:abstractNum>
  <w:abstractNum w:abstractNumId="25">
    <w:nsid w:val="2901D82"/>
    <w:multiLevelType w:val="hybridMultilevel"/>
    <w:lvl w:ilvl="0">
      <w:lvlJc w:val="left"/>
      <w:lvlText w:val="(%1)"/>
      <w:numFmt w:val="decimal"/>
      <w:start w:val="1"/>
    </w:lvl>
  </w:abstractNum>
  <w:abstractNum w:abstractNumId="26">
    <w:nsid w:val="3A95F874"/>
    <w:multiLevelType w:val="hybridMultilevel"/>
    <w:lvl w:ilvl="0">
      <w:lvlJc w:val="left"/>
      <w:lvlText w:val="(%1)"/>
      <w:numFmt w:val="decimal"/>
      <w:start w:val="1"/>
    </w:lvl>
  </w:abstractNum>
  <w:abstractNum w:abstractNumId="27">
    <w:nsid w:val="8138641"/>
    <w:multiLevelType w:val="hybridMultilevel"/>
    <w:lvl w:ilvl="0">
      <w:lvlJc w:val="left"/>
      <w:lvlText w:val="%1"/>
      <w:numFmt w:val="decimal"/>
      <w:start w:val="11"/>
    </w:lvl>
  </w:abstractNum>
  <w:abstractNum w:abstractNumId="28">
    <w:nsid w:val="1E7FF521"/>
    <w:multiLevelType w:val="hybridMultilevel"/>
    <w:lvl w:ilvl="0">
      <w:lvlJc w:val="left"/>
      <w:lvlText w:val="%1."/>
      <w:numFmt w:val="decimal"/>
      <w:start w:val="1"/>
    </w:lvl>
    <w:lvl w:ilvl="1">
      <w:lvlJc w:val="left"/>
      <w:lvlText w:val="%2)"/>
      <w:numFmt w:val="lowerLetter"/>
      <w:start w:val="1"/>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5" Type="http://schemas.openxmlformats.org/officeDocument/2006/relationships/image" Target="media/image64.png"/><Relationship Id="rId76" Type="http://schemas.openxmlformats.org/officeDocument/2006/relationships/image" Target="media/image65.png"/><Relationship Id="rId77"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png"/><Relationship Id="rId71" Type="http://schemas.openxmlformats.org/officeDocument/2006/relationships/hyperlink" Target="http://www.sec.gov/Archives/edgar/data/1504619/000119312511080862/dex99a.htm" TargetMode="External"/><Relationship Id="rId72" Type="http://schemas.openxmlformats.org/officeDocument/2006/relationships/hyperlink" Target="http://www.sec.gov/Archives/edgar/data/1504619/000119312515393212/d59576dex31.htm" TargetMode="External"/><Relationship Id="rId73" Type="http://schemas.openxmlformats.org/officeDocument/2006/relationships/hyperlink" Target="http://www.sec.gov/Archives/edgar/data/1504619/000119312511088977/dex99d.htm" TargetMode="External"/><Relationship Id="rId74" Type="http://schemas.openxmlformats.org/officeDocument/2006/relationships/hyperlink" Target="http://www.sec.gov/Archives/edgar/data/1504619/000150461911000050/pfltprivacypolicy093020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2020-05-05T12:11:30Z</dcterms:created>
  <dcterms:modified xsi:type="dcterms:W3CDTF">2020-05-05T12:11:30Z</dcterms:modified>
</cp:coreProperties>
</file>