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Flug Jeffrey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20"/>
        <w:spacing w:after="0" w:line="292" w:lineRule="auto"/>
        <w:rPr>
          <w:sz w:val="20"/>
          <w:szCs w:val="20"/>
          <w:color w:val="auto"/>
        </w:rPr>
      </w:pPr>
      <w:r>
        <w:rPr>
          <w:rFonts w:ascii="Arial" w:cs="Arial" w:eastAsia="Arial" w:hAnsi="Arial"/>
          <w:sz w:val="17"/>
          <w:szCs w:val="17"/>
          <w:color w:val="0000FF"/>
        </w:rPr>
        <w:t>C/O PENNANTPARK FLOATING RATE CAPITAL, 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PennantPark Floating Rate Capital Ltd.</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PFLT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8" w:lineRule="exact"/>
        <w:rPr>
          <w:sz w:val="24"/>
          <w:szCs w:val="24"/>
          <w:color w:val="auto"/>
        </w:rPr>
      </w:pPr>
    </w:p>
    <w:p>
      <w:pPr>
        <w:sectPr>
          <w:pgSz w:w="11900" w:h="16838" w:orient="portrait"/>
          <w:cols w:equalWidth="0" w:num="3">
            <w:col w:w="3200" w:space="720"/>
            <w:col w:w="3480" w:space="33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590 MADISON AVENUE, 15TH FLOOR</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5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vMerge w:val="restart"/>
          </w:tcPr>
          <w:p>
            <w:pPr>
              <w:ind w:left="660"/>
              <w:spacing w:after="0"/>
              <w:rPr>
                <w:sz w:val="20"/>
                <w:szCs w:val="20"/>
                <w:color w:val="auto"/>
              </w:rPr>
            </w:pPr>
            <w:r>
              <w:rPr>
                <w:rFonts w:ascii="Arial" w:cs="Arial" w:eastAsia="Arial" w:hAnsi="Arial"/>
                <w:sz w:val="17"/>
                <w:szCs w:val="17"/>
                <w:color w:val="0000FF"/>
              </w:rPr>
              <w:t>02/17/2022</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7"/>
                <w:szCs w:val="17"/>
                <w:color w:val="0000FF"/>
              </w:rPr>
              <w:t>4,000</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18"/>
                <w:szCs w:val="18"/>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8,400</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various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related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3,500</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trustee of a family trust, of which a child of his is a beneficiary. On February 17,2022, the reporting person caused the trust to distribute 4,000 shares of common stock of PennantPark Floating Rate Capital Ltd. to beneficiaries of the trust. The reporting person disclaims beneficial ownership of the securities held by the trust except to the extent of his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Jeffrey Flug</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02/18/2022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6917" TargetMode="External"/><Relationship Id="rId13" Type="http://schemas.openxmlformats.org/officeDocument/2006/relationships/hyperlink" Target="http://www.sec.gov/cgi-bin/browse-edgar?action=getcompany&amp;CIK=0001504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2022-02-18T06:02:35Z</dcterms:created>
  <dcterms:modified xsi:type="dcterms:W3CDTF">2022-02-18T06:02:35Z</dcterms:modified>
</cp:coreProperties>
</file>