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December 03, 2013</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220"/>
        <w:spacing w:after="0" w:line="250" w:lineRule="auto"/>
        <w:rPr>
          <w:sz w:val="20"/>
          <w:szCs w:val="20"/>
          <w:color w:val="auto"/>
        </w:rPr>
      </w:pPr>
      <w:r>
        <w:rPr>
          <w:rFonts w:ascii="Arial" w:cs="Arial" w:eastAsia="Arial" w:hAnsi="Arial"/>
          <w:sz w:val="22"/>
          <w:szCs w:val="22"/>
          <w:color w:val="auto"/>
        </w:rPr>
        <w:t>On December 3, 2013, PennantPark Floating Rate Capital Ltd. issued a press release announcing monthly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All forward-looking statements speak only as of the date of this Current Report on Form 8-K.</w:t>
      </w:r>
    </w:p>
    <w:p>
      <w:pPr>
        <w:spacing w:after="0" w:line="14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154" w:gutter="0" w:footer="0" w:header="0"/>
        </w:sectPr>
      </w:pPr>
    </w:p>
    <w:bookmarkStart w:id="1" w:name="page2"/>
    <w:bookmarkEnd w:id="1"/>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December 03,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980" w:type="dxa"/>
            <w:vAlign w:val="bottom"/>
          </w:tcPr>
          <w:p>
            <w:pPr>
              <w:spacing w:after="0"/>
              <w:rPr>
                <w:sz w:val="20"/>
                <w:szCs w:val="20"/>
                <w:color w:val="auto"/>
              </w:rPr>
            </w:pPr>
            <w:r>
              <w:rPr>
                <w:rFonts w:ascii="Arial" w:cs="Arial" w:eastAsia="Arial" w:hAnsi="Arial"/>
                <w:sz w:val="22"/>
                <w:szCs w:val="22"/>
                <w:color w:val="auto"/>
              </w:rPr>
              <w:t>Dated: December 03, 2013</w:t>
            </w:r>
          </w:p>
        </w:tc>
        <w:tc>
          <w:tcPr>
            <w:tcW w:w="6640" w:type="dxa"/>
            <w:vAlign w:val="bottom"/>
            <w:gridSpan w:val="3"/>
          </w:tcPr>
          <w:p>
            <w:pPr>
              <w:ind w:left="164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980" w:type="dxa"/>
            <w:vAlign w:val="bottom"/>
          </w:tcPr>
          <w:p>
            <w:pPr>
              <w:spacing w:after="0"/>
              <w:rPr>
                <w:sz w:val="24"/>
                <w:szCs w:val="24"/>
                <w:color w:val="auto"/>
              </w:rPr>
            </w:pPr>
          </w:p>
        </w:tc>
        <w:tc>
          <w:tcPr>
            <w:tcW w:w="6640" w:type="dxa"/>
            <w:vAlign w:val="bottom"/>
            <w:gridSpan w:val="3"/>
          </w:tcPr>
          <w:p>
            <w:pPr>
              <w:ind w:left="1640"/>
              <w:spacing w:after="0"/>
              <w:rPr>
                <w:sz w:val="20"/>
                <w:szCs w:val="20"/>
                <w:color w:val="auto"/>
              </w:rPr>
            </w:pPr>
            <w:r>
              <w:rPr>
                <w:rFonts w:ascii="Arial" w:cs="Arial" w:eastAsia="Arial" w:hAnsi="Arial"/>
                <w:sz w:val="22"/>
                <w:szCs w:val="22"/>
                <w:color w:val="auto"/>
              </w:rPr>
              <w:t>By: /s/ Aviv Efrat</w:t>
            </w:r>
          </w:p>
        </w:tc>
      </w:tr>
      <w:tr>
        <w:trPr>
          <w:trHeight w:val="20"/>
        </w:trPr>
        <w:tc>
          <w:tcPr>
            <w:tcW w:w="3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980" w:type="dxa"/>
            <w:vAlign w:val="bottom"/>
          </w:tcPr>
          <w:p>
            <w:pPr>
              <w:spacing w:after="0"/>
              <w:rPr>
                <w:sz w:val="21"/>
                <w:szCs w:val="21"/>
                <w:color w:val="auto"/>
              </w:rPr>
            </w:pPr>
          </w:p>
        </w:tc>
        <w:tc>
          <w:tcPr>
            <w:tcW w:w="6640" w:type="dxa"/>
            <w:vAlign w:val="bottom"/>
            <w:gridSpan w:val="3"/>
          </w:tcPr>
          <w:p>
            <w:pPr>
              <w:ind w:left="188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980" w:type="dxa"/>
            <w:vAlign w:val="bottom"/>
          </w:tcPr>
          <w:p>
            <w:pPr>
              <w:spacing w:after="0"/>
              <w:rPr>
                <w:sz w:val="23"/>
                <w:szCs w:val="23"/>
                <w:color w:val="auto"/>
              </w:rPr>
            </w:pPr>
          </w:p>
        </w:tc>
        <w:tc>
          <w:tcPr>
            <w:tcW w:w="6640" w:type="dxa"/>
            <w:vAlign w:val="bottom"/>
            <w:gridSpan w:val="3"/>
          </w:tcPr>
          <w:p>
            <w:pPr>
              <w:ind w:left="196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87"/>
              </w:rPr>
              <w:t>December 03, 2013</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 per Share</w:t>
      </w:r>
    </w:p>
    <w:p>
      <w:pPr>
        <w:spacing w:after="0" w:line="21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NEW YORK, NY -- (Marketwired - December 03, 2013) - PennantPark Floating Rate Capital Ltd. (the "Company") (NASDAQ: PFLT) declares monthly distribution for December 2013 of $0.09 per share, payable on January 2, 2014 to stockholders of record as of December 20, 2013. Distributions are paid from taxable earnings and may include a return of capital and/or capital gains.</w:t>
      </w:r>
    </w:p>
    <w:p>
      <w:pPr>
        <w:spacing w:after="0" w:line="1" w:lineRule="exact"/>
        <w:rPr>
          <w:sz w:val="20"/>
          <w:szCs w:val="20"/>
          <w:color w:val="auto"/>
        </w:rPr>
      </w:pPr>
    </w:p>
    <w:p>
      <w:pPr>
        <w:ind w:right="280"/>
        <w:spacing w:after="0" w:line="236" w:lineRule="auto"/>
        <w:rPr>
          <w:sz w:val="20"/>
          <w:szCs w:val="20"/>
          <w:color w:val="auto"/>
        </w:rPr>
      </w:pPr>
      <w:r>
        <w:rPr>
          <w:rFonts w:ascii="Arial" w:cs="Arial" w:eastAsia="Arial" w:hAnsi="Arial"/>
          <w:sz w:val="22"/>
          <w:szCs w:val="22"/>
          <w:color w:val="auto"/>
        </w:rPr>
        <w:t>The specific tax characteristics of the distributions will be reported to stockholders on Form 1099 after the end of the calendar year and in the Company's periodic report filed with the Securities and Exchange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4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8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2020-05-05T12:04:16Z</dcterms:created>
  <dcterms:modified xsi:type="dcterms:W3CDTF">2020-05-05T12:04:16Z</dcterms:modified>
</cp:coreProperties>
</file>