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pflt-20230630.htm"/>
      <w:bookmarkStart w:id="1" w:name="kspflt20230630"/>
      <w:bookmarkEnd w:id="0"/>
      <w:bookmarkEnd w:id="1"/>
      <w:r>
        <w:rPr/>
        <w:t> </w:t>
      </w:r>
    </w:p>
    <w:p>
      <w:pPr>
        <w:pStyle w:val="TextBody"/>
        <w:bidi w:val="0"/>
        <w:spacing w:before="0" w:after="0"/>
        <w:ind w:left="0" w:right="0" w:hanging="0"/>
        <w:jc w:val="left"/>
        <w:rPr>
          <w:rFonts w:ascii="Times New Roman;serif" w:hAnsi="Times New Roman;serif"/>
          <w:b w:val="false"/>
          <w:sz w:val="2"/>
        </w:rPr>
      </w:pPr>
      <w:r>
        <w:rPr>
          <w:rFonts w:ascii="Times New Roman;serif" w:hAnsi="Times New Roman;serif"/>
          <w:b w:val="false"/>
          <w:sz w:val="2"/>
        </w:rPr>
        <w:t>s</w:t>
      </w:r>
    </w:p>
    <w:p>
      <w:pPr>
        <w:pStyle w:val="TextBody"/>
        <w:bidi w:val="0"/>
        <w:spacing w:before="40" w:after="0"/>
        <w:ind w:left="0" w:right="0" w:hanging="0"/>
        <w:jc w:val="center"/>
        <w:rPr>
          <w:rFonts w:ascii="Times New Roman;serif" w:hAnsi="Times New Roman;serif"/>
          <w:b/>
          <w:sz w:val="28"/>
        </w:rPr>
      </w:pPr>
      <w:r>
        <w:rPr>
          <w:rFonts w:ascii="Times New Roman;serif" w:hAnsi="Times New Roman;serif"/>
          <w:b/>
          <w:sz w:val="28"/>
        </w:rPr>
        <w:t>UNITED STATES</w:t>
      </w:r>
    </w:p>
    <w:p>
      <w:pPr>
        <w:pStyle w:val="TextBody"/>
        <w:bidi w:val="0"/>
        <w:spacing w:before="0" w:after="0"/>
        <w:ind w:left="0" w:right="0" w:hanging="0"/>
        <w:jc w:val="center"/>
        <w:rPr>
          <w:rFonts w:ascii="Times New Roman;serif" w:hAnsi="Times New Roman;serif"/>
          <w:b/>
          <w:sz w:val="28"/>
        </w:rPr>
      </w:pPr>
      <w:r>
        <w:rPr>
          <w:rFonts w:ascii="Times New Roman;serif" w:hAnsi="Times New Roman;serif"/>
          <w:b/>
          <w:sz w:val="28"/>
        </w:rPr>
        <w:t>SECURITIES AND EXCHANGE COMMISSION</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WASHINGTON, D.C. 20549</w:t>
      </w:r>
    </w:p>
    <w:p>
      <w:pPr>
        <w:pStyle w:val="TextBody"/>
        <w:bidi w:val="0"/>
        <w:spacing w:before="160" w:after="0"/>
        <w:ind w:left="0" w:right="0" w:hanging="0"/>
        <w:jc w:val="center"/>
        <w:rPr>
          <w:rFonts w:ascii="Times New Roman;serif" w:hAnsi="Times New Roman;serif"/>
          <w:b/>
          <w:sz w:val="28"/>
        </w:rPr>
      </w:pPr>
      <w:r>
        <w:rPr>
          <w:rFonts w:ascii="Times New Roman;serif" w:hAnsi="Times New Roman;serif"/>
          <w:b/>
          <w:sz w:val="28"/>
        </w:rPr>
        <w:t>FORM 10-Q</w:t>
      </w:r>
    </w:p>
    <w:p>
      <w:pPr>
        <w:pStyle w:val="TextBody"/>
        <w:bidi w:val="0"/>
        <w:spacing w:before="160" w:after="0"/>
        <w:ind w:left="0" w:right="0" w:hanging="0"/>
        <w:jc w:val="left"/>
        <w:rPr>
          <w:rFonts w:ascii="Times New Roman;serif" w:hAnsi="Times New Roman;serif"/>
          <w:b/>
          <w:sz w:val="13"/>
        </w:rPr>
      </w:pPr>
      <w:r>
        <w:rPr>
          <w:rFonts w:ascii="Times New Roman;serif" w:hAnsi="Times New Roman;serif"/>
          <w:b/>
          <w:sz w:val="13"/>
        </w:rPr>
        <w:t>(Mark One)r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60" w:after="0"/>
        <w:ind w:left="0" w:right="0" w:firstLine="462"/>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60" w:after="0"/>
        <w:ind w:left="0" w:right="0" w:hanging="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60" w:after="0"/>
        <w:ind w:left="0" w:right="0" w:firstLine="462"/>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60" w:after="0"/>
        <w:ind w:left="0" w:right="0" w:hanging="0"/>
        <w:jc w:val="center"/>
        <w:rPr>
          <w:rFonts w:ascii="Times New Roman" w:hAnsi="Times New Roman"/>
          <w:sz w:val="20"/>
        </w:rPr>
      </w:pPr>
      <w:r>
        <w:rPr>
          <w:rFonts w:ascii="Times New Roman;serif" w:hAnsi="Times New Roman;serif"/>
          <w:b/>
          <w:sz w:val="20"/>
        </w:rPr>
        <w:t>COMMISSION FILE NUMBER: 814-00891</w:t>
      </w:r>
      <w:r>
        <w:rPr>
          <w:rFonts w:ascii="Times New Roman" w:hAnsi="Times New Roman"/>
          <w:sz w:val="20"/>
        </w:rPr>
        <w:t xml:space="preserve"> </w:t>
      </w:r>
    </w:p>
    <w:p>
      <w:pPr>
        <w:pStyle w:val="TextBody"/>
        <w:bidi w:val="0"/>
        <w:spacing w:before="160" w:after="0"/>
        <w:ind w:left="0" w:right="0" w:hanging="0"/>
        <w:jc w:val="center"/>
        <w:rPr>
          <w:rFonts w:ascii="Times New Roman;serif" w:hAnsi="Times New Roman;serif"/>
          <w:b/>
          <w:sz w:val="34"/>
        </w:rPr>
      </w:pPr>
      <w:r>
        <w:rPr>
          <w:rFonts w:ascii="Times New Roman;serif" w:hAnsi="Times New Roman;serif"/>
          <w:b/>
          <w:sz w:val="34"/>
        </w:rPr>
        <w:t>PENNANTPARK FLOATING RATE CAPITAL LTD.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(Exact name of registrant as specified in its charter)</w:t>
      </w:r>
    </w:p>
    <w:tbl>
      <w:tblPr>
        <w:tblW w:w="6111" w:type="dxa"/>
        <w:jc w:val="left"/>
        <w:tblInd w:w="0" w:type="dxa"/>
        <w:tblLayout w:type="fixed"/>
        <w:tblCellMar>
          <w:top w:w="28" w:type="dxa"/>
          <w:left w:w="28" w:type="dxa"/>
          <w:bottom w:w="28" w:type="dxa"/>
          <w:right w:w="28" w:type="dxa"/>
        </w:tblCellMar>
      </w:tblPr>
      <w:tblGrid>
        <w:gridCol w:w="3751"/>
        <w:gridCol w:w="109"/>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MARYLAND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27-3794690</w:t>
            </w:r>
          </w:p>
        </w:tc>
      </w:tr>
      <w:tr>
        <w:trPr/>
        <w:tc>
          <w:tcPr>
            <w:tcW w:w="3751" w:type="dxa"/>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(State or other jurisdiction of 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(I.R.S. Employer Identification No.)</w:t>
            </w:r>
          </w:p>
        </w:tc>
      </w:tr>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236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1691 Michigan Avenue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Miami Beach, Florida</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33139</w:t>
            </w:r>
          </w:p>
        </w:tc>
      </w:tr>
      <w:tr>
        <w:trPr/>
        <w:tc>
          <w:tcPr>
            <w:tcW w:w="3751" w:type="dxa"/>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(Address of principal executive offices)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(Zip Code)</w:t>
            </w:r>
          </w:p>
        </w:tc>
      </w:tr>
    </w:tbl>
    <w:p>
      <w:pPr>
        <w:pStyle w:val="TextBody"/>
        <w:bidi w:val="0"/>
        <w:spacing w:before="160" w:after="0"/>
        <w:ind w:left="0" w:right="0" w:hanging="0"/>
        <w:jc w:val="center"/>
        <w:rPr>
          <w:rFonts w:ascii="Times New Roman;serif" w:hAnsi="Times New Roman;serif"/>
          <w:b/>
          <w:sz w:val="16"/>
        </w:rPr>
      </w:pPr>
      <w:r>
        <w:rPr>
          <w:rFonts w:ascii="Times New Roman;serif" w:hAnsi="Times New Roman;serif"/>
          <w:b/>
          <w:sz w:val="16"/>
        </w:rPr>
        <w:t>(786) 297-9500</w:t>
      </w:r>
    </w:p>
    <w:p>
      <w:pPr>
        <w:pStyle w:val="TextBody"/>
        <w:bidi w:val="0"/>
        <w:spacing w:before="0" w:after="0"/>
        <w:ind w:left="0" w:right="0" w:hanging="0"/>
        <w:jc w:val="center"/>
        <w:rPr>
          <w:rFonts w:ascii="Times New Roman;serif" w:hAnsi="Times New Roman;serif"/>
          <w:b/>
          <w:sz w:val="13"/>
        </w:rPr>
      </w:pPr>
      <w:r>
        <w:rPr>
          <w:rFonts w:ascii="Times New Roman;serif" w:hAnsi="Times New Roman;serif"/>
          <w:b/>
          <w:sz w:val="13"/>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None</w:t>
      </w:r>
    </w:p>
    <w:p>
      <w:pPr>
        <w:pStyle w:val="TextBody"/>
        <w:bidi w:val="0"/>
        <w:spacing w:before="0" w:after="0"/>
        <w:ind w:left="0" w:right="0" w:hanging="0"/>
        <w:jc w:val="center"/>
        <w:rPr>
          <w:rFonts w:ascii="Times New Roman;serif" w:hAnsi="Times New Roman;serif"/>
          <w:b/>
          <w:sz w:val="13"/>
        </w:rPr>
      </w:pPr>
      <w:r>
        <w:rPr>
          <w:rFonts w:ascii="Times New Roman;serif" w:hAnsi="Times New Roman;serif"/>
          <w:b/>
          <w:sz w:val="13"/>
        </w:rPr>
        <w:t>(Former name, former address and former fiscal year, if changed since last report)</w:t>
      </w:r>
    </w:p>
    <w:p>
      <w:pPr>
        <w:pStyle w:val="TextBody"/>
        <w:bidi w:val="0"/>
        <w:spacing w:before="0" w:after="0"/>
        <w:ind w:left="0" w:right="0" w:hanging="0"/>
        <w:jc w:val="left"/>
        <w:rPr/>
      </w:pPr>
      <w:r>
        <w:rPr/>
        <w:t> </w:t>
      </w:r>
    </w:p>
    <w:p>
      <w:pPr>
        <w:pStyle w:val="TextBody"/>
        <w:bidi w:val="0"/>
        <w:spacing w:before="0" w:after="0"/>
        <w:ind w:left="0" w:right="0" w:firstLine="461"/>
        <w:jc w:val="both"/>
        <w:rPr>
          <w:rFonts w:ascii="Times New Roman;serif" w:hAnsi="Times New Roman;serif"/>
          <w:b w:val="false"/>
          <w:sz w:val="16"/>
        </w:rPr>
      </w:pPr>
      <w:r>
        <w:rPr>
          <w:rFonts w:ascii="Times New Roman;serif" w:hAnsi="Times New Roman;serif"/>
          <w:b w:val="false"/>
          <w:sz w:val="16"/>
        </w:rPr>
        <w:t>Securities registered pursuant to Section 12(b) of the Act:</w:t>
      </w:r>
    </w:p>
    <w:p>
      <w:pPr>
        <w:pStyle w:val="TextBody"/>
        <w:bidi w:val="0"/>
        <w:spacing w:before="0" w:after="0"/>
        <w:ind w:left="0" w:right="0" w:hanging="0"/>
        <w:jc w:val="both"/>
        <w:rPr/>
      </w:pPr>
      <w:r>
        <w:rPr/>
        <w:t> </w:t>
      </w:r>
    </w:p>
    <w:tbl>
      <w:tblPr>
        <w:tblW w:w="8073" w:type="dxa"/>
        <w:jc w:val="left"/>
        <w:tblInd w:w="0" w:type="dxa"/>
        <w:tblLayout w:type="fixed"/>
        <w:tblCellMar>
          <w:top w:w="28" w:type="dxa"/>
          <w:left w:w="28" w:type="dxa"/>
          <w:bottom w:w="28" w:type="dxa"/>
          <w:right w:w="28" w:type="dxa"/>
        </w:tblCellMar>
      </w:tblPr>
      <w:tblGrid>
        <w:gridCol w:w="3151"/>
        <w:gridCol w:w="1456"/>
        <w:gridCol w:w="3466"/>
      </w:tblGrid>
      <w:tr>
        <w:trPr/>
        <w:tc>
          <w:tcPr>
            <w:tcW w:w="31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5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4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$0.001 per share</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PFLT</w:t>
            </w:r>
          </w:p>
        </w:tc>
        <w:tc>
          <w:tcPr>
            <w:tcW w:w="34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New York Stock Exchange</w:t>
            </w:r>
          </w:p>
        </w:tc>
      </w:tr>
    </w:tbl>
    <w:p>
      <w:pPr>
        <w:pStyle w:val="TextBody"/>
        <w:bidi w:val="0"/>
        <w:spacing w:before="0" w:after="0"/>
        <w:ind w:left="0" w:right="0" w:hanging="0"/>
        <w:jc w:val="both"/>
        <w:rPr/>
      </w:pPr>
      <w:r>
        <w:rPr/>
        <w:t> </w:t>
      </w:r>
    </w:p>
    <w:p>
      <w:pPr>
        <w:pStyle w:val="TextBody"/>
        <w:bidi w:val="0"/>
        <w:spacing w:before="0" w:after="0"/>
        <w:ind w:left="0" w:right="0" w:firstLine="461"/>
        <w:jc w:val="both"/>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Times New Roman;serif" w:hAnsi="Times New Roman;serif"/>
          <w:b w:val="false"/>
          <w:sz w:val="16"/>
        </w:rPr>
        <w:t>No ☐</w:t>
      </w:r>
    </w:p>
    <w:p>
      <w:pPr>
        <w:pStyle w:val="TextBody"/>
        <w:bidi w:val="0"/>
        <w:spacing w:before="0" w:after="0"/>
        <w:ind w:left="0" w:right="0" w:hanging="0"/>
        <w:jc w:val="both"/>
        <w:rPr/>
      </w:pPr>
      <w:r>
        <w:rPr/>
        <w:t> </w:t>
      </w:r>
    </w:p>
    <w:p>
      <w:pPr>
        <w:pStyle w:val="TextBody"/>
        <w:bidi w:val="0"/>
        <w:spacing w:before="0" w:after="0"/>
        <w:ind w:left="0" w:right="0" w:firstLine="461"/>
        <w:jc w:val="both"/>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No ☐</w:t>
      </w:r>
    </w:p>
    <w:p>
      <w:pPr>
        <w:pStyle w:val="TextBody"/>
        <w:bidi w:val="0"/>
        <w:spacing w:before="0" w:after="0"/>
        <w:ind w:left="0" w:right="0" w:hanging="0"/>
        <w:jc w:val="left"/>
        <w:rPr/>
      </w:pPr>
      <w:r>
        <w:rPr/>
        <w:t> </w:t>
      </w:r>
    </w:p>
    <w:p>
      <w:pPr>
        <w:pStyle w:val="TextBody"/>
        <w:bidi w:val="0"/>
        <w:spacing w:before="0" w:after="0"/>
        <w:ind w:left="0" w:right="0" w:firstLine="461"/>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ind w:left="0" w:right="0" w:hanging="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462" w:type="dxa"/>
            <w:gridSpan w:val="2"/>
            <w:tcBorders/>
            <w:vAlign w:val="center"/>
          </w:tcPr>
          <w:p>
            <w:pPr>
              <w:pStyle w:val="TableContents"/>
              <w:bidi w:val="0"/>
              <w:spacing w:before="0" w:after="283"/>
              <w:ind w:left="0" w:right="0" w:hanging="0"/>
              <w:jc w:val="left"/>
              <w:rPr>
                <w:sz w:val="4"/>
                <w:szCs w:val="4"/>
              </w:rPr>
            </w:pPr>
            <w:r>
              <w:rPr>
                <w:sz w:val="4"/>
                <w:szCs w:val="4"/>
              </w:rPr>
            </w:r>
          </w:p>
        </w:tc>
        <w:tc>
          <w:tcPr>
            <w:tcW w:w="215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0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160" w:after="0"/>
        <w:ind w:left="0" w:right="0" w:firstLine="462"/>
        <w:jc w:val="left"/>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60" w:after="0"/>
        <w:ind w:left="0" w:right="0" w:firstLine="462"/>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60" w:after="0"/>
        <w:ind w:left="0" w:right="0" w:firstLine="462"/>
        <w:jc w:val="left"/>
        <w:rPr>
          <w:rFonts w:ascii="Times New Roman" w:hAnsi="Times New Roman"/>
          <w:sz w:val="20"/>
        </w:rPr>
      </w:pPr>
      <w:r>
        <w:rPr>
          <w:rFonts w:ascii="Times New Roman;serif" w:hAnsi="Times New Roman;serif"/>
          <w:b w:val="false"/>
          <w:sz w:val="16"/>
        </w:rPr>
        <w:t>The number of shares of the registrant’s common stock, $0.001 par value per share, outstanding as of August 9, 2023</w:t>
      </w:r>
      <w:r>
        <w:rPr>
          <w:rFonts w:ascii="Times New Roman" w:hAnsi="Times New Roman"/>
          <w:sz w:val="20"/>
        </w:rPr>
        <w:t xml:space="preserve"> </w:t>
      </w:r>
      <w:r>
        <w:rPr>
          <w:rFonts w:ascii="Times New Roman;serif" w:hAnsi="Times New Roman;serif"/>
          <w:b w:val="false"/>
          <w:sz w:val="16"/>
        </w:rPr>
        <w:t>was 58,734,702.</w:t>
      </w:r>
      <w:r>
        <w:rPr>
          <w:rFonts w:ascii="Times New Roman" w:hAnsi="Times New Roman"/>
          <w:sz w:val="20"/>
        </w:rPr>
        <w:t xml:space="preserve"> </w:t>
      </w:r>
    </w:p>
    <w:p>
      <w:pPr>
        <w:pStyle w:val="TextBody"/>
        <w:pBdr>
          <w:bottom w:val="double" w:sz="6" w:space="1" w:color="000000"/>
        </w:pBdr>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bookmarkStart w:id="2" w:name="toc"/>
      <w:bookmarkEnd w:id="2"/>
      <w:r>
        <w:rPr>
          <w:rFonts w:ascii="Times New Roman;serif" w:hAnsi="Times New Roman;serif"/>
          <w:b/>
          <w:sz w:val="16"/>
        </w:rPr>
        <w:t>PENNANTPARK FLOATING RATE CAPITAL LTD.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FORM 10-Q FOR THE QUARTER ENDED 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TABLE OF CONTENTS</w:t>
      </w:r>
    </w:p>
    <w:tbl>
      <w:tblPr>
        <w:tblW w:w="9479" w:type="dxa"/>
        <w:jc w:val="left"/>
        <w:tblInd w:w="0" w:type="dxa"/>
        <w:tblLayout w:type="fixed"/>
        <w:tblCellMar>
          <w:top w:w="28" w:type="dxa"/>
          <w:left w:w="28" w:type="dxa"/>
          <w:bottom w:w="28" w:type="dxa"/>
          <w:right w:w="28" w:type="dxa"/>
        </w:tblCellMar>
      </w:tblPr>
      <w:tblGrid>
        <w:gridCol w:w="8716"/>
        <w:gridCol w:w="188"/>
        <w:gridCol w:w="575"/>
      </w:tblGrid>
      <w:tr>
        <w:trPr/>
        <w:tc>
          <w:tcPr>
            <w:tcW w:w="8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consolidated_financial_information">
              <w:r>
                <w:rPr>
                  <w:rStyle w:val="InternetLink"/>
                  <w:rFonts w:ascii="Times New Roman;serif" w:hAnsi="Times New Roman;serif"/>
                  <w:b/>
                  <w:sz w:val="16"/>
                  <w:u w:val="single"/>
                </w:rPr>
                <w:t>PART I. CONSOLIDATED FINANCIAL INFORMATION</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consolidated_financial_statements">
              <w:r>
                <w:rPr>
                  <w:rStyle w:val="InternetLink"/>
                  <w:rFonts w:ascii="Times New Roman;serif" w:hAnsi="Times New Roman;serif"/>
                  <w:b/>
                  <w:sz w:val="16"/>
                  <w:u w:val="single"/>
                </w:rPr>
                <w:t>Item 1. Consolidated Financial Statements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consolidated_statements_assets_liabiliti">
              <w:r>
                <w:rPr>
                  <w:rStyle w:val="InternetLink"/>
                  <w:rFonts w:ascii="Times New Roman;serif" w:hAnsi="Times New Roman;serif"/>
                  <w:b w:val="false"/>
                  <w:sz w:val="16"/>
                  <w:u w:val="single"/>
                </w:rPr>
                <w:t>Consolidated Statements of Assets and Liabilities as of June 30, 2023 (unaudited) and September 30, 2022</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consolidated_statements_operations">
              <w:r>
                <w:rPr>
                  <w:rStyle w:val="InternetLink"/>
                  <w:rFonts w:ascii="Times New Roman;serif" w:hAnsi="Times New Roman;serif"/>
                  <w:b w:val="false"/>
                  <w:sz w:val="16"/>
                  <w:u w:val="single"/>
                </w:rPr>
                <w:t>Consolidated Statements of Operations for the three and nine months ended June 30, 2023 and 2022 (unaudited)</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consolidated_statements_changes_in_net_a">
              <w:r>
                <w:rPr>
                  <w:rStyle w:val="InternetLink"/>
                  <w:rFonts w:ascii="Times New Roman;serif" w:hAnsi="Times New Roman;serif"/>
                  <w:b w:val="false"/>
                  <w:sz w:val="16"/>
                  <w:u w:val="single"/>
                </w:rPr>
                <w:t>Consolidated Statements of Changes in Net Assets for the three and nine months ended June 30, 2023 and 2022 (unaudited)</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consolidated_statements_cash_flows">
              <w:r>
                <w:rPr>
                  <w:rStyle w:val="InternetLink"/>
                  <w:rFonts w:ascii="Times New Roman;serif" w:hAnsi="Times New Roman;serif"/>
                  <w:b w:val="false"/>
                  <w:sz w:val="16"/>
                  <w:u w:val="single"/>
                </w:rPr>
                <w:t>Consolidated Statements of Cash Flows for the nine months ended June 30, 2023 and 2022</w:t>
              </w:r>
            </w:hyperlink>
            <w:hyperlink w:anchor="consolidated_statements_cash_flows">
              <w:r>
                <w:rPr>
                  <w:rStyle w:val="InternetLink"/>
                  <w:rFonts w:ascii="Times New Roman" w:hAnsi="Times New Roman"/>
                  <w:sz w:val="16"/>
                </w:rPr>
                <w:t xml:space="preserve"> </w:t>
              </w:r>
            </w:hyperlink>
            <w:hyperlink w:anchor="consolidated_statements_cash_flows">
              <w:r>
                <w:rPr>
                  <w:rStyle w:val="InternetLink"/>
                  <w:rFonts w:ascii="Times New Roman;serif" w:hAnsi="Times New Roman;serif"/>
                  <w:b w:val="false"/>
                  <w:sz w:val="16"/>
                  <w:u w:val="single"/>
                </w:rPr>
                <w:t>(unaudited)</w:t>
              </w:r>
            </w:hyperlink>
            <w:hyperlink w:anchor="consolidated_statements_cash_flows">
              <w:r>
                <w:rPr>
                  <w:rStyle w:val="InternetLink"/>
                  <w:rFonts w:ascii="Times New Roman" w:hAnsi="Times New Roman"/>
                  <w:sz w:val="16"/>
                </w:rPr>
                <w:t xml:space="preserve"> </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consolidated_schedule_investments">
              <w:r>
                <w:rPr>
                  <w:rStyle w:val="InternetLink"/>
                  <w:rFonts w:ascii="Times New Roman;serif" w:hAnsi="Times New Roman;serif"/>
                  <w:b w:val="false"/>
                  <w:sz w:val="16"/>
                  <w:u w:val="single"/>
                </w:rPr>
                <w:t>Consolidated Schedules of Investments as of June 30, 2023 (unaudited) and September 30, 2022</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572"/>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notes_to_consolidated_financial_stmt_">
              <w:r>
                <w:rPr>
                  <w:rStyle w:val="InternetLink"/>
                  <w:rFonts w:ascii="Times New Roman;serif" w:hAnsi="Times New Roman;serif"/>
                  <w:b w:val="false"/>
                  <w:sz w:val="16"/>
                  <w:u w:val="single"/>
                </w:rPr>
                <w:t>Notes to Consolidated Financial Statements (unaudited)</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r>
      <w:tr>
        <w:trPr/>
        <w:tc>
          <w:tcPr>
            <w:tcW w:w="87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gridSpan w:val="2"/>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418" w:right="0" w:hanging="154"/>
              <w:jc w:val="left"/>
              <w:rPr/>
            </w:pPr>
            <w:hyperlink w:anchor="report_independent_registered_public_acc">
              <w:r>
                <w:rPr>
                  <w:rStyle w:val="InternetLink"/>
                  <w:rFonts w:ascii="Times New Roman;serif" w:hAnsi="Times New Roman;serif"/>
                  <w:b w:val="false"/>
                  <w:sz w:val="16"/>
                  <w:u w:val="single"/>
                </w:rPr>
                <w:t>Report of Independent Registered Public Accounting Firm (PCAOB ID 49)</w:t>
              </w:r>
            </w:hyperlink>
            <w:r>
              <w:rPr>
                <w:rFonts w:ascii="Times New Roman" w:hAnsi="Times New Roman"/>
                <w:sz w:val="20"/>
              </w:rPr>
              <w:t xml:space="preserve"> </w:t>
            </w:r>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2_managements_discussion_analysis_f">
              <w:r>
                <w:rPr>
                  <w:rStyle w:val="InternetLink"/>
                  <w:rFonts w:ascii="Times New Roman;serif" w:hAnsi="Times New Roman;serif"/>
                  <w:b/>
                  <w:sz w:val="16"/>
                  <w:u w:val="single"/>
                </w:rPr>
                <w:t>Item 2. Management’s Discussion and Analysis of Financial Condition and Results of Operations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3_quantitative_qualitative_disclosu">
              <w:r>
                <w:rPr>
                  <w:rStyle w:val="InternetLink"/>
                  <w:rFonts w:ascii="Times New Roman;serif" w:hAnsi="Times New Roman;serif"/>
                  <w:b/>
                  <w:sz w:val="16"/>
                  <w:u w:val="single"/>
                </w:rPr>
                <w:t>Item 3. Quantitative and Qualitative Disclosures About Market Risk</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4_controls_and_proc">
              <w:r>
                <w:rPr>
                  <w:rStyle w:val="InternetLink"/>
                  <w:rFonts w:ascii="Times New Roman;serif" w:hAnsi="Times New Roman;serif"/>
                  <w:b/>
                  <w:sz w:val="16"/>
                  <w:u w:val="single"/>
                </w:rPr>
                <w:t>Item 4. Controls and Procedures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_or_information">
              <w:r>
                <w:rPr>
                  <w:rStyle w:val="InternetLink"/>
                  <w:rFonts w:ascii="Times New Roman;serif" w:hAnsi="Times New Roman;serif"/>
                  <w:b/>
                  <w:sz w:val="16"/>
                  <w:u w:val="single"/>
                </w:rPr>
                <w:t>PART II. OTHER INFORMATION</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1_legal_proceedings">
              <w:r>
                <w:rPr>
                  <w:rStyle w:val="InternetLink"/>
                  <w:rFonts w:ascii="Times New Roman;serif" w:hAnsi="Times New Roman;serif"/>
                  <w:b/>
                  <w:sz w:val="16"/>
                  <w:u w:val="single"/>
                </w:rPr>
                <w:t>Item 1. Legal Proceedings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1a_risk_factors">
              <w:r>
                <w:rPr>
                  <w:rStyle w:val="InternetLink"/>
                  <w:rFonts w:ascii="Times New Roman;serif" w:hAnsi="Times New Roman;serif"/>
                  <w:b/>
                  <w:sz w:val="16"/>
                  <w:u w:val="single"/>
                </w:rPr>
                <w:t>Item 1A. Risk Factors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2_unregistered_sales_equity_securit">
              <w:r>
                <w:rPr>
                  <w:rStyle w:val="InternetLink"/>
                  <w:rFonts w:ascii="Times New Roman;serif" w:hAnsi="Times New Roman;serif"/>
                  <w:b/>
                  <w:sz w:val="16"/>
                  <w:u w:val="single"/>
                </w:rPr>
                <w:t>Item 2. Unregistered Sales of Equity Securities and Use of Proceeds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3_defaults_upon_senior_securities">
              <w:r>
                <w:rPr>
                  <w:rStyle w:val="InternetLink"/>
                  <w:rFonts w:ascii="Times New Roman;serif" w:hAnsi="Times New Roman;serif"/>
                  <w:b/>
                  <w:sz w:val="16"/>
                  <w:u w:val="single"/>
                </w:rPr>
                <w:t>Item 3. Defaults Upon Senior Securities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4_mine_safety_disclosures">
              <w:r>
                <w:rPr>
                  <w:rStyle w:val="InternetLink"/>
                  <w:rFonts w:ascii="Times New Roman;serif" w:hAnsi="Times New Roman;serif"/>
                  <w:b/>
                  <w:sz w:val="16"/>
                  <w:u w:val="single"/>
                </w:rPr>
                <w:t>Item 4. Mine Safety Disclosures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5_or_information">
              <w:r>
                <w:rPr>
                  <w:rStyle w:val="InternetLink"/>
                  <w:rFonts w:ascii="Times New Roman;serif" w:hAnsi="Times New Roman;serif"/>
                  <w:b/>
                  <w:sz w:val="16"/>
                  <w:u w:val="single"/>
                </w:rPr>
                <w:t>Item 5. Other Information</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item_6_exhibits">
              <w:r>
                <w:rPr>
                  <w:rStyle w:val="InternetLink"/>
                  <w:rFonts w:ascii="Times New Roman;serif" w:hAnsi="Times New Roman;serif"/>
                  <w:b/>
                  <w:sz w:val="16"/>
                  <w:u w:val="single"/>
                </w:rPr>
                <w:t>Item 6. Exhibits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before="0" w:after="283"/>
              <w:ind w:left="0" w:right="0" w:firstLine="176"/>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pBdr/>
              <w:bidi w:val="0"/>
              <w:spacing w:before="0" w:after="0"/>
              <w:ind w:left="22" w:right="0" w:hanging="154"/>
              <w:jc w:val="left"/>
              <w:rPr/>
            </w:pPr>
            <w:hyperlink w:anchor="signatures">
              <w:r>
                <w:rPr>
                  <w:rStyle w:val="InternetLink"/>
                  <w:rFonts w:ascii="Times New Roman;serif" w:hAnsi="Times New Roman;serif"/>
                  <w:b/>
                  <w:sz w:val="16"/>
                  <w:u w:val="single"/>
                </w:rPr>
                <w:t>SIGNATURES</w:t>
              </w:r>
            </w:hyperlink>
          </w:p>
        </w:tc>
        <w:tc>
          <w:tcPr>
            <w:tcW w:w="18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r>
    </w:tbl>
    <w:p>
      <w:pPr>
        <w:pStyle w:val="TextBody"/>
        <w:bidi w:val="0"/>
        <w:spacing w:before="0" w:after="0"/>
        <w:ind w:left="0" w:right="0" w:hanging="0"/>
        <w:jc w:val="left"/>
        <w:rPr/>
      </w:pPr>
      <w:r>
        <w:rPr/>
        <w:t> </w:t>
      </w:r>
    </w:p>
    <w:p>
      <w:pPr>
        <w:pStyle w:val="TextBody"/>
        <w:bidi w:val="0"/>
        <w:spacing w:before="200" w:after="0"/>
        <w:ind w:left="0" w:right="0" w:hanging="0"/>
        <w:jc w:val="center"/>
        <w:rPr>
          <w:rFonts w:ascii="Times New Roman;serif" w:hAnsi="Times New Roman;serif"/>
          <w:b w:val="false"/>
          <w:sz w:val="16"/>
        </w:rPr>
      </w:pPr>
      <w:r>
        <w:rPr>
          <w:rFonts w:ascii="Times New Roman;serif" w:hAnsi="Times New Roman;serif"/>
          <w:b w:val="false"/>
          <w:sz w:val="16"/>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bookmarkStart w:id="3" w:name="toc90073_1"/>
      <w:bookmarkStart w:id="4" w:name="part_1_2_1"/>
      <w:bookmarkEnd w:id="3"/>
      <w:bookmarkEnd w:id="4"/>
      <w:r>
        <w:rPr>
          <w:rFonts w:ascii="Times New Roman;serif" w:hAnsi="Times New Roman;serif"/>
          <w:b/>
          <w:sz w:val="16"/>
        </w:rPr>
        <w:t xml:space="preserve">PART I—CONSOLIDATED </w:t>
      </w:r>
      <w:bookmarkStart w:id="5" w:name="part_iconsolidated_financial_information"/>
      <w:bookmarkEnd w:id="5"/>
      <w:r>
        <w:rPr>
          <w:rFonts w:ascii="Times New Roman;serif" w:hAnsi="Times New Roman;serif"/>
          <w:b/>
          <w:sz w:val="16"/>
        </w:rPr>
        <w:t>FINANCIAL INFORMATION</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w:t>
      </w:r>
      <w:r>
        <w:rPr>
          <w:rFonts w:ascii="Times New Roman" w:hAnsi="Times New Roman"/>
          <w:sz w:val="20"/>
        </w:rPr>
        <w:t xml:space="preserve"> “</w:t>
      </w:r>
      <w:r>
        <w:rPr>
          <w:rFonts w:ascii="Times New Roman;serif" w:hAnsi="Times New Roman;serif"/>
          <w:b w:val="false"/>
          <w:sz w:val="16"/>
        </w:rPr>
        <w:t>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noBreakHyphen/>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r>
        <w:rPr>
          <w:rFonts w:ascii="Times New Roman" w:hAnsi="Times New Roman"/>
          <w:sz w:val="20"/>
        </w:rPr>
        <w:t xml:space="preserve"> </w:t>
      </w:r>
    </w:p>
    <w:p>
      <w:pPr>
        <w:pStyle w:val="TextBody"/>
        <w:bidi w:val="0"/>
        <w:spacing w:before="200" w:after="0"/>
        <w:ind w:left="0" w:right="0" w:hanging="0"/>
        <w:jc w:val="center"/>
        <w:rPr>
          <w:rFonts w:ascii="Times New Roman;serif" w:hAnsi="Times New Roman;serif"/>
          <w:b w:val="false"/>
          <w:sz w:val="16"/>
        </w:rPr>
      </w:pPr>
      <w:r>
        <w:rPr>
          <w:rFonts w:ascii="Times New Roman;serif" w:hAnsi="Times New Roman;serif"/>
          <w:b w:val="false"/>
          <w:sz w:val="16"/>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bookmarkStart w:id="6" w:name="toc90073_2"/>
      <w:bookmarkEnd w:id="6"/>
      <w:r>
        <w:rPr>
          <w:rFonts w:ascii="Times New Roman;serif" w:hAnsi="Times New Roman;serif"/>
          <w:b/>
          <w:sz w:val="16"/>
        </w:rPr>
        <w:t>Item 1. Consolidated</w:t>
      </w:r>
      <w:bookmarkStart w:id="7" w:name="item_1_consolidated_financial_statements"/>
      <w:bookmarkEnd w:id="7"/>
      <w:r>
        <w:rPr>
          <w:rFonts w:ascii="Times New Roman" w:hAnsi="Times New Roman"/>
          <w:sz w:val="20"/>
        </w:rPr>
        <w:t xml:space="preserve"> </w:t>
      </w:r>
      <w:r>
        <w:rPr>
          <w:rFonts w:ascii="Times New Roman;serif" w:hAnsi="Times New Roman;serif"/>
          <w:b/>
          <w:sz w:val="16"/>
        </w:rPr>
        <w:t>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bookmarkStart w:id="8" w:name="consolidated_statements_assets_liabiliti"/>
      <w:bookmarkEnd w:id="8"/>
      <w:r>
        <w:rPr>
          <w:rFonts w:ascii="Times New Roman;serif" w:hAnsi="Times New Roman;serif"/>
          <w:b/>
          <w:sz w:val="16"/>
        </w:rPr>
        <w:t>CONSOLIDATED STATEMENTS OF ASSETS AND LIABILITIES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and per share data)</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6742"/>
        <w:gridCol w:w="146"/>
        <w:gridCol w:w="213"/>
        <w:gridCol w:w="902"/>
        <w:gridCol w:w="166"/>
        <w:gridCol w:w="146"/>
        <w:gridCol w:w="287"/>
        <w:gridCol w:w="1211"/>
        <w:gridCol w:w="392"/>
      </w:tblGrid>
      <w:tr>
        <w:trPr/>
        <w:tc>
          <w:tcPr>
            <w:tcW w:w="6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7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firstLine="200"/>
              <w:jc w:val="right"/>
              <w:rPr/>
            </w:pPr>
            <w:r>
              <w:rPr/>
              <w:t> </w:t>
            </w:r>
          </w:p>
        </w:tc>
      </w:tr>
      <w:tr>
        <w:trPr/>
        <w:tc>
          <w:tcPr>
            <w:tcW w:w="674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Non-controlled, non-affiliated investments (amortized cost— $816,166</w:t>
            </w:r>
            <w:r>
              <w:rPr>
                <w:rFonts w:ascii="Times New Roman" w:hAnsi="Times New Roman"/>
                <w:sz w:val="20"/>
              </w:rPr>
              <w:t>  </w:t>
            </w:r>
            <w:r>
              <w:rPr>
                <w:rFonts w:ascii="Times New Roman;serif" w:hAnsi="Times New Roman;serif"/>
                <w:b w:val="false"/>
                <w:sz w:val="16"/>
              </w:rPr>
              <w:t>and $882,570,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814,608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893,249</w:t>
            </w:r>
          </w:p>
        </w:tc>
        <w:tc>
          <w:tcPr>
            <w:tcW w:w="392" w:type="dxa"/>
            <w:tcBorders/>
            <w:vAlign w:val="center"/>
          </w:tcPr>
          <w:p>
            <w:pPr>
              <w:pStyle w:val="TableContents"/>
              <w:bidi w:val="0"/>
              <w:spacing w:before="0" w:after="0"/>
              <w:ind w:left="0" w:right="0" w:firstLine="200"/>
              <w:jc w:val="left"/>
              <w:rPr/>
            </w:pPr>
            <w:r>
              <w:rPr/>
              <w:t> </w:t>
            </w:r>
          </w:p>
        </w:tc>
      </w:tr>
      <w:tr>
        <w:trPr/>
        <w:tc>
          <w:tcPr>
            <w:tcW w:w="674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Controlled, affiliated investments (amortized cost— $324,267</w:t>
            </w:r>
            <w:r>
              <w:rPr>
                <w:rFonts w:ascii="Times New Roman" w:hAnsi="Times New Roman"/>
                <w:sz w:val="20"/>
              </w:rPr>
              <w:t>  </w:t>
            </w:r>
            <w:r>
              <w:rPr>
                <w:rFonts w:ascii="Times New Roman;serif" w:hAnsi="Times New Roman;serif"/>
                <w:b w:val="false"/>
                <w:sz w:val="16"/>
              </w:rPr>
              <w:t>and $294,787,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290,657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271,005</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742"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16"/>
              </w:rPr>
              <w:t>Total investments (cost— $1,140,433</w:t>
            </w:r>
            <w:r>
              <w:rPr>
                <w:rFonts w:ascii="Times New Roman" w:hAnsi="Times New Roman"/>
                <w:sz w:val="20"/>
              </w:rPr>
              <w:t>  </w:t>
            </w:r>
            <w:r>
              <w:rPr>
                <w:rFonts w:ascii="Times New Roman;serif" w:hAnsi="Times New Roman;serif"/>
                <w:b w:val="false"/>
                <w:sz w:val="16"/>
              </w:rPr>
              <w:t>and $1,177,357,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1,105,265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1,164,254</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Cash and cash equivalents (cost— $59,092</w:t>
            </w:r>
            <w:r>
              <w:rPr>
                <w:rFonts w:ascii="Times New Roman" w:hAnsi="Times New Roman"/>
                <w:sz w:val="20"/>
              </w:rPr>
              <w:t> </w:t>
            </w:r>
            <w:r>
              <w:rPr>
                <w:rFonts w:ascii="Times New Roman;serif" w:hAnsi="Times New Roman;serif"/>
                <w:b w:val="false"/>
                <w:sz w:val="16"/>
              </w:rPr>
              <w:t>and $47,916,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7,543</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investments sold</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3,441</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receivable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748</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74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1,183,223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1,223,866</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payable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4,308</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Credit Facility payable, at fair value (cost— $64,400</w:t>
            </w:r>
            <w:r>
              <w:rPr>
                <w:rFonts w:ascii="Times New Roman" w:hAnsi="Times New Roman"/>
                <w:sz w:val="20"/>
              </w:rPr>
              <w:t> </w:t>
            </w:r>
            <w:r>
              <w:rPr>
                <w:rFonts w:ascii="Times New Roman;serif" w:hAnsi="Times New Roman;serif"/>
                <w:b w:val="false"/>
                <w:sz w:val="16"/>
              </w:rPr>
              <w:t>and $169,654, respectively) (See Notes 5 and 10)</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167,563</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2023 Notes payable, at fair value (par—$76,219</w:t>
            </w:r>
            <w:r>
              <w:rPr>
                <w:rFonts w:ascii="Times New Roman" w:hAnsi="Times New Roman"/>
                <w:sz w:val="20"/>
              </w:rPr>
              <w:t> </w:t>
            </w:r>
            <w:r>
              <w:rPr>
                <w:rFonts w:ascii="Times New Roman;serif" w:hAnsi="Times New Roman;serif"/>
                <w:b w:val="false"/>
                <w:sz w:val="16"/>
              </w:rPr>
              <w:t>and $97,006, respectively) (See Notes 5 and 10)</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96,812</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 payable, net (par—$185,000) (See Notes 5 and 10)</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182,276</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2031 Asset-Backed Debt, net (par—$228,000) (See Notes 5 and 10)</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226,601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226,128</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debt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8,163</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 payable (See Note 3)</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3,027</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 payable (See Note 3)</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3,164</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tax liability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4,568</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74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574,796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696,774</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Commitments and contingencies (See Note 11)</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vAlign w:val="center"/>
          </w:tcPr>
          <w:p>
            <w:pPr>
              <w:pStyle w:val="TableContents"/>
              <w:bidi w:val="0"/>
              <w:spacing w:before="0" w:after="0"/>
              <w:ind w:left="0" w:right="0" w:hanging="0"/>
              <w:jc w:val="left"/>
              <w:rPr/>
            </w:pPr>
            <w:r>
              <w:rPr/>
              <w:t> </w:t>
            </w:r>
          </w:p>
        </w:tc>
        <w:tc>
          <w:tcPr>
            <w:tcW w:w="111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98"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674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Common stock, 55,537,299</w:t>
            </w:r>
            <w:r>
              <w:rPr>
                <w:rFonts w:ascii="Times New Roman" w:hAnsi="Times New Roman"/>
                <w:sz w:val="20"/>
              </w:rPr>
              <w:t> </w:t>
            </w:r>
            <w:r>
              <w:rPr>
                <w:rFonts w:ascii="Times New Roman;serif" w:hAnsi="Times New Roman;serif"/>
                <w:b w:val="false"/>
                <w:sz w:val="16"/>
              </w:rPr>
              <w:t>and 45,345,638</w:t>
            </w:r>
            <w:r>
              <w:rPr>
                <w:rFonts w:ascii="Times New Roman" w:hAnsi="Times New Roman"/>
                <w:sz w:val="20"/>
              </w:rPr>
              <w:t> </w:t>
            </w:r>
            <w:r>
              <w:rPr>
                <w:rFonts w:ascii="Times New Roman;serif" w:hAnsi="Times New Roman;serif"/>
                <w:b w:val="false"/>
                <w:sz w:val="16"/>
              </w:rPr>
              <w:t>shares issued and outstanding, respectively</w:t>
              <w:br/>
              <w:t>   Par value $0.001</w:t>
            </w:r>
            <w:r>
              <w:rPr>
                <w:rFonts w:ascii="Times New Roman" w:hAnsi="Times New Roman"/>
                <w:sz w:val="20"/>
              </w:rPr>
              <w:t> </w:t>
            </w:r>
            <w:r>
              <w:rPr>
                <w:rFonts w:ascii="Times New Roman;serif" w:hAnsi="Times New Roman;serif"/>
                <w:b w:val="false"/>
                <w:sz w:val="16"/>
              </w:rPr>
              <w:t>per share and 100,000,000</w:t>
            </w:r>
            <w:r>
              <w:rPr>
                <w:rFonts w:ascii="Times New Roman" w:hAnsi="Times New Roman"/>
                <w:sz w:val="20"/>
              </w:rPr>
              <w:t> </w:t>
            </w:r>
            <w:r>
              <w:rPr>
                <w:rFonts w:ascii="Times New Roman;serif" w:hAnsi="Times New Roman;serif"/>
                <w:b w:val="false"/>
                <w:sz w:val="16"/>
              </w:rPr>
              <w:t>shares authorized</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Paid-in capital in excess of par value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0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618,028</w:t>
            </w:r>
          </w:p>
        </w:tc>
        <w:tc>
          <w:tcPr>
            <w:tcW w:w="392" w:type="dxa"/>
            <w:tcBorders/>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(122,157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(90,981</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6"/>
              </w:rPr>
            </w:pPr>
            <w:r>
              <w:rPr>
                <w:rFonts w:ascii="Times New Roman;serif" w:hAnsi="Times New Roman;serif"/>
                <w:b w:val="false"/>
                <w:sz w:val="16"/>
              </w:rPr>
              <w:t>)</w:t>
            </w:r>
          </w:p>
        </w:tc>
      </w:tr>
      <w:tr>
        <w:trPr/>
        <w:tc>
          <w:tcPr>
            <w:tcW w:w="6742"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Total net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608,427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527,092</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742" w:type="dxa"/>
            <w:tcBorders/>
            <w:vAlign w:val="center"/>
          </w:tcPr>
          <w:p>
            <w:pPr>
              <w:pStyle w:val="TableContents"/>
              <w:bidi w:val="0"/>
              <w:spacing w:before="0" w:after="0"/>
              <w:ind w:left="100" w:right="0" w:hanging="0"/>
              <w:jc w:val="left"/>
              <w:rPr>
                <w:rFonts w:ascii="Times New Roman;serif" w:hAnsi="Times New Roman;serif"/>
                <w:b/>
                <w:sz w:val="16"/>
              </w:rPr>
            </w:pPr>
            <w:r>
              <w:rPr>
                <w:rFonts w:ascii="Times New Roman;serif" w:hAnsi="Times New Roman;serif"/>
                <w:b/>
                <w:sz w:val="16"/>
              </w:rPr>
              <w:t>Total liabilities and net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1,183,223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1,223,866</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4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 value per share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11.62</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bookmarkStart w:id="9" w:name="consolidated_statements_operations"/>
      <w:bookmarkEnd w:id="9"/>
      <w:r>
        <w:rPr>
          <w:rFonts w:ascii="Times New Roman;serif" w:hAnsi="Times New Roman;serif"/>
          <w:b/>
          <w:sz w:val="16"/>
        </w:rPr>
        <w:t>CONSOLIDATED STATEMENTS OF OPERATIONS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4883"/>
        <w:gridCol w:w="146"/>
        <w:gridCol w:w="210"/>
        <w:gridCol w:w="710"/>
        <w:gridCol w:w="177"/>
        <w:gridCol w:w="156"/>
        <w:gridCol w:w="210"/>
        <w:gridCol w:w="710"/>
        <w:gridCol w:w="166"/>
        <w:gridCol w:w="146"/>
        <w:gridCol w:w="202"/>
        <w:gridCol w:w="716"/>
        <w:gridCol w:w="171"/>
        <w:gridCol w:w="151"/>
        <w:gridCol w:w="202"/>
        <w:gridCol w:w="684"/>
        <w:gridCol w:w="166"/>
        <w:gridCol w:w="399"/>
      </w:tblGrid>
      <w:tr>
        <w:trPr/>
        <w:tc>
          <w:tcPr>
            <w:tcW w:w="4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8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From non-controlled, non-affiliated investments:</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21,988</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65,440</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49,753</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5,602</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1,731</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734</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1,460</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3,795</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From non-controlled, affiliated investments:</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From controlled, affiliated investments:</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8,151</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22,701</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10,633</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2,450</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8,400</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37,713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103,603</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76,699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Base management fee (See Note 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2,840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8,643</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8,904</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Performance-based incentive fee (See Note 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4,625</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12,245</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8,461</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and expenses on debt (See Note 10)</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9,985</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29,595</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20,713</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Administrative services expenses (See Note 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764</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431</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1,134</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2,545</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Expenses before provision for taxes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19,061</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53,792</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40,473</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net investment income</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834</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19,211</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54,626</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18,502</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48,977</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 and debt:</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(6,065</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(13,520</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10,694</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and controlled, affiliated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realized gain on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(6,065</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(13,820</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92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7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3,051</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(12,204</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Controlled and non-controlled, affiliated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(4,143</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(9,825</w:t>
            </w:r>
          </w:p>
        </w:tc>
        <w:tc>
          <w:tcPr>
            <w:tcW w:w="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8,597</w:t>
            </w:r>
          </w:p>
        </w:tc>
        <w:tc>
          <w:tcPr>
            <w:tcW w:w="166" w:type="dxa"/>
            <w:tcBorders/>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2,929</w:t>
            </w:r>
          </w:p>
        </w:tc>
        <w:tc>
          <w:tcPr>
            <w:tcW w:w="17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Debt (appreciation) depreciation (See Note 5 and 10)</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(5,752</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(4,842</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firstLine="200"/>
              <w:jc w:val="left"/>
              <w:rPr/>
            </w:pPr>
            <w:r>
              <w:rPr/>
              <w:t> </w:t>
            </w:r>
          </w:p>
        </w:tc>
      </w:tr>
      <w:tr>
        <w:trPr/>
        <w:tc>
          <w:tcPr>
            <w:tcW w:w="4883"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change in unrealized appreciation (depreciation) on investments and debt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(6,844</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(23,942</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 (loss) from investments and debt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(12,909</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(37,762</w:t>
            </w:r>
          </w:p>
        </w:tc>
        <w:tc>
          <w:tcPr>
            <w:tcW w:w="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5,593</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11,215</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 per common share (See Note 7)</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0.11</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0.23</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r>
        <w:trPr/>
        <w:tc>
          <w:tcPr>
            <w:tcW w:w="488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per common share</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0.36</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1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9"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bookmarkStart w:id="10" w:name="consolidated_statements_changes_in_net_a"/>
      <w:bookmarkEnd w:id="10"/>
      <w:r>
        <w:rPr>
          <w:rFonts w:ascii="Times New Roman;serif" w:hAnsi="Times New Roman;serif"/>
          <w:b/>
          <w:sz w:val="16"/>
        </w:rPr>
        <w:t>CONSOLIDATED STATEMENTS OF CHANGES IN NET ASSETS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issue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4496"/>
        <w:gridCol w:w="146"/>
        <w:gridCol w:w="197"/>
        <w:gridCol w:w="836"/>
        <w:gridCol w:w="167"/>
        <w:gridCol w:w="147"/>
        <w:gridCol w:w="197"/>
        <w:gridCol w:w="699"/>
        <w:gridCol w:w="166"/>
        <w:gridCol w:w="146"/>
        <w:gridCol w:w="196"/>
        <w:gridCol w:w="916"/>
        <w:gridCol w:w="166"/>
        <w:gridCol w:w="146"/>
        <w:gridCol w:w="196"/>
        <w:gridCol w:w="826"/>
        <w:gridCol w:w="166"/>
        <w:gridCol w:w="396"/>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4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from operations:</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18,502</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35,926</w:t>
            </w:r>
          </w:p>
        </w:tc>
        <w:tc>
          <w:tcPr>
            <w:tcW w:w="16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(6,065</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(1,092</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provision for taxes on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provision for taxes on realized gain on investments</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depreciation on debt</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(5,752</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Distributions to stockholders:</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Distribution of net investment income</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(15,445</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(42,390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distributions to stockholders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(15,445</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(42,390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Capital transactions</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Public offering (See Note 1)</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64,060</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32,336</w:t>
            </w:r>
          </w:p>
        </w:tc>
        <w:tc>
          <w:tcPr>
            <w:tcW w:w="166" w:type="dxa"/>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Offering costs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increase in net assets resulting from capital transactions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63,610</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112,510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53,758</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81,335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Beginning of period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554,669</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519,986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490,611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End of period</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608,427</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504,913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608,427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504,913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44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Capital share activity:</w:t>
            </w:r>
          </w:p>
        </w:tc>
        <w:tc>
          <w:tcPr>
            <w:tcW w:w="146" w:type="dxa"/>
            <w:tcBorders/>
            <w:vAlign w:val="center"/>
          </w:tcPr>
          <w:p>
            <w:pPr>
              <w:pStyle w:val="TableContents"/>
              <w:bidi w:val="0"/>
              <w:spacing w:before="0" w:after="0"/>
              <w:ind w:left="0" w:right="0" w:hanging="0"/>
              <w:jc w:val="left"/>
              <w:rPr/>
            </w:pPr>
            <w:r>
              <w:rPr/>
              <w:t> </w:t>
            </w:r>
          </w:p>
        </w:tc>
        <w:tc>
          <w:tcPr>
            <w:tcW w:w="1033"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left"/>
              <w:rPr/>
            </w:pPr>
            <w:r>
              <w:rPr/>
              <w:t> </w:t>
            </w:r>
          </w:p>
        </w:tc>
      </w:tr>
      <w:tr>
        <w:trPr/>
        <w:tc>
          <w:tcPr>
            <w:tcW w:w="4496"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Shares issued from public offering</w:t>
            </w:r>
          </w:p>
        </w:tc>
        <w:tc>
          <w:tcPr>
            <w:tcW w:w="146"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5,805,484</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136,072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10,191,661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2,464,910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bookmarkStart w:id="11" w:name="consolidated_statements_cash_flows"/>
      <w:bookmarkEnd w:id="11"/>
      <w:r>
        <w:rPr>
          <w:rFonts w:ascii="Times New Roman;serif" w:hAnsi="Times New Roman;serif"/>
          <w:b/>
          <w:sz w:val="16"/>
        </w:rPr>
        <w:t>CONSOLIDATED STATEMENTS OF CASH FLOWS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left"/>
        <w:rPr/>
      </w:pPr>
      <w:r>
        <w:rPr/>
        <w:t> </w:t>
      </w:r>
    </w:p>
    <w:tbl>
      <w:tblPr>
        <w:tblW w:w="9484" w:type="dxa"/>
        <w:jc w:val="left"/>
        <w:tblInd w:w="0" w:type="dxa"/>
        <w:tblLayout w:type="fixed"/>
        <w:tblCellMar>
          <w:top w:w="28" w:type="dxa"/>
          <w:left w:w="28" w:type="dxa"/>
          <w:bottom w:w="28" w:type="dxa"/>
          <w:right w:w="28" w:type="dxa"/>
        </w:tblCellMar>
      </w:tblPr>
      <w:tblGrid>
        <w:gridCol w:w="6121"/>
        <w:gridCol w:w="146"/>
        <w:gridCol w:w="196"/>
        <w:gridCol w:w="751"/>
        <w:gridCol w:w="166"/>
        <w:gridCol w:w="146"/>
        <w:gridCol w:w="196"/>
        <w:gridCol w:w="751"/>
        <w:gridCol w:w="10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61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increase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16,593</w:t>
            </w:r>
          </w:p>
        </w:tc>
        <w:tc>
          <w:tcPr>
            <w:tcW w:w="1011" w:type="dxa"/>
            <w:tcBorders/>
            <w:vAlign w:val="center"/>
          </w:tcPr>
          <w:p>
            <w:pPr>
              <w:pStyle w:val="TableContents"/>
              <w:bidi w:val="0"/>
              <w:spacing w:before="0" w:after="0"/>
              <w:ind w:left="0" w:right="0" w:firstLine="400"/>
              <w:jc w:val="left"/>
              <w:rPr/>
            </w:pPr>
            <w:r>
              <w:rPr/>
              <w:t> </w:t>
            </w:r>
          </w:p>
        </w:tc>
      </w:tr>
      <w:tr>
        <w:trPr/>
        <w:tc>
          <w:tcPr>
            <w:tcW w:w="61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Adjustments to reconcile net increase in net assets resulting from operations to net cash</w:t>
              <w:br/>
              <w:t>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600"/>
              <w:jc w:val="righ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3,645</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(1,273</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11,621</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accretion of discount and amortization of premium</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(2,920</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Purchases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(231,001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(553,106</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Payment-in-kind interest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(1,203</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Proceeds from dispositions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258,075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397,184</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Accretion (amortization)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385</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(Increase) Decrease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800"/>
              <w:jc w:val="righ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(1,913</w:t>
            </w:r>
          </w:p>
        </w:tc>
        <w:tc>
          <w:tcPr>
            <w:tcW w:w="10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Distribution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800"/>
              <w:jc w:val="lef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Receivable for investments sold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27,357</w:t>
            </w:r>
          </w:p>
        </w:tc>
        <w:tc>
          <w:tcPr>
            <w:tcW w:w="1011" w:type="dxa"/>
            <w:tcBorders/>
            <w:vAlign w:val="center"/>
          </w:tcPr>
          <w:p>
            <w:pPr>
              <w:pStyle w:val="TableContents"/>
              <w:bidi w:val="0"/>
              <w:spacing w:before="0" w:after="0"/>
              <w:ind w:left="0" w:right="0" w:firstLine="800"/>
              <w:jc w:val="lef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(10,127</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Increase or (Decrease)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800"/>
              <w:jc w:val="righ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(3,746</w:t>
            </w:r>
          </w:p>
        </w:tc>
        <w:tc>
          <w:tcPr>
            <w:tcW w:w="10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Interest payable on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(955</w:t>
            </w:r>
          </w:p>
        </w:tc>
        <w:tc>
          <w:tcPr>
            <w:tcW w:w="10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Base management fee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w:t>
            </w:r>
          </w:p>
        </w:tc>
        <w:tc>
          <w:tcPr>
            <w:tcW w:w="1011" w:type="dxa"/>
            <w:tcBorders/>
            <w:vAlign w:val="center"/>
          </w:tcPr>
          <w:p>
            <w:pPr>
              <w:pStyle w:val="TableContents"/>
              <w:bidi w:val="0"/>
              <w:spacing w:before="0" w:after="0"/>
              <w:ind w:left="0" w:right="0" w:firstLine="800"/>
              <w:jc w:val="lef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Incentive fee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1,952</w:t>
            </w:r>
          </w:p>
        </w:tc>
        <w:tc>
          <w:tcPr>
            <w:tcW w:w="1011" w:type="dxa"/>
            <w:tcBorders/>
            <w:vAlign w:val="center"/>
          </w:tcPr>
          <w:p>
            <w:pPr>
              <w:pStyle w:val="TableContents"/>
              <w:bidi w:val="0"/>
              <w:spacing w:before="0" w:after="0"/>
              <w:ind w:left="0" w:right="0" w:firstLine="800"/>
              <w:jc w:val="lef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Deferred tax liability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5,340</w:t>
            </w:r>
          </w:p>
        </w:tc>
        <w:tc>
          <w:tcPr>
            <w:tcW w:w="1011" w:type="dxa"/>
            <w:tcBorders/>
            <w:vAlign w:val="center"/>
          </w:tcPr>
          <w:p>
            <w:pPr>
              <w:pStyle w:val="TableContents"/>
              <w:bidi w:val="0"/>
              <w:spacing w:before="0" w:after="0"/>
              <w:ind w:left="0" w:right="0" w:firstLine="800"/>
              <w:jc w:val="left"/>
              <w:rPr/>
            </w:pPr>
            <w:r>
              <w:rPr/>
              <w:t> </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Account payable and 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(768</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(111,579</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600"/>
              <w:jc w:val="righ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Proceeds from public offering</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113,214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32,336</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Offering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Distributions paid to stockholders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(41,200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(33,904</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Repayment of 2023 notes payable (See Notes 5 and 10)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(20,787</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Proceeds from 2026 notes issuance (See Notes 5 and 10)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84,333</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Borrowings under Credit Facility (See Notes 5 and 10)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147,254</w:t>
            </w:r>
          </w:p>
        </w:tc>
        <w:tc>
          <w:tcPr>
            <w:tcW w:w="1011" w:type="dxa"/>
            <w:tcBorders/>
            <w:vAlign w:val="center"/>
          </w:tcPr>
          <w:p>
            <w:pPr>
              <w:pStyle w:val="TableContents"/>
              <w:bidi w:val="0"/>
              <w:spacing w:before="0" w:after="0"/>
              <w:ind w:left="0" w:right="0" w:firstLine="600"/>
              <w:jc w:val="left"/>
              <w:rPr/>
            </w:pPr>
            <w:r>
              <w:rPr/>
              <w:t> </w:t>
            </w:r>
          </w:p>
        </w:tc>
      </w:tr>
      <w:tr>
        <w:trPr/>
        <w:tc>
          <w:tcPr>
            <w:tcW w:w="612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Repayments under Credit Facility (See Notes 5 and 10)</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(169,709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(107,000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(54,187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101,747</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(9,832</w:t>
            </w:r>
          </w:p>
        </w:tc>
        <w:tc>
          <w:tcPr>
            <w:tcW w:w="1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exchange rate changes on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622</w:t>
            </w:r>
          </w:p>
        </w:tc>
        <w:tc>
          <w:tcPr>
            <w:tcW w:w="1011" w:type="dxa"/>
            <w:tcBorders/>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49,826</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59,092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40,616</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1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disclosures: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200"/>
              <w:jc w:val="righ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paid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30,564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20,610</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Taxes paid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2,557</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12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exchanges and conversions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50,352</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bookmarkStart w:id="12" w:name="consolidated_schedule_investments"/>
      <w:bookmarkEnd w:id="12"/>
      <w:r>
        <w:rPr>
          <w:rFonts w:ascii="Times New Roman;serif" w:hAnsi="Times New Roman;serif"/>
          <w:b/>
          <w:sz w:val="16"/>
        </w:rPr>
        <w:t>CONSOLIDATED SCHEDULE OF INVESTMENTS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bl>
      <w:tblPr>
        <w:tblW w:w="10205" w:type="dxa"/>
        <w:jc w:val="left"/>
        <w:tblInd w:w="0" w:type="dxa"/>
        <w:tblLayout w:type="fixed"/>
        <w:tblCellMar>
          <w:top w:w="28" w:type="dxa"/>
          <w:left w:w="28" w:type="dxa"/>
          <w:bottom w:w="28" w:type="dxa"/>
          <w:right w:w="28" w:type="dxa"/>
        </w:tblCellMar>
      </w:tblPr>
      <w:tblGrid>
        <w:gridCol w:w="2497"/>
        <w:gridCol w:w="146"/>
        <w:gridCol w:w="625"/>
        <w:gridCol w:w="146"/>
        <w:gridCol w:w="2031"/>
        <w:gridCol w:w="146"/>
        <w:gridCol w:w="186"/>
        <w:gridCol w:w="481"/>
        <w:gridCol w:w="211"/>
        <w:gridCol w:w="146"/>
        <w:gridCol w:w="178"/>
        <w:gridCol w:w="424"/>
        <w:gridCol w:w="146"/>
        <w:gridCol w:w="146"/>
        <w:gridCol w:w="146"/>
        <w:gridCol w:w="436"/>
        <w:gridCol w:w="146"/>
        <w:gridCol w:w="146"/>
        <w:gridCol w:w="166"/>
        <w:gridCol w:w="436"/>
        <w:gridCol w:w="146"/>
        <w:gridCol w:w="146"/>
        <w:gridCol w:w="200"/>
        <w:gridCol w:w="527"/>
        <w:gridCol w:w="201"/>
      </w:tblGrid>
      <w:tr>
        <w:trPr/>
        <w:tc>
          <w:tcPr>
            <w:tcW w:w="2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5" w:type="dxa"/>
            <w:gridSpan w:val="5"/>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Non-Affiliated Portfolio Companies—133.9% </w:t>
            </w:r>
            <w:r>
              <w:rPr>
                <w:rFonts w:ascii="Times New Roman;serif" w:hAnsi="Times New Roman;serif"/>
                <w:b/>
                <w:sz w:val="8"/>
              </w:rPr>
              <w:t>(3), (4)</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Debt—116.7%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L+660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 - Unfunded Term Loan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A1 Garage Merger Sub, LLC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Amsive Holding Corporation (f/k/a Vision Purchaser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06/10/2025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13,715</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13,632</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 - Incremental Term Loan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LLC (f/k/a MeritDirect,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6,235</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Any Hour Services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6,129</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12,761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Apex Service Partners,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API Holding III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05/11/2026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3,936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7,971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 (Unfunded Term Loan)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04/21/2023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1,060</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Arcfield Acquisition Corp.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03/07/2028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BioDerm,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Blackhawk Industrial Distribution, Inc.</w:t>
            </w:r>
            <w:r>
              <w:rPr>
                <w:rFonts w:ascii="Times New Roman" w:hAnsi="Times New Roman"/>
                <w:sz w:val="12"/>
              </w:rPr>
              <w:t>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12/04/2025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05/16/2024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L+688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25,501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By Light Professional IT Services, LLC (Revolver)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05/16/2024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Cadence Aerospace,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9.50%)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7"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13,044</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(Revolver)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5,935</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CF512,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 Holdings,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Industries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1,569</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Challenger Performance Optimization,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Challenger Performance Optimization,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02/09/2026</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7,976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Compex Legal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Compex Legal Services, Inc.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3,672</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Connatix Buyer, Inc.</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Crane 1 Services,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Crane 1 Services,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4,351</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Dr. Squatch, LLC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16,000</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DRS Holdings III,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3,395</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05/01/2028</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3,668</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Financial Services, Inc. </w:t>
            </w:r>
            <w:r>
              <w:rPr>
                <w:rFonts w:ascii="Times New Roman;serif" w:hAnsi="Times New Roman;serif"/>
                <w:b w:val="false"/>
                <w:sz w:val="8"/>
              </w:rPr>
              <w:t>(10)</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10/05/2023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4,909</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Financial Services, Inc. (Revolver) </w:t>
            </w:r>
            <w:r>
              <w:rPr>
                <w:rFonts w:ascii="Times New Roman;serif" w:hAnsi="Times New Roman;serif"/>
                <w:b w:val="false"/>
                <w:sz w:val="8"/>
              </w:rPr>
              <w:t>(7), (9), (10)</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10/05/2023</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 - Unfunded Term Loan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01/10/2029</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EDS Buyer, LLC.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01/10/2029</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Efficient Collaborative Retail Marketing Company,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5,288</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ETE Intermediate II, LLC - Revolver</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05/25/2029</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w:t>
            </w:r>
          </w:p>
        </w:tc>
        <w:tc>
          <w:tcPr>
            <w:tcW w:w="201" w:type="dxa"/>
            <w:tcBorders/>
            <w:vAlign w:val="center"/>
          </w:tcPr>
          <w:p>
            <w:pPr>
              <w:pStyle w:val="TableContents"/>
              <w:bidi w:val="0"/>
              <w:spacing w:before="0" w:after="0"/>
              <w:ind w:left="0" w:right="0" w:hanging="0"/>
              <w:jc w:val="left"/>
              <w:rPr/>
            </w:pPr>
            <w:r>
              <w:rPr/>
              <w:t> </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ETE Intermediate II,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05/25/2029</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03/15/2024</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9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203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4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435"/>
        <w:gridCol w:w="146"/>
        <w:gridCol w:w="626"/>
        <w:gridCol w:w="146"/>
        <w:gridCol w:w="2063"/>
        <w:gridCol w:w="146"/>
        <w:gridCol w:w="187"/>
        <w:gridCol w:w="483"/>
        <w:gridCol w:w="211"/>
        <w:gridCol w:w="146"/>
        <w:gridCol w:w="185"/>
        <w:gridCol w:w="440"/>
        <w:gridCol w:w="146"/>
        <w:gridCol w:w="146"/>
        <w:gridCol w:w="146"/>
        <w:gridCol w:w="436"/>
        <w:gridCol w:w="146"/>
        <w:gridCol w:w="146"/>
        <w:gridCol w:w="166"/>
        <w:gridCol w:w="436"/>
        <w:gridCol w:w="146"/>
        <w:gridCol w:w="146"/>
        <w:gridCol w:w="201"/>
        <w:gridCol w:w="529"/>
        <w:gridCol w:w="201"/>
      </w:tblGrid>
      <w:tr>
        <w:trPr/>
        <w:tc>
          <w:tcPr>
            <w:tcW w:w="2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L+710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4,523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 - DDTL B Unfunded</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Five Star Buyer,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20,887</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Gantech Acquisition Corp.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03/16/2026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3,115</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Graffiti Buyer, Inc.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Graffiti Buyer,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Graffiti Buyer, Inc.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4,089</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328</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4,876</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Holdco Sands Intermediate,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HPA SPQ Merger Sub,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06/15/2029</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HPA SPQ Merger Sub, Inc. - Unfunded Term Loan</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06/15/2029</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HPA SPQ Merger Sub,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06/15/2029</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L+585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8,865</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5,680</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IDC Infusion Services,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14,717</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L+685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 - Unfunded Term Loan</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 (Revolver)</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Infinity Home Services Holdco,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3,186</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Infolinks Media Buyco,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Integrative Nutrition,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14,711</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Integrity Marketing Acquisition,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08/27/2025</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15,548</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 (Revolver)</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L+560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539</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ITI Holdings,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06/30/2025</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L+761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Inventus Power,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06/30/2025</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K2 Pure Solutions NoCal, L.P.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17,037</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 - (Revolver)</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3,045</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Kinetic Purchaser, LLC -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02/18/2027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Lash OpCo,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Lash OpCo, LLC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7,464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0"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LAV Gear Holdings,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1,698</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0"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Ledge Lounger,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22,262</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 - Unfunded Term Loan</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LJ Avalon Holdings,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01/31/2030</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Loving Tan Intermediate II,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05/31/2028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18,925</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Loving Tan Intermediate II, Inc. (Revolver)</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05/31/2028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Lucky Bucks, LLC </w:t>
            </w:r>
            <w:r>
              <w:rPr>
                <w:rFonts w:ascii="Times New Roman;serif" w:hAnsi="Times New Roman;serif"/>
                <w:b w:val="false"/>
                <w:sz w:val="8"/>
              </w:rPr>
              <w:t>(6)</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 - DIP</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10/20/2023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 DS Corp.</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8,662</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Acquisition Holdings Corp. (Revolver)</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 (Revolver)</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MBS Holdings, Inc. (Revolver)</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2,002</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353</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1,944</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 Term Loan I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 Term Loan II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Mission Critical Electronics,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3,560</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Mission Critical Electronics,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Mission Critical Electronics,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10/01/2027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1,142</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 Unfunded Term Loan A</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06/16/2023</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 Unfunded Term Loan B</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12/16/2024</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10/01/2027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548</w:t>
            </w:r>
          </w:p>
        </w:tc>
        <w:tc>
          <w:tcPr>
            <w:tcW w:w="201" w:type="dxa"/>
            <w:tcBorders/>
            <w:vAlign w:val="center"/>
          </w:tcPr>
          <w:p>
            <w:pPr>
              <w:pStyle w:val="TableContents"/>
              <w:bidi w:val="0"/>
              <w:spacing w:before="0" w:after="0"/>
              <w:ind w:left="0" w:right="0" w:hanging="0"/>
              <w:jc w:val="left"/>
              <w:rPr/>
            </w:pPr>
            <w:r>
              <w:rPr/>
              <w:t> </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10/01/2027</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 - Revolver Unfunded</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05/09/2029</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3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NBH Group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08/19/2026</w:t>
            </w:r>
          </w:p>
        </w:tc>
        <w:tc>
          <w:tcPr>
            <w:tcW w:w="146" w:type="dxa"/>
            <w:tcBorders/>
            <w:vAlign w:val="center"/>
          </w:tcPr>
          <w:p>
            <w:pPr>
              <w:pStyle w:val="TableContents"/>
              <w:bidi w:val="0"/>
              <w:spacing w:before="0" w:after="0"/>
              <w:ind w:left="0" w:right="0" w:hanging="0"/>
              <w:jc w:val="left"/>
              <w:rPr/>
            </w:pPr>
            <w:r>
              <w:rPr/>
              <w:t> </w:t>
            </w:r>
          </w:p>
        </w:tc>
        <w:tc>
          <w:tcPr>
            <w:tcW w:w="206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bl>
      <w:tblPr>
        <w:tblW w:w="10205" w:type="dxa"/>
        <w:jc w:val="left"/>
        <w:tblInd w:w="0" w:type="dxa"/>
        <w:tblLayout w:type="fixed"/>
        <w:tblCellMar>
          <w:top w:w="28" w:type="dxa"/>
          <w:left w:w="28" w:type="dxa"/>
          <w:bottom w:w="28" w:type="dxa"/>
          <w:right w:w="28" w:type="dxa"/>
        </w:tblCellMar>
      </w:tblPr>
      <w:tblGrid>
        <w:gridCol w:w="2370"/>
        <w:gridCol w:w="146"/>
        <w:gridCol w:w="630"/>
        <w:gridCol w:w="146"/>
        <w:gridCol w:w="2216"/>
        <w:gridCol w:w="146"/>
        <w:gridCol w:w="151"/>
        <w:gridCol w:w="390"/>
        <w:gridCol w:w="211"/>
        <w:gridCol w:w="146"/>
        <w:gridCol w:w="192"/>
        <w:gridCol w:w="458"/>
        <w:gridCol w:w="146"/>
        <w:gridCol w:w="146"/>
        <w:gridCol w:w="146"/>
        <w:gridCol w:w="436"/>
        <w:gridCol w:w="146"/>
        <w:gridCol w:w="146"/>
        <w:gridCol w:w="166"/>
        <w:gridCol w:w="436"/>
        <w:gridCol w:w="146"/>
        <w:gridCol w:w="146"/>
        <w:gridCol w:w="205"/>
        <w:gridCol w:w="539"/>
        <w:gridCol w:w="199"/>
      </w:tblGrid>
      <w:tr>
        <w:trPr/>
        <w:tc>
          <w:tcPr>
            <w:tcW w:w="2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8,538</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4,667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Output Services Group, Inc. </w:t>
            </w:r>
            <w:r>
              <w:rPr>
                <w:rFonts w:ascii="Times New Roman;serif" w:hAnsi="Times New Roman;serif"/>
                <w:b w:val="false"/>
                <w:sz w:val="8"/>
              </w:rPr>
              <w:t>(6)</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06/27/2026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1,226</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3,815</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22,282</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Ox Two,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1,549</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Ox Two,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Pequod Merger Sub, Inc. - Unfunded Term Loan</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Pequod Merger Sub, Inc (Revolver)</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5,062</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PL Acquisitionco, LLC -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05/08/2026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3,189</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 - Unfunded Term Loan</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Pragmatic Institute, LLC (Revolver)</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6,564</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 Unfunded Term Loan</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Questex,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7,033</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Questex,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1,408</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Inc. and Dynata,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11,995</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7,816</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03/10/2025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15,010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2,583</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Sales Benchmark Index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3,416</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431</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Sargent &amp; Greenleaf Inc. (Revolver)</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13,970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1,438</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Schlesinger Global,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10,569</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1,931</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Systems Holding Company</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Systems Holding Company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Smile Brands Inc. 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4,611</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Solutionreach, Inc.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2,011</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 Unfunded Term Loan</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w:t>
              <w:br/>
              <w:t>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18,070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(Revolver)</w:t>
              <w:br/>
              <w:t>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2,181</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System Planning and Analysis, Inc. (Revolver) </w:t>
            </w:r>
            <w:r>
              <w:rPr>
                <w:rFonts w:ascii="Times New Roman;serif" w:hAnsi="Times New Roman;serif"/>
                <w:b w:val="false"/>
                <w:sz w:val="8"/>
              </w:rPr>
              <w:t>(9)</w:t>
            </w:r>
            <w:r>
              <w:rPr>
                <w:rFonts w:ascii="Times New Roman;serif" w:hAnsi="Times New Roman;serif"/>
                <w:b w:val="false"/>
                <w:sz w:val="12"/>
              </w:rPr>
              <w:br/>
              <w:t>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07/18/2025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5,734</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07/28/2026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Bluebird Group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07/28/2026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2,104</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Canada Parent, Inc. and TPC US Parent, LLC</w:t>
            </w:r>
            <w:r>
              <w:rPr>
                <w:rFonts w:ascii="Times New Roman" w:hAnsi="Times New Roman"/>
                <w:sz w:val="12"/>
              </w:rPr>
              <w:t> </w:t>
            </w:r>
            <w:r>
              <w:rPr>
                <w:rFonts w:ascii="Times New Roman;serif" w:hAnsi="Times New Roman;serif"/>
                <w:b w:val="false"/>
                <w:sz w:val="8"/>
              </w:rPr>
              <w:t>(5), (10)</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4,787</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23,782</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TVC Enterprises,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TWS Acquisition Corporation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04/01/2028</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11,022</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Tyto Athene,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04/01/2026</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L+490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17,290</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 (Revolver)</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L+375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w:t>
            </w:r>
          </w:p>
        </w:tc>
        <w:tc>
          <w:tcPr>
            <w:tcW w:w="199" w:type="dxa"/>
            <w:tcBorders/>
            <w:vAlign w:val="center"/>
          </w:tcPr>
          <w:p>
            <w:pPr>
              <w:pStyle w:val="TableContents"/>
              <w:bidi w:val="0"/>
              <w:spacing w:before="0" w:after="0"/>
              <w:ind w:left="0" w:right="0" w:hanging="0"/>
              <w:jc w:val="left"/>
              <w:rPr/>
            </w:pPr>
            <w:r>
              <w:rPr/>
              <w:t> </w:t>
            </w:r>
          </w:p>
        </w:tc>
      </w:tr>
      <w:tr>
        <w:trPr/>
        <w:tc>
          <w:tcPr>
            <w:tcW w:w="237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UBEO,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left"/>
              <w:rPr/>
            </w:pPr>
            <w:r>
              <w:rPr/>
              <w:t> </w:t>
            </w:r>
          </w:p>
        </w:tc>
        <w:tc>
          <w:tcPr>
            <w:tcW w:w="221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bl>
      <w:tblPr>
        <w:tblW w:w="10205" w:type="dxa"/>
        <w:jc w:val="left"/>
        <w:tblInd w:w="0" w:type="dxa"/>
        <w:tblLayout w:type="fixed"/>
        <w:tblCellMar>
          <w:top w:w="28" w:type="dxa"/>
          <w:left w:w="28" w:type="dxa"/>
          <w:bottom w:w="28" w:type="dxa"/>
          <w:right w:w="28" w:type="dxa"/>
        </w:tblCellMar>
      </w:tblPr>
      <w:tblGrid>
        <w:gridCol w:w="2205"/>
        <w:gridCol w:w="146"/>
        <w:gridCol w:w="182"/>
        <w:gridCol w:w="435"/>
        <w:gridCol w:w="146"/>
        <w:gridCol w:w="146"/>
        <w:gridCol w:w="1957"/>
        <w:gridCol w:w="146"/>
        <w:gridCol w:w="151"/>
        <w:gridCol w:w="390"/>
        <w:gridCol w:w="211"/>
        <w:gridCol w:w="197"/>
        <w:gridCol w:w="182"/>
        <w:gridCol w:w="433"/>
        <w:gridCol w:w="146"/>
        <w:gridCol w:w="146"/>
        <w:gridCol w:w="146"/>
        <w:gridCol w:w="586"/>
        <w:gridCol w:w="146"/>
        <w:gridCol w:w="146"/>
        <w:gridCol w:w="166"/>
        <w:gridCol w:w="496"/>
        <w:gridCol w:w="146"/>
        <w:gridCol w:w="146"/>
        <w:gridCol w:w="183"/>
        <w:gridCol w:w="549"/>
        <w:gridCol w:w="276"/>
      </w:tblGrid>
      <w:tr>
        <w:trPr/>
        <w:tc>
          <w:tcPr>
            <w:tcW w:w="2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LLC - Term Loan</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L+635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3,363</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Funded Junior Revolver</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L+635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Unfunded Term Loan</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7,493</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Wildcat Buyerco,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13,027</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734,151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709,802</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Debt—0.0%</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Mailsouth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and Publishing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(6)</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QuantiTech LLC</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Preferred Equity— 2.1%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787</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2,689</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(Preferred)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1,889</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Lash Coinvest LLC (Preferred)</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1,319</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Schlesinger Coinvest LLC (Preferred Equity)</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1,236,027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1,218</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Intermediate Holdings II,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NXOF Holdings, Inc. (Tyto Athene,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 (Preferred Equity)</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CR Intermediate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(5), (7), (8), (10)</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TWD Parent Holdings, LLC (The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UniTek Global Services, Inc. -</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w:t>
            </w:r>
          </w:p>
        </w:tc>
        <w:tc>
          <w:tcPr>
            <w:tcW w:w="276" w:type="dxa"/>
            <w:tcBorders/>
            <w:vAlign w:val="center"/>
          </w:tcPr>
          <w:p>
            <w:pPr>
              <w:pStyle w:val="TableContents"/>
              <w:bidi w:val="0"/>
              <w:spacing w:before="0" w:after="0"/>
              <w:ind w:left="0" w:right="0" w:firstLine="80"/>
              <w:jc w:val="left"/>
              <w:rPr/>
            </w:pPr>
            <w:r>
              <w:rPr/>
              <w:t> </w:t>
            </w:r>
          </w:p>
        </w:tc>
      </w:tr>
      <w:tr>
        <w:trPr/>
        <w:tc>
          <w:tcPr>
            <w:tcW w:w="2205"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Super Senior Preferred Equity</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UniTek Global Services, Inc. - Senior Preferred Equity</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UniTek Global Services,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1,047,317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Equity</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12,930</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Equity/Warrants— 15.1%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A1 Garage Equity, LLC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Affinion Group Holdings, Inc. (Warrants)</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(8), (9)</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Altamira Intermediate Company II,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1,439</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Athletico Holdings, LLC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4,286</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Holdings,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Holdings,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By Light Investco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11,976</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Parent,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Crane 1 Acquisition Parent Holdings,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184</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(Sigma Defense Systems,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615,484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1,234</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(Sigma Defense Systems, LLC) </w:t>
            </w:r>
            <w:r>
              <w:rPr>
                <w:rFonts w:ascii="Times New Roman;serif" w:hAnsi="Times New Roman;serif"/>
                <w:b w:val="false"/>
                <w:sz w:val="8"/>
              </w:rPr>
              <w:t>(7), (8),(9)</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Holding Corporation </w:t>
            </w:r>
            <w:r>
              <w:rPr>
                <w:rFonts w:ascii="Times New Roman;serif" w:hAnsi="Times New Roman;serif"/>
                <w:b w:val="false"/>
                <w:sz w:val="8"/>
              </w:rPr>
              <w:t>(7), (10)</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Topco,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LLC</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Topco, LLC</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(7),(8),(9)</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Parent Holdings, LLC</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655,714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721</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ETE Blocker, LLC</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Gauge Lash Coinvest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1,485,953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6,734</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Loving Tan,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2,481,781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2,482</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Gauge Schlesinger Coinvest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Gauge TVC Coinvest, LLC (TVC Enterprises,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1,734</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GCOM InvestCo LP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Go Dawgs Capital III,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799</w:t>
            </w:r>
          </w:p>
        </w:tc>
        <w:tc>
          <w:tcPr>
            <w:tcW w:w="276" w:type="dxa"/>
            <w:tcBorders/>
            <w:vAlign w:val="center"/>
          </w:tcPr>
          <w:p>
            <w:pPr>
              <w:pStyle w:val="TableContents"/>
              <w:bidi w:val="0"/>
              <w:spacing w:before="0" w:after="0"/>
              <w:ind w:left="0" w:right="0" w:firstLine="80"/>
              <w:jc w:val="left"/>
              <w:rPr/>
            </w:pPr>
            <w:r>
              <w:rPr/>
              <w:t> </w:t>
            </w:r>
          </w:p>
        </w:tc>
      </w:tr>
      <w:tr>
        <w:trPr/>
        <w:tc>
          <w:tcPr>
            <w:tcW w:w="2205"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(American Insulated Glass, LLC)</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Claims Consultants Investors,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HPA SPQ Aggregator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V C,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1,863,863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1,794</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Icon Partners V C, L.P.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636,137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IIN Group Holdings, LLC</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firstLine="80"/>
              <w:jc w:val="left"/>
              <w:rPr/>
            </w:pPr>
            <w:r>
              <w:rPr/>
              <w:t> </w:t>
            </w:r>
          </w:p>
        </w:tc>
      </w:tr>
      <w:tr>
        <w:trPr/>
        <w:tc>
          <w:tcPr>
            <w:tcW w:w="2205"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(Integrative Nutrition,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left"/>
              <w:rPr/>
            </w:pPr>
            <w:r>
              <w:rPr/>
              <w:t> </w:t>
            </w:r>
          </w:p>
        </w:tc>
        <w:tc>
          <w:tcPr>
            <w:tcW w:w="6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 (Common)</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1,236,027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IHS Parent Holdngs, L.P.</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1,218,045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Ironclad Holdco, LLC (Applied Technical Services,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713</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ITC Infusion Co-invest, LP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1,219</w:t>
            </w:r>
          </w:p>
        </w:tc>
        <w:tc>
          <w:tcPr>
            <w:tcW w:w="276" w:type="dxa"/>
            <w:tcBorders/>
            <w:vAlign w:val="center"/>
          </w:tcPr>
          <w:p>
            <w:pPr>
              <w:pStyle w:val="TableContents"/>
              <w:bidi w:val="0"/>
              <w:spacing w:before="0" w:after="0"/>
              <w:ind w:left="0" w:right="0" w:hanging="0"/>
              <w:jc w:val="left"/>
              <w:rPr/>
            </w:pPr>
            <w:r>
              <w:rPr/>
              <w:t> </w:t>
            </w:r>
          </w:p>
        </w:tc>
      </w:tr>
      <w:tr>
        <w:trPr/>
        <w:tc>
          <w:tcPr>
            <w:tcW w:w="220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ITC Rumba, LLC (Cano Health,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5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818</w:t>
            </w:r>
          </w:p>
        </w:tc>
        <w:tc>
          <w:tcPr>
            <w:tcW w:w="27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bl>
      <w:tblPr>
        <w:tblW w:w="10205" w:type="dxa"/>
        <w:jc w:val="left"/>
        <w:tblInd w:w="0" w:type="dxa"/>
        <w:tblLayout w:type="fixed"/>
        <w:tblCellMar>
          <w:top w:w="28" w:type="dxa"/>
          <w:left w:w="28" w:type="dxa"/>
          <w:bottom w:w="28" w:type="dxa"/>
          <w:right w:w="28" w:type="dxa"/>
        </w:tblCellMar>
      </w:tblPr>
      <w:tblGrid>
        <w:gridCol w:w="2216"/>
        <w:gridCol w:w="146"/>
        <w:gridCol w:w="180"/>
        <w:gridCol w:w="430"/>
        <w:gridCol w:w="146"/>
        <w:gridCol w:w="146"/>
        <w:gridCol w:w="1785"/>
        <w:gridCol w:w="146"/>
        <w:gridCol w:w="174"/>
        <w:gridCol w:w="449"/>
        <w:gridCol w:w="211"/>
        <w:gridCol w:w="146"/>
        <w:gridCol w:w="167"/>
        <w:gridCol w:w="398"/>
        <w:gridCol w:w="146"/>
        <w:gridCol w:w="146"/>
        <w:gridCol w:w="146"/>
        <w:gridCol w:w="646"/>
        <w:gridCol w:w="146"/>
        <w:gridCol w:w="146"/>
        <w:gridCol w:w="166"/>
        <w:gridCol w:w="586"/>
        <w:gridCol w:w="146"/>
        <w:gridCol w:w="146"/>
        <w:gridCol w:w="169"/>
        <w:gridCol w:w="600"/>
        <w:gridCol w:w="276"/>
      </w:tblGrid>
      <w:tr>
        <w:trPr/>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Kentucky Racing Holdco, LLC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883</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1,734,775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2,502</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KL Stockton Co-Invest LP (Any Hour Services)</w:t>
            </w:r>
            <w:r>
              <w:rPr>
                <w:rFonts w:ascii="Times New Roman" w:hAnsi="Times New Roman"/>
                <w:sz w:val="12"/>
              </w:rPr>
              <w:t>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Lightspeed Investment Holdco LLC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1,359</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LP</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1,638,043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1,638</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Mars Intermediate Holdings II,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Aggregator, LP</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1,199</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Title, LLC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MSpark, LLC</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and Publishing</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1,973,370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1,829</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NEPRT Parent Holdings, LLC (Recteq,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North Haven Saints Equity Holdings, LP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NXOF Holdings, Inc. (Tyto Athene, LLC)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OceanSound Discovery Equity, LP (Holdco Sands Intermediate, LLC)</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OHCP V BC COI, L.P.</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711</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OHCP V BC COI, L.P. </w:t>
            </w:r>
            <w:r>
              <w:rPr>
                <w:rFonts w:ascii="Times New Roman;serif" w:hAnsi="Times New Roman;serif"/>
                <w:b w:val="false"/>
                <w:sz w:val="8"/>
              </w:rPr>
              <w:t>(8) (9)</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PennantPark-TSO Senior Loan Fund,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11,167,847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8,902</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LEP Pequod Holdings, LP</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Pink Lily Holdco, LLC (PL Acquisitions, LLC) </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Quad (U.S.) Co-Invest, L.P.</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QuantiTech InvestCo LP</w:t>
            </w:r>
            <w:r>
              <w:rPr>
                <w:rFonts w:ascii="Times New Roman" w:hAnsi="Times New Roman"/>
                <w:sz w:val="12"/>
              </w:rPr>
              <w:t> </w:t>
            </w:r>
            <w:r>
              <w:rPr>
                <w:rFonts w:ascii="Times New Roman;serif" w:hAnsi="Times New Roman;serif"/>
                <w:b w:val="false"/>
                <w:sz w:val="8"/>
              </w:rPr>
              <w:t>(7), (8), (9)</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QuantiTech InvestCo II LP</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RFMG Parent, LP (Rancho Health MSO,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SBI Holdings Investments LLC (Sales Benchmark Index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Topco, LP</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CR Intermediate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1,126</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 L2 Holdings, LLC (Ledge Lounger, Inc.)</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1,375</w:t>
            </w:r>
          </w:p>
        </w:tc>
        <w:tc>
          <w:tcPr>
            <w:tcW w:w="276" w:type="dxa"/>
            <w:tcBorders/>
            <w:vAlign w:val="center"/>
          </w:tcPr>
          <w:p>
            <w:pPr>
              <w:pStyle w:val="TableContents"/>
              <w:bidi w:val="0"/>
              <w:spacing w:before="0" w:after="0"/>
              <w:ind w:left="0" w:right="0" w:firstLine="80"/>
              <w:jc w:val="left"/>
              <w:rPr/>
            </w:pPr>
            <w:r>
              <w:rPr/>
              <w:t> </w:t>
            </w:r>
          </w:p>
        </w:tc>
      </w:tr>
      <w:tr>
        <w:trPr/>
        <w:tc>
          <w:tcPr>
            <w:tcW w:w="2216"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Class B (US Dominion,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StellPen Holdings, LLC (CF512,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TAC LifePort Holdings,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533,833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Tower Arch Infolinks Media, LP (Infolinks Media Buyco, LLC)</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Tower Arch Infolinks Media, LP (Infolinks Media Buyco, LLC)</w:t>
            </w:r>
            <w:r>
              <w:rPr>
                <w:rFonts w:ascii="Times New Roman;serif" w:hAnsi="Times New Roman;serif"/>
                <w:b w:val="false"/>
                <w:sz w:val="8"/>
              </w:rPr>
              <w:t>(8) (9)</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(5), (7), (8), (10)</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 Products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TWD Parent Holdings, LLC (The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UniTek Global Services,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UniVista Insurance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Partners Co., L.P.</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694,444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777</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Holdco LLC</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2,437</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WCP IvyRehab QP CF Feeder, LP</w:t>
            </w:r>
            <w:r>
              <w:rPr>
                <w:rFonts w:ascii="Times New Roman;serif" w:hAnsi="Times New Roman;serif"/>
                <w:b w:val="false"/>
                <w:sz w:val="8"/>
              </w:rPr>
              <w:t>(8)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3,715,012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4,322</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WCP IvyRehab QP CF Feeder, LP </w:t>
            </w:r>
            <w:r>
              <w:rPr>
                <w:rFonts w:ascii="Times New Roman;serif" w:hAnsi="Times New Roman;serif"/>
                <w:b w:val="false"/>
                <w:sz w:val="8"/>
              </w:rPr>
              <w:t>(8), (9)</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Wildcat Parent, LP (Wildcat Buyerco,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704</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Equity/Warrants</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69,896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91,727</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9"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Non-Affiliated Portfolio Companies</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816,166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814,608</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9" w:type="dxa"/>
            <w:gridSpan w:val="7"/>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Controlled, Affiliated Portfolio Companies—47.8% </w:t>
            </w:r>
            <w:r>
              <w:rPr>
                <w:rFonts w:ascii="Times New Roman;serif" w:hAnsi="Times New Roman;serif"/>
                <w:b/>
                <w:sz w:val="8"/>
              </w:rPr>
              <w:t>(3), (4)</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Debt—39.5%</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Marketplace Events, LLC - Super Priority First Lien Term Loan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09/30/2025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3,582</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5.25%)</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Marketplace Events, LLC - Super Priority First Lien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09/30/2025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09/30/2026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26,771</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Secured Loan Fund I LLC </w:t>
            </w:r>
            <w:r>
              <w:rPr>
                <w:rFonts w:ascii="Times New Roman;serif" w:hAnsi="Times New Roman;serif"/>
                <w:b w:val="false"/>
                <w:sz w:val="8"/>
              </w:rPr>
              <w:t>(7),</w:t>
            </w:r>
            <w:r>
              <w:rPr>
                <w:rFonts w:ascii="Times New Roman" w:hAnsi="Times New Roman"/>
                <w:sz w:val="12"/>
              </w:rPr>
              <w:t xml:space="preserve"> </w:t>
            </w:r>
            <w:r>
              <w:rPr>
                <w:rFonts w:ascii="Times New Roman;serif" w:hAnsi="Times New Roman;serif"/>
                <w:b w:val="false"/>
                <w:sz w:val="8"/>
              </w:rPr>
              <w:t>(9), (10)</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210,088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210,088</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234,229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240,441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Interests—8.3%</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New MPE Holdings, LLC (Marketplace Events,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2,275</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Secured Loan Fund I LLC </w:t>
            </w:r>
            <w:r>
              <w:rPr>
                <w:rFonts w:ascii="Times New Roman;serif" w:hAnsi="Times New Roman;serif"/>
                <w:b w:val="false"/>
                <w:sz w:val="8"/>
              </w:rPr>
              <w:t>(7), (9), (10)</w:t>
            </w:r>
          </w:p>
        </w:tc>
        <w:tc>
          <w:tcPr>
            <w:tcW w:w="146"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47,941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Interests</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50,216</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9"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Controlled, Affiliated Portfolio Companies</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324,267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290,657</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9"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Investments—181.7%</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1,140,433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1,105,265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Equivalents—9.7%</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Money Market - 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43,994</w:t>
            </w:r>
          </w:p>
        </w:tc>
        <w:tc>
          <w:tcPr>
            <w:tcW w:w="276" w:type="dxa"/>
            <w:tcBorders/>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Non-Money Market Cash</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15,098</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59,092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59,092</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Equivalents—191.4%</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1,199,525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1,164,357</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Assets—(91.4)%</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(555,930</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21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Net Assets—100.0%</w:t>
            </w:r>
          </w:p>
        </w:tc>
        <w:tc>
          <w:tcPr>
            <w:tcW w:w="146" w:type="dxa"/>
            <w:tcBorders/>
            <w:vAlign w:val="center"/>
          </w:tcPr>
          <w:p>
            <w:pPr>
              <w:pStyle w:val="TableContents"/>
              <w:bidi w:val="0"/>
              <w:spacing w:before="0" w:after="0"/>
              <w:ind w:left="0" w:right="0" w:hanging="0"/>
              <w:jc w:val="left"/>
              <w:rPr/>
            </w:pPr>
            <w:r>
              <w:rPr/>
              <w:t> </w:t>
            </w:r>
          </w:p>
        </w:tc>
        <w:tc>
          <w:tcPr>
            <w:tcW w:w="6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3"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608,427</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(1)</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(2)</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Valued based on our accounting policy (See Note 2). The value of all securities was determined using significant unobservable inputs (See Note 5).</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(3)</w:t>
      </w:r>
    </w:p>
    <w:p>
      <w:pPr>
        <w:pStyle w:val="TextBody"/>
        <w:bidi w:val="0"/>
        <w:jc w:val="left"/>
        <w:rPr>
          <w:rFonts w:ascii="Times New Roman;serif" w:hAnsi="Times New Roman;serif"/>
          <w:b w:val="false"/>
          <w:sz w:val="13"/>
        </w:rPr>
      </w:pPr>
      <w:r>
        <w:rPr>
          <w:rFonts w:ascii="Times New Roman;serif" w:hAnsi="Times New Roman;serif"/>
          <w:b w:val="false"/>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(4)</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(5)</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Non-U.S. company or principal place of business outside the United States.</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(6)</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Non-income producing securities.</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(7)</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The securities, or a portion thereof, are not 1) pledged as collateral under the Credit Facility and held through Funding I; or, 2) securing the 2031 Asset-Backed Debt (See Note 10) and held through PennantPark CLO I, Ltd.</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(8)</w:t>
      </w:r>
    </w:p>
    <w:p>
      <w:pPr>
        <w:pStyle w:val="TextBody"/>
        <w:bidi w:val="0"/>
        <w:spacing w:before="0" w:after="0"/>
        <w:jc w:val="left"/>
        <w:rPr/>
      </w:pPr>
      <w:r>
        <w:rPr>
          <w:rFonts w:ascii="Times New Roman;serif" w:hAnsi="Times New Roman;serif"/>
          <w:b w:val="false"/>
          <w:sz w:val="13"/>
        </w:rPr>
        <w:t>Investment is held through our Taxable Subsidiary (See Note 1).</w:t>
      </w:r>
      <w:r>
        <w:rPr/>
        <w:t xml:space="preserve"> </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(9)</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(10)</w:t>
      </w:r>
    </w:p>
    <w:p>
      <w:pPr>
        <w:pStyle w:val="TextBody"/>
        <w:bidi w:val="0"/>
        <w:jc w:val="left"/>
        <w:rPr>
          <w:rFonts w:ascii="Times New Roman;serif" w:hAnsi="Times New Roman;serif"/>
          <w:b w:val="false"/>
          <w:sz w:val="13"/>
        </w:rPr>
      </w:pPr>
      <w:r>
        <w:rPr>
          <w:rFonts w:ascii="Times New Roman;serif" w:hAnsi="Times New Roman;serif"/>
          <w:b w:val="false"/>
          <w:sz w:val="13"/>
        </w:rPr>
        <w:t>The investment is treated as a non-qualifying asset under Section 55(a) of the 1940 Act. Under the 1940 Act, we may not acquire any non-qualifying asset unless, at the time the acquisition is made, qualifying assets represent at least 70% of our total assets. As of June 30, 2023, qualifying assets represent 77% of our total assets and non-qualifying assets represent 23% of our total assets.</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w:t>
      </w:r>
    </w:p>
    <w:p>
      <w:pPr>
        <w:pStyle w:val="TextBody"/>
        <w:bidi w:val="0"/>
        <w:spacing w:before="0" w:after="0"/>
        <w:ind w:left="0" w:right="0" w:hanging="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349"/>
        <w:gridCol w:w="146"/>
        <w:gridCol w:w="620"/>
        <w:gridCol w:w="146"/>
        <w:gridCol w:w="2007"/>
        <w:gridCol w:w="146"/>
        <w:gridCol w:w="181"/>
        <w:gridCol w:w="469"/>
        <w:gridCol w:w="211"/>
        <w:gridCol w:w="198"/>
        <w:gridCol w:w="174"/>
        <w:gridCol w:w="415"/>
        <w:gridCol w:w="146"/>
        <w:gridCol w:w="146"/>
        <w:gridCol w:w="146"/>
        <w:gridCol w:w="607"/>
        <w:gridCol w:w="146"/>
        <w:gridCol w:w="146"/>
        <w:gridCol w:w="166"/>
        <w:gridCol w:w="436"/>
        <w:gridCol w:w="146"/>
        <w:gridCol w:w="146"/>
        <w:gridCol w:w="196"/>
        <w:gridCol w:w="515"/>
        <w:gridCol w:w="201"/>
      </w:tblGrid>
      <w:tr>
        <w:trPr/>
        <w:tc>
          <w:tcPr>
            <w:tcW w:w="2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3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8" w:type="dxa"/>
            <w:tcBorders/>
            <w:vAlign w:val="center"/>
          </w:tcPr>
          <w:p>
            <w:pPr>
              <w:pStyle w:val="TableContents"/>
              <w:bidi w:val="0"/>
              <w:spacing w:before="0" w:after="0"/>
              <w:ind w:left="0" w:right="0" w:hanging="0"/>
              <w:jc w:val="center"/>
              <w:rPr/>
            </w:pPr>
            <w:r>
              <w:rPr/>
              <w:t> </w:t>
            </w:r>
          </w:p>
        </w:tc>
        <w:tc>
          <w:tcPr>
            <w:tcW w:w="5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68" w:type="dxa"/>
            <w:gridSpan w:val="5"/>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Non-Affiliated Portfolio Companies—169.5% </w:t>
            </w:r>
            <w:r>
              <w:rPr>
                <w:rFonts w:ascii="Times New Roman;serif" w:hAnsi="Times New Roman;serif"/>
                <w:b/>
                <w:sz w:val="8"/>
              </w:rPr>
              <w:t>(3), (4)</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1"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Debt—149.7%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1"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4,626</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7,601</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American Teleconferencing Services, Ltd.</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06/08/2023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(6)</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American Teleconferencing Services, Ltd.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12/08/2022</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(6)</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Amsive Holding Corporation (f/k/a Vision Purchaser Corporation)</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06/10/2025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13,892</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14,568</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LLC (f/k/a MeritDirect,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10,326</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Any Hour Services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6,177</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12,841</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Apex Service Partners,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API Holding III Corp.</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05/11/2026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5,050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6,968</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 (Unfunded Term Loan)</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04/21/2023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Arcfield Acquisition Corp.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03/07/2028</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Blackhawk Industrial Distribution, Inc.</w:t>
            </w:r>
            <w:r>
              <w:rPr>
                <w:rFonts w:ascii="Times New Roman" w:hAnsi="Times New Roman"/>
                <w:sz w:val="12"/>
              </w:rPr>
              <w:t>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533</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12/02/2022</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3,405</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05/16/2024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27,257</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 (Revolver)</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05/16/2024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L+663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868</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By Light Professional IT Services, LLC (Revolver)</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05/16/2024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Cadence Aerospace,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3,003</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9.50%)</w:t>
            </w:r>
          </w:p>
        </w:tc>
        <w:tc>
          <w:tcPr>
            <w:tcW w:w="211"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1"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16,212</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(Revolver)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7,976</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CF512, Inc.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CF512,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 Holdings,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Industries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Challenger Performance Optimization,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Challenger Performance Optimization,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02/09/2026</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8,038</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Compex Legal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Compex Legal Services, Inc.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01/13/2023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Connatix Buyer, Inc.</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Crane 1 Services,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Crane 1 Services,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Products and Packaging Company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6,477</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Products and Packaging Company LLC (Revolver)</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2,627</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Douglas Products and Packaging Company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Sewer Intermediate,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4,362</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Dr. Squatch,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Dr. Squatch, LLC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16,564</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DRS Holdings III,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3,169</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05/01/2028</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5,125</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 (Revolver)</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ECM Industries,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Financial Services, Inc. </w:t>
            </w:r>
            <w:r>
              <w:rPr>
                <w:rFonts w:ascii="Times New Roman;serif" w:hAnsi="Times New Roman;serif"/>
                <w:b w:val="false"/>
                <w:sz w:val="8"/>
              </w:rPr>
              <w:t>(10)</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10/05/2023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5,837</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Financial Services, Inc. (Revolver) </w:t>
            </w:r>
            <w:r>
              <w:rPr>
                <w:rFonts w:ascii="Times New Roman;serif" w:hAnsi="Times New Roman;serif"/>
                <w:b w:val="false"/>
                <w:sz w:val="8"/>
              </w:rPr>
              <w:t>(7), (10)</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10/05/2023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Financial Services, Inc. (Revolver) </w:t>
            </w:r>
            <w:r>
              <w:rPr>
                <w:rFonts w:ascii="Times New Roman;serif" w:hAnsi="Times New Roman;serif"/>
                <w:b w:val="false"/>
                <w:sz w:val="8"/>
              </w:rPr>
              <w:t>(7), (9), (10)</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10/05/2023</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Efficient Collaborative Retail Marketing Company, LLC</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6,936</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 (Revolver)</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w:t>
            </w:r>
          </w:p>
        </w:tc>
        <w:tc>
          <w:tcPr>
            <w:tcW w:w="201" w:type="dxa"/>
            <w:tcBorders/>
            <w:vAlign w:val="center"/>
          </w:tcPr>
          <w:p>
            <w:pPr>
              <w:pStyle w:val="TableContents"/>
              <w:bidi w:val="0"/>
              <w:spacing w:before="0" w:after="0"/>
              <w:ind w:left="0" w:right="0" w:hanging="0"/>
              <w:jc w:val="left"/>
              <w:rPr/>
            </w:pPr>
            <w:r>
              <w:rPr/>
              <w:t> </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Findex Group Limited </w:t>
            </w:r>
            <w:r>
              <w:rPr>
                <w:rFonts w:ascii="Times New Roman;serif" w:hAnsi="Times New Roman;serif"/>
                <w:b w:val="false"/>
                <w:sz w:val="8"/>
              </w:rPr>
              <w:t>(5)(10)(11)</w:t>
            </w:r>
          </w:p>
        </w:tc>
        <w:tc>
          <w:tcPr>
            <w:tcW w:w="14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05/31/2024</w:t>
            </w:r>
          </w:p>
        </w:tc>
        <w:tc>
          <w:tcPr>
            <w:tcW w:w="146" w:type="dxa"/>
            <w:tcBorders/>
            <w:vAlign w:val="center"/>
          </w:tcPr>
          <w:p>
            <w:pPr>
              <w:pStyle w:val="TableContents"/>
              <w:bidi w:val="0"/>
              <w:spacing w:before="0" w:after="0"/>
              <w:ind w:left="0" w:right="0" w:hanging="0"/>
              <w:jc w:val="left"/>
              <w:rPr/>
            </w:pPr>
            <w:r>
              <w:rPr/>
              <w:t> </w:t>
            </w:r>
          </w:p>
        </w:tc>
        <w:tc>
          <w:tcPr>
            <w:tcW w:w="200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8" w:type="dxa"/>
            <w:tcBorders/>
            <w:vAlign w:val="center"/>
          </w:tcPr>
          <w:p>
            <w:pPr>
              <w:pStyle w:val="TableContents"/>
              <w:bidi w:val="0"/>
              <w:spacing w:before="0" w:after="0"/>
              <w:ind w:left="0" w:right="0" w:hanging="0"/>
              <w:jc w:val="left"/>
              <w:rPr/>
            </w:pPr>
            <w:r>
              <w:rPr/>
              <w:t> </w:t>
            </w:r>
          </w:p>
        </w:tc>
        <w:tc>
          <w:tcPr>
            <w:tcW w:w="58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AUD 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6,430</w:t>
            </w:r>
          </w:p>
        </w:tc>
        <w:tc>
          <w:tcPr>
            <w:tcW w:w="20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628"/>
        <w:gridCol w:w="146"/>
        <w:gridCol w:w="635"/>
        <w:gridCol w:w="146"/>
        <w:gridCol w:w="1703"/>
        <w:gridCol w:w="146"/>
        <w:gridCol w:w="209"/>
        <w:gridCol w:w="539"/>
        <w:gridCol w:w="211"/>
        <w:gridCol w:w="146"/>
        <w:gridCol w:w="200"/>
        <w:gridCol w:w="478"/>
        <w:gridCol w:w="146"/>
        <w:gridCol w:w="146"/>
        <w:gridCol w:w="146"/>
        <w:gridCol w:w="436"/>
        <w:gridCol w:w="146"/>
        <w:gridCol w:w="146"/>
        <w:gridCol w:w="166"/>
        <w:gridCol w:w="436"/>
        <w:gridCol w:w="146"/>
        <w:gridCol w:w="146"/>
        <w:gridCol w:w="209"/>
        <w:gridCol w:w="550"/>
        <w:gridCol w:w="199"/>
      </w:tblGrid>
      <w:tr>
        <w:trPr/>
        <w:tc>
          <w:tcPr>
            <w:tcW w:w="2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6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21,322</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Gantech Acquisition Corp.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Gantech Acquisition Corp.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03/16/2026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3,273</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Graffiti Buyer, Inc.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08/10/2023</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Graffiti Buyer,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401</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Graffiti Buyer, Inc.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4,374</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12/31/2022</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Holdco Sands Intermediate,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8,352</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5,506</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IDC Infusion Services,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4,429</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3,879</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12/07/2023</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14,804</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2,625</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Infolinks Media Buyco,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11/01/2023</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Integrative Nutrition,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09/29/2023</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15,323</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Integrative Nutrition,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09/29/2023</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Integrity Marketing Acquisition,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08/27/2025</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15,667</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 (Revolver)</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ITI Holdings,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K2 Pure Solutions NoCal, L.P.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17,079</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Kinetic Purchaser, LLC -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3,366</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02/18/2027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10,300</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Lash OpCo,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Lash OpCo, LLC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9,345</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9"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LAV Gear Holdings,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1,681</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9"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3,691</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Ledge Lounger,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23,566</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3,183</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 DS Corp.</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3,379</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6,022</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Acquisition Holdings Corp. (Revolver)</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MBS Holdings, Inc. (Revolver)</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 - Unfunded Term Loan</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1,305</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 Term Loan I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 Term Loan II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Mission Critical Electronics,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3,389</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Mission Critical Electronics,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Mission Critical Electronics,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Mission Critical Electronics,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03/28/2024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NBH Group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OIS Management Services,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07/09/2026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1,975</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OIS Management Services,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07/09/2026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8,496</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7,195</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Output Services Group,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03/27/2024</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3,704</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3,890</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25,257</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Ox Two,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2,434</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Ox Two,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5,958</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PL Acquisitionco, LLC -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Plant Health Intermediate,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05/08/2026</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3,078</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 Events, Inc.</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08/07/2025</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L+1,050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3,323</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10.50%)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9" w:type="dxa"/>
            <w:gridSpan w:val="2"/>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righ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 - Unfunded Term Loan</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 (Revolver)</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8"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302</w:t>
            </w:r>
          </w:p>
        </w:tc>
        <w:tc>
          <w:tcPr>
            <w:tcW w:w="199" w:type="dxa"/>
            <w:tcBorders/>
            <w:vAlign w:val="center"/>
          </w:tcPr>
          <w:p>
            <w:pPr>
              <w:pStyle w:val="TableContents"/>
              <w:bidi w:val="0"/>
              <w:spacing w:before="0" w:after="0"/>
              <w:ind w:left="0" w:right="0" w:hanging="0"/>
              <w:jc w:val="left"/>
              <w:rPr/>
            </w:pPr>
            <w:r>
              <w:rPr/>
              <w:t> </w:t>
            </w:r>
          </w:p>
        </w:tc>
      </w:tr>
      <w:tr>
        <w:trPr/>
        <w:tc>
          <w:tcPr>
            <w:tcW w:w="262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Pragmatic Institute, LLC (Revolver)</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70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082"/>
        <w:gridCol w:w="146"/>
        <w:gridCol w:w="183"/>
        <w:gridCol w:w="438"/>
        <w:gridCol w:w="146"/>
        <w:gridCol w:w="146"/>
        <w:gridCol w:w="1973"/>
        <w:gridCol w:w="146"/>
        <w:gridCol w:w="193"/>
        <w:gridCol w:w="500"/>
        <w:gridCol w:w="211"/>
        <w:gridCol w:w="199"/>
        <w:gridCol w:w="186"/>
        <w:gridCol w:w="444"/>
        <w:gridCol w:w="146"/>
        <w:gridCol w:w="146"/>
        <w:gridCol w:w="146"/>
        <w:gridCol w:w="586"/>
        <w:gridCol w:w="146"/>
        <w:gridCol w:w="146"/>
        <w:gridCol w:w="166"/>
        <w:gridCol w:w="496"/>
        <w:gridCol w:w="146"/>
        <w:gridCol w:w="146"/>
        <w:gridCol w:w="185"/>
        <w:gridCol w:w="556"/>
        <w:gridCol w:w="201"/>
      </w:tblGrid>
      <w:tr>
        <w:trPr/>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4,612</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Questex,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7,056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Questex,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1,040</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Inc. and Dynata,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15,406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7,781</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15,049</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7,034</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Sales Benchmark Index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3,452</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 (Revolver)</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1,037</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Sargent &amp; Greenleaf Inc. (Revolver)</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 (Revolver)</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1,450</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Schlesinger Global,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10,750</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Systems Holding Company</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10,280</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Systems Holding Company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2,370</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Smile Brands Inc.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Smile Brands Inc. 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5,602</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Solutionreach, Inc.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Spear Education,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14,747</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Spendmend Holdings LLC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(Revolver)</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4,704</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w:t>
              <w:br/>
              <w:t>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18,263</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(Revolver)</w:t>
              <w:br/>
              <w:t>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5,455</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4,872</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6,328</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Bluebird Group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Infosoft Group,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Broadcasting and Subscription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15,115</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2,148</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 (Revolver)</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Canada Parent, Inc. and TPC US Parent, LLC</w:t>
            </w:r>
            <w:r>
              <w:rPr>
                <w:rFonts w:ascii="Times New Roman" w:hAnsi="Times New Roman"/>
                <w:sz w:val="12"/>
              </w:rPr>
              <w:t> </w:t>
            </w:r>
            <w:r>
              <w:rPr>
                <w:rFonts w:ascii="Times New Roman;serif" w:hAnsi="Times New Roman;serif"/>
                <w:b w:val="false"/>
                <w:sz w:val="8"/>
              </w:rPr>
              <w:t>(5), (10)</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4,717</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24,103</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TVC Enterprises,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5,441</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TWS Acquisition Corporation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11,746</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Tyto Athene, LLC (Revolver)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17,657</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 (Revolver)</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L+275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578</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UBEO, LLC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 + 525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9,014</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Term Loan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Unique Indoor Comfort, LLC (Revolver)</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8,474</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9,532</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Wildcat Buyerco, Inc. (Revolver)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13,092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815,742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789,107</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Debt—0%</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1"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Mailsouth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and Publishing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8"/>
              </w:rPr>
            </w:pPr>
            <w:r>
              <w:rPr>
                <w:rFonts w:ascii="Times New Roman;serif" w:hAnsi="Times New Roman;serif"/>
                <w:b w:val="false"/>
                <w:sz w:val="8"/>
              </w:rPr>
              <w:t>(6)</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15.00%)</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1" w:type="dxa"/>
            <w:gridSpan w:val="2"/>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QuantiTech LLC</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Preferred Equity— 1.6%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6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3"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41"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r>
        <w:trPr/>
        <w:tc>
          <w:tcPr>
            <w:tcW w:w="2082"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747</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1,499</w:t>
            </w:r>
          </w:p>
        </w:tc>
        <w:tc>
          <w:tcPr>
            <w:tcW w:w="201" w:type="dxa"/>
            <w:tcBorders/>
            <w:vAlign w:val="center"/>
          </w:tcPr>
          <w:p>
            <w:pPr>
              <w:pStyle w:val="TableContents"/>
              <w:bidi w:val="0"/>
              <w:spacing w:before="0" w:after="0"/>
              <w:ind w:left="0" w:right="0" w:hanging="0"/>
              <w:jc w:val="left"/>
              <w:rPr/>
            </w:pPr>
            <w:r>
              <w:rPr/>
              <w:t> </w:t>
            </w:r>
          </w:p>
        </w:tc>
      </w:tr>
      <w:tr>
        <w:trPr/>
        <w:tc>
          <w:tcPr>
            <w:tcW w:w="208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99"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4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1,236,027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1,170</w:t>
            </w:r>
          </w:p>
        </w:tc>
        <w:tc>
          <w:tcPr>
            <w:tcW w:w="20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0"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181"/>
        <w:gridCol w:w="433"/>
        <w:gridCol w:w="146"/>
        <w:gridCol w:w="146"/>
        <w:gridCol w:w="1888"/>
        <w:gridCol w:w="146"/>
        <w:gridCol w:w="151"/>
        <w:gridCol w:w="390"/>
        <w:gridCol w:w="211"/>
        <w:gridCol w:w="146"/>
        <w:gridCol w:w="170"/>
        <w:gridCol w:w="406"/>
        <w:gridCol w:w="146"/>
        <w:gridCol w:w="146"/>
        <w:gridCol w:w="146"/>
        <w:gridCol w:w="646"/>
        <w:gridCol w:w="146"/>
        <w:gridCol w:w="146"/>
        <w:gridCol w:w="166"/>
        <w:gridCol w:w="436"/>
        <w:gridCol w:w="146"/>
        <w:gridCol w:w="146"/>
        <w:gridCol w:w="192"/>
        <w:gridCol w:w="505"/>
        <w:gridCol w:w="274"/>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Intermediate Holdings II,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976</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NXOF Holdings, Inc. (Tyto Athene,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1,042</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CR Intermediate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1,674</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(5), (7), (10)</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TWD Parent Holdings, LLC (The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UniTek Global Services, Inc.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firstLine="80"/>
              <w:jc w:val="left"/>
              <w:rPr/>
            </w:pPr>
            <w:r>
              <w:rPr/>
              <w:t> </w:t>
            </w:r>
          </w:p>
        </w:tc>
      </w:tr>
      <w:tr>
        <w:trPr/>
        <w:tc>
          <w:tcPr>
            <w:tcW w:w="2404"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Super Senior Preferred Equity</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UniTek Global Services, Inc. - Senior Preferred Equity</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UniTek Global Services,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1,047,317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Equity</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9,945</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Equity/Warrants— 18.1%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Affinion Group Holdings, Inc. (Warrants)</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(8), (9)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Altamira Intermediate Company II,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906</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Athletico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4,758</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Holdings,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By Light Investco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18,085</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By Light Investco LP </w:t>
            </w:r>
            <w:r>
              <w:rPr>
                <w:rFonts w:ascii="Times New Roman;serif" w:hAnsi="Times New Roman;serif"/>
                <w:b w:val="false"/>
                <w:sz w:val="8"/>
              </w:rPr>
              <w:t>(7), (8), (9)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CI (Allied) Investment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1,651</w:t>
            </w:r>
          </w:p>
        </w:tc>
        <w:tc>
          <w:tcPr>
            <w:tcW w:w="274" w:type="dxa"/>
            <w:tcBorders/>
            <w:vAlign w:val="center"/>
          </w:tcPr>
          <w:p>
            <w:pPr>
              <w:pStyle w:val="TableContents"/>
              <w:bidi w:val="0"/>
              <w:spacing w:before="0" w:after="0"/>
              <w:ind w:left="0" w:right="0" w:firstLine="80"/>
              <w:jc w:val="left"/>
              <w:rPr/>
            </w:pPr>
            <w:r>
              <w:rPr/>
              <w:t> </w:t>
            </w:r>
          </w:p>
        </w:tc>
      </w:tr>
      <w:tr>
        <w:trPr/>
        <w:tc>
          <w:tcPr>
            <w:tcW w:w="2404"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(PRA Events, Inc.)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Parent,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Crane 1 Acquisition Parent Holdings,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(Sigma Defense Systems,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615,484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1,255</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(Sigma Defense Systems, LLC) </w:t>
            </w:r>
            <w:r>
              <w:rPr>
                <w:rFonts w:ascii="Times New Roman;serif" w:hAnsi="Times New Roman;serif"/>
                <w:b w:val="false"/>
                <w:sz w:val="8"/>
              </w:rPr>
              <w:t>(7), (8),(9)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ECM Investors, LLC</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633</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Holding Corporation </w:t>
            </w:r>
            <w:r>
              <w:rPr>
                <w:rFonts w:ascii="Times New Roman;serif" w:hAnsi="Times New Roman;serif"/>
                <w:b w:val="false"/>
                <w:sz w:val="8"/>
              </w:rPr>
              <w:t>(7), (10)</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348</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478</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Topco,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2,142</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(7),(8),(9)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InfosoftCoInvest,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Broadcasting and Subscription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2,471</w:t>
            </w:r>
          </w:p>
        </w:tc>
        <w:tc>
          <w:tcPr>
            <w:tcW w:w="274" w:type="dxa"/>
            <w:tcBorders/>
            <w:vAlign w:val="center"/>
          </w:tcPr>
          <w:p>
            <w:pPr>
              <w:pStyle w:val="TableContents"/>
              <w:bidi w:val="0"/>
              <w:spacing w:before="0" w:after="0"/>
              <w:ind w:left="0" w:right="0" w:firstLine="80"/>
              <w:jc w:val="left"/>
              <w:rPr/>
            </w:pPr>
            <w:r>
              <w:rPr/>
              <w:t> </w:t>
            </w:r>
          </w:p>
        </w:tc>
      </w:tr>
      <w:tr>
        <w:trPr/>
        <w:tc>
          <w:tcPr>
            <w:tcW w:w="2404"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(The Infosoft Group,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Gauge Lash Coinvest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1,485,953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7,030</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Gauge Schlesinger Coinvest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Gauge TVC Coinvest, LLC (TVC Enterprises,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1,558</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GCOM InvestCo LP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4,626</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Go Dawgs Capital III,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324,675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377</w:t>
            </w:r>
          </w:p>
        </w:tc>
        <w:tc>
          <w:tcPr>
            <w:tcW w:w="274" w:type="dxa"/>
            <w:tcBorders/>
            <w:vAlign w:val="center"/>
          </w:tcPr>
          <w:p>
            <w:pPr>
              <w:pStyle w:val="TableContents"/>
              <w:bidi w:val="0"/>
              <w:spacing w:before="0" w:after="0"/>
              <w:ind w:left="0" w:right="0" w:firstLine="80"/>
              <w:jc w:val="left"/>
              <w:rPr/>
            </w:pPr>
            <w:r>
              <w:rPr/>
              <w:t> </w:t>
            </w:r>
          </w:p>
        </w:tc>
      </w:tr>
      <w:tr>
        <w:trPr/>
        <w:tc>
          <w:tcPr>
            <w:tcW w:w="2404"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(American Insulated Glass, LLC)</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Claims Consultants Investors,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V C,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1,851,852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1,989</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Icon Partners V C, L.P.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648,148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IIN Group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274" w:type="dxa"/>
            <w:tcBorders/>
            <w:vAlign w:val="center"/>
          </w:tcPr>
          <w:p>
            <w:pPr>
              <w:pStyle w:val="TableContents"/>
              <w:bidi w:val="0"/>
              <w:spacing w:before="0" w:after="0"/>
              <w:ind w:left="0" w:right="0" w:firstLine="80"/>
              <w:jc w:val="left"/>
              <w:rPr/>
            </w:pPr>
            <w:r>
              <w:rPr/>
              <w:t> </w:t>
            </w:r>
          </w:p>
        </w:tc>
      </w:tr>
      <w:tr>
        <w:trPr/>
        <w:tc>
          <w:tcPr>
            <w:tcW w:w="2404"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(Integrative Nutrition,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 (Common)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1,236,027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Ironclad Holdco, LLC (Applied Technical Services,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754</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ITC Infusion Co-invest,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ITC Rumba, LLC (Cano Health,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5,232</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JWC-WE Holdings,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firstLine="80"/>
              <w:jc w:val="left"/>
              <w:rPr/>
            </w:pPr>
            <w:r>
              <w:rPr/>
              <w:t> </w:t>
            </w:r>
          </w:p>
        </w:tc>
      </w:tr>
      <w:tr>
        <w:trPr/>
        <w:tc>
          <w:tcPr>
            <w:tcW w:w="2404"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(Walker Edison Furniture Company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7"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1,734,775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2,458</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KL Stockton Co-Invest LP (Any Hour Services)</w:t>
            </w:r>
            <w:r>
              <w:rPr>
                <w:rFonts w:ascii="Times New Roman" w:hAnsi="Times New Roman"/>
                <w:sz w:val="12"/>
              </w:rPr>
              <w:t>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643</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Kentucky Racing Holdco, LLC (Warrants)</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961</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Lightspeed Investment Holdco LLC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Mars Intermediate Holdings II,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Aggregator,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Commodity Chemicals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668,747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669</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Title,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901</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MSpark,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and Publishing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1,973,370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1,505</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NEPRT Parent Holdings, LLC (Recteq,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279</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North Haven Saints Equity Holdings,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223,602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NXOF Holdings, Inc. (Tyto Athene, LLC)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310</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OceanSound Discovery Equity, LP (Holdco Sands Intermediate, LLC)</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2,917</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OHCP V BC COI,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636</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OHCP V BC COI, L.P. </w:t>
            </w:r>
            <w:r>
              <w:rPr>
                <w:rFonts w:ascii="Times New Roman;serif" w:hAnsi="Times New Roman;serif"/>
                <w:b w:val="false"/>
                <w:sz w:val="8"/>
              </w:rPr>
              <w:t>(8) (9)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Oral Surgery (ITC) Holdings,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261</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PennantPark-TSO Senior Loan Fund,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11,167,847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9,892</w:t>
            </w:r>
          </w:p>
        </w:tc>
        <w:tc>
          <w:tcPr>
            <w:tcW w:w="274" w:type="dxa"/>
            <w:tcBorders/>
            <w:vAlign w:val="center"/>
          </w:tcPr>
          <w:p>
            <w:pPr>
              <w:pStyle w:val="TableContents"/>
              <w:bidi w:val="0"/>
              <w:spacing w:before="0" w:after="0"/>
              <w:ind w:left="0" w:right="0" w:hanging="0"/>
              <w:jc w:val="left"/>
              <w:rPr/>
            </w:pPr>
            <w:r>
              <w:rPr/>
              <w:t> </w:t>
            </w:r>
          </w:p>
        </w:tc>
      </w:tr>
      <w:tr>
        <w:trPr/>
        <w:tc>
          <w:tcPr>
            <w:tcW w:w="24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Pink Lily Holdco, LLC (PL Acquisitions,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w:t>
            </w:r>
          </w:p>
        </w:tc>
        <w:tc>
          <w:tcPr>
            <w:tcW w:w="274"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CONSOLIDATED SCHEDULE OF INVESTMENTS—(Continued)</w:t>
      </w:r>
    </w:p>
    <w:p>
      <w:pPr>
        <w:pStyle w:val="TextBody"/>
        <w:bidi w:val="0"/>
        <w:spacing w:before="0" w:after="0"/>
        <w:ind w:left="0" w:right="0" w:hanging="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ind w:left="0" w:right="82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143"/>
        <w:gridCol w:w="146"/>
        <w:gridCol w:w="181"/>
        <w:gridCol w:w="433"/>
        <w:gridCol w:w="146"/>
        <w:gridCol w:w="146"/>
        <w:gridCol w:w="1888"/>
        <w:gridCol w:w="146"/>
        <w:gridCol w:w="177"/>
        <w:gridCol w:w="459"/>
        <w:gridCol w:w="211"/>
        <w:gridCol w:w="146"/>
        <w:gridCol w:w="170"/>
        <w:gridCol w:w="406"/>
        <w:gridCol w:w="146"/>
        <w:gridCol w:w="146"/>
        <w:gridCol w:w="146"/>
        <w:gridCol w:w="586"/>
        <w:gridCol w:w="146"/>
        <w:gridCol w:w="146"/>
        <w:gridCol w:w="166"/>
        <w:gridCol w:w="586"/>
        <w:gridCol w:w="146"/>
        <w:gridCol w:w="146"/>
        <w:gridCol w:w="170"/>
        <w:gridCol w:w="602"/>
        <w:gridCol w:w="275"/>
      </w:tblGrid>
      <w:tr>
        <w:trPr/>
        <w:tc>
          <w:tcPr>
            <w:tcW w:w="2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611</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QuantiTech InvestCo LP</w:t>
            </w:r>
            <w:r>
              <w:rPr>
                <w:rFonts w:ascii="Times New Roman" w:hAnsi="Times New Roman"/>
                <w:sz w:val="12"/>
              </w:rPr>
              <w:t> </w:t>
            </w:r>
            <w:r>
              <w:rPr>
                <w:rFonts w:ascii="Times New Roman;serif" w:hAnsi="Times New Roman;serif"/>
                <w:b w:val="false"/>
                <w:sz w:val="8"/>
              </w:rPr>
              <w:t>(7), (8), (9)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QuantiTech InvestCo II LP</w:t>
            </w:r>
            <w:r>
              <w:rPr>
                <w:rFonts w:ascii="Times New Roman" w:hAnsi="Times New Roman"/>
                <w:sz w:val="12"/>
              </w:rPr>
              <w:t>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RFMG Parent, LP (Rancho Health MSO,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1,091</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SBI Holdings Investments LLC (Sales Benchmark Index LLC)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634</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Topco, LP</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CR Intermediate Holdco,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 L2 Holdings, LLC (Ledge Lounger, Inc.)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275" w:type="dxa"/>
            <w:tcBorders/>
            <w:vAlign w:val="center"/>
          </w:tcPr>
          <w:p>
            <w:pPr>
              <w:pStyle w:val="TableContents"/>
              <w:bidi w:val="0"/>
              <w:spacing w:before="0" w:after="0"/>
              <w:ind w:left="0" w:right="0" w:firstLine="80"/>
              <w:jc w:val="left"/>
              <w:rPr/>
            </w:pPr>
            <w:r>
              <w:rPr/>
              <w:t> </w:t>
            </w:r>
          </w:p>
        </w:tc>
      </w:tr>
      <w:tr>
        <w:trPr/>
        <w:tc>
          <w:tcPr>
            <w:tcW w:w="2143"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Class A (US Dominion,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w:t>
            </w:r>
          </w:p>
        </w:tc>
        <w:tc>
          <w:tcPr>
            <w:tcW w:w="275" w:type="dxa"/>
            <w:tcBorders/>
            <w:vAlign w:val="center"/>
          </w:tcPr>
          <w:p>
            <w:pPr>
              <w:pStyle w:val="TableContents"/>
              <w:bidi w:val="0"/>
              <w:spacing w:before="0" w:after="0"/>
              <w:ind w:left="0" w:right="0" w:firstLine="80"/>
              <w:jc w:val="left"/>
              <w:rPr/>
            </w:pPr>
            <w:r>
              <w:rPr/>
              <w:t> </w:t>
            </w:r>
          </w:p>
        </w:tc>
      </w:tr>
      <w:tr>
        <w:trPr/>
        <w:tc>
          <w:tcPr>
            <w:tcW w:w="2143"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Class B (US Dominion,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StellPen Holdings, LLC (CF512,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161,538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TAC LifePort Holdings,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Tower Arch Infolinks Media, LP (Infolinks Media Buyco,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366</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Tower Arch Infolinks Media, LP (Infolinks Media Buyco, LLC)</w:t>
            </w:r>
            <w:r>
              <w:rPr>
                <w:rFonts w:ascii="Times New Roman;serif" w:hAnsi="Times New Roman;serif"/>
                <w:b w:val="false"/>
                <w:sz w:val="8"/>
              </w:rPr>
              <w:t>(8) (9)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(5), (7), (10)</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 Products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TWD Parent Holdings, LLC (The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UniTek Global Services,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UniTek Global Services, Inc. (Warrants)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UniVista Insurance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WCP IvyRehab QP CF Feeder, LP</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3,762,257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3,762</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WCP IvyRehab QP CF Feeder,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Wildcat Parent, LP (Wildcat Buyerco, Inc.) </w:t>
            </w:r>
            <w:r>
              <w:rPr>
                <w:rFonts w:ascii="Times New Roman;serif" w:hAnsi="Times New Roman;serif"/>
                <w:b w:val="false"/>
                <w:sz w:val="8"/>
              </w:rPr>
              <w:t>(7), (8)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596</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Equity/Warrants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55,418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94,050</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3"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Non-Affiliated Portfolio Companies</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882,570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893,249</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3" w:type="dxa"/>
            <w:gridSpan w:val="7"/>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Controlled, Affiliated Portfolio Companies—51.4% </w:t>
            </w:r>
            <w:r>
              <w:rPr>
                <w:rFonts w:ascii="Times New Roman;serif" w:hAnsi="Times New Roman;serif"/>
                <w:b/>
                <w:sz w:val="8"/>
              </w:rPr>
              <w:t>(3), (4)</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Debt—41.8%</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Marketplace Events, LLC - Super Priority First Lien Term Loan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09/30/2025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3,582</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5.25%)</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Marketplace Events, LLC - Super Priority First Lien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09/30/2025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09/30/2026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26,771</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Secured Loan Fund I LLC </w:t>
            </w:r>
            <w:r>
              <w:rPr>
                <w:rFonts w:ascii="Times New Roman;serif" w:hAnsi="Times New Roman;serif"/>
                <w:b w:val="false"/>
                <w:sz w:val="8"/>
              </w:rPr>
              <w:t>(7),</w:t>
            </w:r>
            <w:r>
              <w:rPr>
                <w:rFonts w:ascii="Times New Roman" w:hAnsi="Times New Roman"/>
                <w:sz w:val="12"/>
              </w:rPr>
              <w:t xml:space="preserve"> </w:t>
            </w:r>
            <w:r>
              <w:rPr>
                <w:rFonts w:ascii="Times New Roman;serif" w:hAnsi="Times New Roman;serif"/>
                <w:b w:val="false"/>
                <w:sz w:val="8"/>
              </w:rPr>
              <w:t>(9), (10)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190,181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190,182</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213,281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220,535</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Interests—9.6%</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New MPE Holdings, LLC (Marketplace Events, LLC) </w:t>
            </w:r>
            <w:r>
              <w:rPr>
                <w:rFonts w:ascii="Times New Roman;serif" w:hAnsi="Times New Roman;serif"/>
                <w:b w:val="false"/>
                <w:sz w:val="8"/>
              </w:rPr>
              <w:t>(7),(8)</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1,036</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Secured Loan Fund I LLC </w:t>
            </w:r>
            <w:r>
              <w:rPr>
                <w:rFonts w:ascii="Times New Roman;serif" w:hAnsi="Times New Roman;serif"/>
                <w:b w:val="false"/>
                <w:sz w:val="8"/>
              </w:rPr>
              <w:t>(7), (9), (10)</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49,434</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Interests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50,470</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3"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Controlled, Affiliated Portfolio Companies</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294,787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271,005</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83"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Investments—220.9%</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1,177,357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1,164,254</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Equivalents—9.1%</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2"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38,209</w:t>
            </w:r>
          </w:p>
        </w:tc>
        <w:tc>
          <w:tcPr>
            <w:tcW w:w="275" w:type="dxa"/>
            <w:tcBorders/>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BNY Mellon Cash</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9,671</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47,916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47,880</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Equivalents—230.0%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1,225,273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1,212,134</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Assets—(130.0)%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(685,042</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4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Net Assets—100.0%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527,092</w:t>
            </w:r>
          </w:p>
        </w:tc>
        <w:tc>
          <w:tcPr>
            <w:tcW w:w="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8200" w:hanging="0"/>
        <w:jc w:val="left"/>
        <w:rPr/>
      </w:pPr>
      <w:r>
        <w:rPr/>
        <w:t> </w:t>
      </w:r>
    </w:p>
    <w:p>
      <w:pPr>
        <w:pStyle w:val="TextBody"/>
        <w:bidi w:val="0"/>
        <w:spacing w:before="0" w:after="0"/>
        <w:ind w:left="0" w:right="8200" w:hanging="0"/>
        <w:jc w:val="left"/>
        <w:rPr/>
      </w:pPr>
      <w:r>
        <w:rPr/>
        <w:t> </w:t>
      </w:r>
    </w:p>
    <w:p>
      <w:pPr>
        <w:pStyle w:val="TextBody"/>
        <w:bidi w:val="0"/>
        <w:spacing w:before="0" w:after="0"/>
        <w:ind w:left="0" w:right="8200" w:hanging="0"/>
        <w:jc w:val="left"/>
        <w:rPr/>
      </w:pPr>
      <w:r>
        <w:rPr/>
        <w:t> </w:t>
      </w:r>
    </w:p>
    <w:p>
      <w:pPr>
        <w:pStyle w:val="TextBody"/>
        <w:pBdr>
          <w:bottom w:val="single" w:sz="4" w:space="1" w:color="000000"/>
        </w:pBdr>
        <w:bidi w:val="0"/>
        <w:spacing w:before="0" w:after="0"/>
        <w:ind w:left="0" w:right="8200" w:hanging="0"/>
        <w:jc w:val="left"/>
        <w:rPr/>
      </w:pPr>
      <w:r>
        <w:rPr/>
        <w:t> </w:t>
      </w:r>
    </w:p>
    <w:p>
      <w:pPr>
        <w:pStyle w:val="TextBody"/>
        <w:bidi w:val="0"/>
        <w:spacing w:before="0" w:after="0"/>
        <w:ind w:left="0" w:right="0" w:hanging="0"/>
        <w:jc w:val="left"/>
        <w:rPr>
          <w:rFonts w:ascii="Times New Roman" w:hAnsi="Times New Roman"/>
          <w:b w:val="false"/>
          <w:sz w:val="13"/>
        </w:rPr>
      </w:pPr>
      <w:r>
        <w:rPr>
          <w:rFonts w:ascii="Times New Roman" w:hAnsi="Times New Roman"/>
          <w:b w:val="false"/>
          <w:sz w:val="13"/>
        </w:rPr>
        <w:t>(1)</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(2)</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Valued based on our accounting policy (See Note 2). The value of all securities was determined using significant unobservable inputs (See Note 5).</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(3)</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(4)</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(5)</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Non-U.S. company or principal place of business outside the United States.</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(6)</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Non-income producing securities.</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(7)</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The securities, or a portion thereof, are not 1) pledged as collateral under the Credit Facility and held through Funding I; or, 2) securing the 2031 Asset-Backed Debt (See Note 10) and held through PennantPark CLO I, Ltd.</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(8)</w:t>
      </w:r>
    </w:p>
    <w:p>
      <w:pPr>
        <w:pStyle w:val="TextBody"/>
        <w:bidi w:val="0"/>
        <w:spacing w:before="20" w:after="0"/>
        <w:jc w:val="left"/>
        <w:rPr>
          <w:rFonts w:ascii="Times New Roman;serif" w:hAnsi="Times New Roman;serif"/>
          <w:b w:val="false"/>
          <w:sz w:val="13"/>
        </w:rPr>
      </w:pPr>
      <w:r>
        <w:rPr>
          <w:rFonts w:ascii="Times New Roman;serif" w:hAnsi="Times New Roman;serif"/>
          <w:b w:val="false"/>
          <w:sz w:val="13"/>
        </w:rPr>
        <w:t xml:space="preserve">Investment is held through our Taxable Subsidiary (See Note 1). </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(9)</w:t>
      </w:r>
    </w:p>
    <w:p>
      <w:pPr>
        <w:pStyle w:val="TextBody"/>
        <w:bidi w:val="0"/>
        <w:spacing w:before="20" w:after="0"/>
        <w:jc w:val="left"/>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r>
        <w:rPr/>
        <w:t xml:space="preserve"> </w:t>
      </w:r>
    </w:p>
    <w:p>
      <w:pPr>
        <w:pStyle w:val="TextBody"/>
        <w:bidi w:val="0"/>
        <w:spacing w:before="20" w:after="0"/>
        <w:ind w:left="0" w:right="0" w:hanging="0"/>
        <w:jc w:val="left"/>
        <w:rPr>
          <w:rFonts w:ascii="Times New Roman" w:hAnsi="Times New Roman"/>
          <w:b w:val="false"/>
          <w:sz w:val="13"/>
        </w:rPr>
      </w:pPr>
      <w:r>
        <w:rPr>
          <w:rFonts w:ascii="Times New Roman" w:hAnsi="Times New Roman"/>
          <w:b w:val="false"/>
          <w:sz w:val="13"/>
        </w:rPr>
        <w:t>(10)</w:t>
      </w:r>
    </w:p>
    <w:p>
      <w:pPr>
        <w:pStyle w:val="TextBody"/>
        <w:bidi w:val="0"/>
        <w:spacing w:before="20" w:after="283"/>
        <w:jc w:val="left"/>
        <w:rPr>
          <w:rFonts w:ascii="Times New Roman;serif" w:hAnsi="Times New Roman;serif"/>
          <w:b w:val="false"/>
          <w:sz w:val="13"/>
        </w:rPr>
      </w:pPr>
      <w:r>
        <w:rPr>
          <w:rFonts w:ascii="Times New Roman;serif" w:hAnsi="Times New Roman;serif"/>
          <w:b w:val="false"/>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our total assets and non-qualifying assets represent 19% of our total assets.</w:t>
      </w:r>
    </w:p>
    <w:p>
      <w:pPr>
        <w:pStyle w:val="TextBody"/>
        <w:bidi w:val="0"/>
        <w:spacing w:before="2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bookmarkStart w:id="13" w:name="notes_to_consolidated_financial_stmt_"/>
      <w:bookmarkEnd w:id="13"/>
      <w:r>
        <w:rPr>
          <w:rFonts w:ascii="Times New Roman;serif" w:hAnsi="Times New Roman;serif"/>
          <w:b/>
          <w:sz w:val="16"/>
        </w:rPr>
        <w:t>NOTES TO CONSOLIDATED FINANCIAL STATEMENTS</w:t>
      </w:r>
    </w:p>
    <w:p>
      <w:pPr>
        <w:pStyle w:val="TextBody"/>
        <w:bidi w:val="0"/>
        <w:spacing w:before="0" w:after="0"/>
        <w:ind w:left="0" w:right="0" w:hanging="0"/>
        <w:jc w:val="center"/>
        <w:rPr>
          <w:rFonts w:ascii="Times New Roman;serif" w:hAnsi="Times New Roman;serif"/>
          <w:b/>
          <w:caps/>
          <w:sz w:val="16"/>
        </w:rPr>
      </w:pPr>
      <w:r>
        <w:rPr>
          <w:rFonts w:ascii="Times New Roman;serif" w:hAnsi="Times New Roman;serif"/>
          <w:b/>
          <w:caps/>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1. ORGANIZATION</w:t>
      </w:r>
    </w:p>
    <w:p>
      <w:pPr>
        <w:pStyle w:val="TextBody"/>
        <w:bidi w:val="0"/>
        <w:spacing w:before="0" w:after="0"/>
        <w:ind w:left="0" w:right="0" w:firstLine="49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PennantPark Floating Rate Capital Ltd. was organized as a Maryland corporation in October 2010. We are a closed-end, externally managed, non-diversified investment company that has elected to be treated as a BDC under the 1940 Act.</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w:t>
      </w:r>
      <w:r>
        <w:rPr>
          <w:rFonts w:ascii="Times New Roman" w:hAnsi="Times New Roman"/>
          <w:sz w:val="20"/>
        </w:rPr>
        <w:t xml:space="preserve"> </w:t>
      </w:r>
      <w:r>
        <w:rPr>
          <w:rFonts w:ascii="Times New Roman;serif" w:hAnsi="Times New Roman;serif"/>
          <w:b w:val="false"/>
          <w:sz w:val="16"/>
        </w:rPr>
        <w:t>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pStyle w:val="TextBody"/>
        <w:bidi w:val="0"/>
        <w:spacing w:before="0" w:after="0"/>
        <w:ind w:left="0" w:right="0" w:firstLine="49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$366</w:t>
      </w:r>
      <w:r>
        <w:rPr>
          <w:rFonts w:ascii="Times New Roman" w:hAnsi="Times New Roman"/>
          <w:sz w:val="20"/>
        </w:rPr>
        <w:t xml:space="preserve"> </w:t>
      </w:r>
      <w:r>
        <w:rPr>
          <w:rFonts w:ascii="Times New Roman;serif" w:hAnsi="Times New Roman;serif"/>
          <w:b w:val="false"/>
          <w:sz w:val="16"/>
        </w:rPr>
        <w:t>million (increased from $300</w:t>
      </w:r>
      <w:r>
        <w:rPr>
          <w:rFonts w:ascii="Times New Roman" w:hAnsi="Times New Roman"/>
          <w:sz w:val="20"/>
        </w:rPr>
        <w:t xml:space="preserve"> </w:t>
      </w:r>
      <w:r>
        <w:rPr>
          <w:rFonts w:ascii="Times New Roman;serif" w:hAnsi="Times New Roman;serif"/>
          <w:b w:val="false"/>
          <w:sz w:val="16"/>
        </w:rPr>
        <w:t>million in September 2022) at SOFR (or an alternative risk-free floating interest rate index) plus 225</w:t>
      </w:r>
      <w:r>
        <w:rPr>
          <w:rFonts w:ascii="Times New Roman" w:hAnsi="Times New Roman"/>
          <w:sz w:val="20"/>
        </w:rPr>
        <w:t xml:space="preserve"> </w:t>
      </w:r>
      <w:r>
        <w:rPr>
          <w:rFonts w:ascii="Times New Roman;serif" w:hAnsi="Times New Roman;serif"/>
          <w:b w:val="false"/>
          <w:sz w:val="16"/>
        </w:rPr>
        <w:t>basis points during the revolving period. The Credit Facility is secured by all of the assets held by Funding I. See Note 10.</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November 2017, we issued $138.6</w:t>
      </w:r>
      <w:r>
        <w:rPr>
          <w:rFonts w:ascii="Times New Roman" w:hAnsi="Times New Roman"/>
          <w:sz w:val="20"/>
        </w:rPr>
        <w:t xml:space="preserve"> </w:t>
      </w:r>
      <w:r>
        <w:rPr>
          <w:rFonts w:ascii="Times New Roman;serif" w:hAnsi="Times New Roman;serif"/>
          <w:b w:val="false"/>
          <w:sz w:val="16"/>
        </w:rPr>
        <w:t>million of our 2023 Notes. The principal on the 2023 Notes will be payable in four annual installments</w:t>
      </w:r>
      <w:r>
        <w:rPr>
          <w:rFonts w:ascii="Times New Roman" w:hAnsi="Times New Roman"/>
          <w:sz w:val="20"/>
        </w:rPr>
        <w:t xml:space="preserve"> </w:t>
      </w:r>
      <w:r>
        <w:rPr>
          <w:rFonts w:ascii="Times New Roman;serif" w:hAnsi="Times New Roman;serif"/>
          <w:b w:val="false"/>
          <w:sz w:val="16"/>
        </w:rPr>
        <w:t>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br/>
        <w:br/>
      </w:r>
      <w:r>
        <w:rPr>
          <w:rFonts w:ascii="Times New Roman" w:hAnsi="Times New Roman"/>
          <w:sz w:val="20"/>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br/>
        <w:br/>
      </w:r>
      <w:r>
        <w:rPr>
          <w:rFonts w:ascii="Times New Roman" w:hAnsi="Times New Roman"/>
          <w:sz w:val="20"/>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val="false"/>
          <w:sz w:val="16"/>
        </w:rPr>
        <w:t>In April 2021, we formed PennantPark-TSO Senior Loan Fund LP ("PTSF"), an unconsolidated limited partnership, organized as a Delaware limited liability partnership. We sold $81.4</w:t>
      </w:r>
      <w:r>
        <w:rPr>
          <w:rFonts w:ascii="Times New Roman" w:hAnsi="Times New Roman"/>
          <w:sz w:val="20"/>
        </w:rPr>
        <w:t xml:space="preserve"> </w:t>
      </w:r>
      <w:r>
        <w:rPr>
          <w:rFonts w:ascii="Times New Roman;serif" w:hAnsi="Times New Roman;serif"/>
          <w:b w:val="false"/>
          <w:sz w:val="16"/>
        </w:rPr>
        <w:t>million in investments to a wholly-owned subsidiary of PTSF in exchange for cash in the amount of $69.5</w:t>
      </w:r>
      <w:r>
        <w:rPr>
          <w:rFonts w:ascii="Times New Roman" w:hAnsi="Times New Roman"/>
          <w:sz w:val="20"/>
        </w:rPr>
        <w:t xml:space="preserve"> </w:t>
      </w:r>
      <w:r>
        <w:rPr>
          <w:rFonts w:ascii="Times New Roman;serif" w:hAnsi="Times New Roman;serif"/>
          <w:b w:val="false"/>
          <w:sz w:val="16"/>
        </w:rPr>
        <w:t>million and an $11.9</w:t>
      </w:r>
      <w:r>
        <w:rPr>
          <w:rFonts w:ascii="Times New Roman" w:hAnsi="Times New Roman"/>
          <w:sz w:val="20"/>
        </w:rPr>
        <w:t xml:space="preserve"> </w:t>
      </w:r>
      <w:r>
        <w:rPr>
          <w:rFonts w:ascii="Times New Roman;serif" w:hAnsi="Times New Roman;serif"/>
          <w:b w:val="false"/>
          <w:sz w:val="16"/>
        </w:rPr>
        <w:t>million equity interest in PTSF representing 23.08% of the total outstanding Class A Units of PTSF. We recognized $0.4</w:t>
      </w:r>
      <w:r>
        <w:rPr>
          <w:rFonts w:ascii="Times New Roman" w:hAnsi="Times New Roman"/>
          <w:sz w:val="20"/>
        </w:rPr>
        <w:t xml:space="preserve"> </w:t>
      </w:r>
      <w:r>
        <w:rPr>
          <w:rFonts w:ascii="Times New Roman;serif" w:hAnsi="Times New Roman;serif"/>
          <w:b w:val="false"/>
          <w:sz w:val="16"/>
        </w:rPr>
        <w:t>million of realized gain upon the formation of PTSF. As of June 30, 2023, our capital commitment of $15.3</w:t>
      </w:r>
      <w:r>
        <w:rPr>
          <w:rFonts w:ascii="Times New Roman" w:hAnsi="Times New Roman"/>
          <w:sz w:val="20"/>
        </w:rPr>
        <w:t xml:space="preserve"> </w:t>
      </w:r>
      <w:r>
        <w:rPr>
          <w:rFonts w:ascii="Times New Roman;serif" w:hAnsi="Times New Roman;serif"/>
          <w:b w:val="false"/>
          <w:sz w:val="16"/>
        </w:rPr>
        <w:t>million is fully funded and we hold 23.08% of the total outstanding Class A Units of PTSF and a 4.99% voting interest in the general partner which manages PTSF.</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pStyle w:val="TextBody"/>
        <w:bidi w:val="0"/>
        <w:spacing w:before="160" w:after="0"/>
        <w:ind w:left="0" w:right="0" w:hanging="0"/>
        <w:jc w:val="left"/>
        <w:rPr>
          <w:rFonts w:ascii="Times New Roman;serif" w:hAnsi="Times New Roman;serif"/>
          <w:b/>
          <w:sz w:val="16"/>
        </w:rPr>
      </w:pPr>
      <w:r>
        <w:rPr>
          <w:rFonts w:ascii="Times New Roman;serif" w:hAnsi="Times New Roman;serif"/>
          <w:b/>
          <w:sz w:val="16"/>
        </w:rPr>
        <w:t>2. SIGNIFICANT ACCOUNTING POLICIES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significant accounting policies consistently applied are as follows:</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245" w:right="0" w:hanging="0"/>
        <w:jc w:val="left"/>
        <w:rPr>
          <w:rFonts w:ascii="Times New Roman;serif" w:hAnsi="Times New Roman;serif"/>
          <w:b/>
          <w:i/>
          <w:sz w:val="16"/>
        </w:rPr>
      </w:pPr>
      <w:r>
        <w:rPr>
          <w:rFonts w:ascii="Times New Roman;serif" w:hAnsi="Times New Roman;serif"/>
          <w:b/>
          <w:i/>
          <w:sz w:val="16"/>
        </w:rPr>
        <w:t>(a) Investment Valuations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Our quarterly valuation process begins with each portfolio company or investment being initially valued by the investment professionals of our Investment Adviser responsible for the portfolio investment;</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 xml:space="preserve">Preliminary valuation conclusions are then documented and discussed with the management of the Investment Adviser; </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(3)</w:t>
      </w:r>
    </w:p>
    <w:p>
      <w:pPr>
        <w:pStyle w:val="TextBody"/>
        <w:bidi w:val="0"/>
        <w:jc w:val="both"/>
        <w:rPr>
          <w:rFonts w:ascii="Times New Roman;serif" w:hAnsi="Times New Roman;serif"/>
          <w:b w:val="false"/>
          <w:sz w:val="16"/>
        </w:rPr>
      </w:pPr>
      <w:r>
        <w:rPr>
          <w:rFonts w:ascii="Times New Roman;serif" w:hAnsi="Times New Roman;serif"/>
          <w:b w:val="false"/>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(4)</w:t>
      </w:r>
    </w:p>
    <w:p>
      <w:pPr>
        <w:pStyle w:val="TextBody"/>
        <w:bidi w:val="0"/>
        <w:jc w:val="both"/>
        <w:rPr>
          <w:rFonts w:ascii="Times New Roman;serif" w:hAnsi="Times New Roman;serif"/>
          <w:b w:val="false"/>
          <w:sz w:val="16"/>
        </w:rPr>
      </w:pPr>
      <w:r>
        <w:rPr>
          <w:rFonts w:ascii="Times New Roman;serif" w:hAnsi="Times New Roman;serif"/>
          <w:b w:val="false"/>
          <w:sz w:val="16"/>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(5)</w:t>
      </w:r>
    </w:p>
    <w:p>
      <w:pPr>
        <w:pStyle w:val="TextBody"/>
        <w:bidi w:val="0"/>
        <w:jc w:val="both"/>
        <w:rPr>
          <w:rFonts w:ascii="Times New Roman;serif" w:hAnsi="Times New Roman;serif"/>
          <w:b w:val="false"/>
          <w:sz w:val="16"/>
        </w:rPr>
      </w:pPr>
      <w:r>
        <w:rPr>
          <w:rFonts w:ascii="Times New Roman;serif" w:hAnsi="Times New Roman;serif"/>
          <w:b w:val="false"/>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245" w:right="0" w:hanging="0"/>
        <w:jc w:val="left"/>
        <w:rPr>
          <w:rFonts w:ascii="Times New Roman;serif" w:hAnsi="Times New Roman;serif"/>
          <w:b/>
          <w:i/>
          <w:sz w:val="16"/>
        </w:rPr>
      </w:pPr>
      <w:r>
        <w:rPr>
          <w:rFonts w:ascii="Times New Roman;serif" w:hAnsi="Times New Roman;serif"/>
          <w:b/>
          <w:i/>
          <w:sz w:val="16"/>
        </w:rPr>
        <w:t>(b) Security Transactions, Revenue Recognition, and Realized/Unrealized Gains or Losses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2023, we had</w:t>
      </w:r>
      <w:r>
        <w:rPr>
          <w:rFonts w:ascii="Times New Roman" w:hAnsi="Times New Roman"/>
          <w:sz w:val="20"/>
        </w:rPr>
        <w:t xml:space="preserve"> </w:t>
      </w:r>
      <w:r>
        <w:rPr>
          <w:rFonts w:ascii="Times New Roman;serif" w:hAnsi="Times New Roman;serif"/>
          <w:b w:val="false"/>
          <w:sz w:val="16"/>
        </w:rPr>
        <w:t>three</w:t>
      </w:r>
      <w:r>
        <w:rPr>
          <w:rFonts w:ascii="Times New Roman" w:hAnsi="Times New Roman"/>
          <w:sz w:val="20"/>
        </w:rPr>
        <w:t xml:space="preserve"> </w:t>
      </w:r>
      <w:r>
        <w:rPr>
          <w:rFonts w:ascii="Times New Roman;serif" w:hAnsi="Times New Roman;serif"/>
          <w:b w:val="false"/>
          <w:sz w:val="16"/>
        </w:rPr>
        <w:t>portfolio companies on non-accrual, representing 1% and zero</w:t>
      </w:r>
      <w:r>
        <w:rPr>
          <w:rFonts w:ascii="Times New Roman" w:hAnsi="Times New Roman"/>
          <w:sz w:val="20"/>
        </w:rPr>
        <w:t xml:space="preserve"> </w:t>
      </w:r>
      <w:r>
        <w:rPr>
          <w:rFonts w:ascii="Times New Roman;serif" w:hAnsi="Times New Roman;serif"/>
          <w:b w:val="false"/>
          <w:sz w:val="16"/>
        </w:rPr>
        <w:t>of our overall portfolio on a cost and fair value basis, respectively. As of September 30, 2022, we had two</w:t>
      </w:r>
      <w:r>
        <w:rPr>
          <w:rFonts w:ascii="Times New Roman" w:hAnsi="Times New Roman"/>
          <w:sz w:val="20"/>
        </w:rPr>
        <w:t xml:space="preserve"> </w:t>
      </w:r>
      <w:r>
        <w:rPr>
          <w:rFonts w:ascii="Times New Roman;serif" w:hAnsi="Times New Roman;serif"/>
          <w:b w:val="false"/>
          <w:sz w:val="16"/>
        </w:rPr>
        <w:t>portfolio companies on non-accrual, representing 0.9% and zero</w:t>
      </w:r>
      <w:r>
        <w:rPr>
          <w:rFonts w:ascii="Times New Roman" w:hAnsi="Times New Roman"/>
          <w:sz w:val="20"/>
        </w:rPr>
        <w:t xml:space="preserve"> </w:t>
      </w:r>
      <w:r>
        <w:rPr>
          <w:rFonts w:ascii="Times New Roman;serif" w:hAnsi="Times New Roman;serif"/>
          <w:b w:val="false"/>
          <w:sz w:val="16"/>
        </w:rPr>
        <w:t>of our overall portfolio on a cost and fair value basis, respectively.</w:t>
      </w:r>
    </w:p>
    <w:p>
      <w:pPr>
        <w:pStyle w:val="TextBody"/>
        <w:bidi w:val="0"/>
        <w:spacing w:before="0" w:after="0"/>
        <w:ind w:left="0" w:right="0" w:hanging="0"/>
        <w:jc w:val="left"/>
        <w:rPr/>
      </w:pPr>
      <w:r>
        <w:rPr/>
        <w:t> </w:t>
      </w:r>
    </w:p>
    <w:p>
      <w:pPr>
        <w:pStyle w:val="TextBody"/>
        <w:bidi w:val="0"/>
        <w:spacing w:before="0" w:after="0"/>
        <w:ind w:left="245" w:right="0" w:hanging="0"/>
        <w:jc w:val="left"/>
        <w:rPr>
          <w:rFonts w:ascii="Times New Roman;serif" w:hAnsi="Times New Roman;serif"/>
          <w:b/>
          <w:i/>
          <w:sz w:val="16"/>
        </w:rPr>
      </w:pPr>
      <w:r>
        <w:rPr>
          <w:rFonts w:ascii="Times New Roman;serif" w:hAnsi="Times New Roman;serif"/>
          <w:b/>
          <w:i/>
          <w:sz w:val="16"/>
        </w:rPr>
        <w:t>(c) Income Taxes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val="false"/>
          <w:sz w:val="16"/>
        </w:rPr>
        <w:t>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the three and nine months ended June 30, 2023, we recorded a provision for taxes on net investment income of</w:t>
      </w:r>
      <w:r>
        <w:rPr>
          <w:rFonts w:ascii="Times New Roman" w:hAnsi="Times New Roman"/>
          <w:sz w:val="20"/>
        </w:rPr>
        <w:t xml:space="preserve"> </w:t>
      </w:r>
      <w:r>
        <w:rPr>
          <w:rFonts w:ascii="Times New Roman;serif" w:hAnsi="Times New Roman;serif"/>
          <w:b w:val="false"/>
          <w:sz w:val="16"/>
        </w:rPr>
        <w:t>$0.2</w:t>
      </w:r>
      <w:r>
        <w:rPr>
          <w:rFonts w:ascii="Times New Roman" w:hAnsi="Times New Roman"/>
          <w:sz w:val="20"/>
        </w:rPr>
        <w:t xml:space="preserve"> </w:t>
      </w:r>
      <w:r>
        <w:rPr>
          <w:rFonts w:ascii="Times New Roman;serif" w:hAnsi="Times New Roman;serif"/>
          <w:b w:val="false"/>
          <w:sz w:val="16"/>
        </w:rPr>
        <w:t>million and $0.8</w:t>
      </w:r>
      <w:r>
        <w:rPr>
          <w:rFonts w:ascii="Times New Roman" w:hAnsi="Times New Roman"/>
          <w:sz w:val="20"/>
        </w:rPr>
        <w:t xml:space="preserve"> </w:t>
      </w:r>
      <w:r>
        <w:rPr>
          <w:rFonts w:ascii="Times New Roman;serif" w:hAnsi="Times New Roman;serif"/>
          <w:b w:val="false"/>
          <w:sz w:val="16"/>
        </w:rPr>
        <w:t>million, respectively, pertaining to federal excise tax. For the three and nine months ended June 30, 2022, we recorded a provision for taxes on net investment income of $0.1</w:t>
      </w:r>
      <w:r>
        <w:rPr>
          <w:rFonts w:ascii="Times New Roman" w:hAnsi="Times New Roman"/>
          <w:sz w:val="20"/>
        </w:rPr>
        <w:t xml:space="preserve"> </w:t>
      </w:r>
      <w:r>
        <w:rPr>
          <w:rFonts w:ascii="Times New Roman;serif" w:hAnsi="Times New Roman;serif"/>
          <w:b w:val="false"/>
          <w:sz w:val="16"/>
        </w:rPr>
        <w:t>million and $0.3</w:t>
      </w:r>
      <w:r>
        <w:rPr>
          <w:rFonts w:ascii="Times New Roman" w:hAnsi="Times New Roman"/>
          <w:sz w:val="20"/>
        </w:rPr>
        <w:t xml:space="preserve"> </w:t>
      </w:r>
      <w:r>
        <w:rPr>
          <w:rFonts w:ascii="Times New Roman;serif" w:hAnsi="Times New Roman;serif"/>
          <w:b w:val="false"/>
          <w:sz w:val="16"/>
        </w:rPr>
        <w:t>million, respectively, pertaining to federal excise tax.</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Taxable Subsidiary (PFLT Investment Holdings, LLC, a second tier wholly-owned subsidiary of the Company), is subject to U.S. federal, state and local corporate income taxes. The income tax expense and related tax liabilities of the Taxable Subsidiary are reflected in the Company’s consolidated financial statements.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the Company recognized a provision reduction for taxes of zero</w:t>
      </w:r>
      <w:r>
        <w:rPr>
          <w:rFonts w:ascii="Times New Roman" w:hAnsi="Times New Roman"/>
          <w:sz w:val="20"/>
        </w:rPr>
        <w:t xml:space="preserve"> </w:t>
      </w:r>
      <w:r>
        <w:rPr>
          <w:rFonts w:ascii="Times New Roman;serif" w:hAnsi="Times New Roman;serif"/>
          <w:b w:val="false"/>
          <w:sz w:val="16"/>
        </w:rPr>
        <w:t>and $2.9</w:t>
      </w:r>
      <w:r>
        <w:rPr>
          <w:rFonts w:ascii="Times New Roman" w:hAnsi="Times New Roman"/>
          <w:sz w:val="20"/>
        </w:rPr>
        <w:t xml:space="preserve"> </w:t>
      </w:r>
      <w:r>
        <w:rPr>
          <w:rFonts w:ascii="Times New Roman;serif" w:hAnsi="Times New Roman;serif"/>
          <w:b w:val="false"/>
          <w:sz w:val="16"/>
        </w:rPr>
        <w:t>million, respectively, on unrealized appreciation (depreciation) on investments by the Taxable Subsidiary. For the three and nine months ended June 30, 2022 the Company recognized a provision for taxes of zero</w:t>
      </w:r>
      <w:r>
        <w:rPr>
          <w:rFonts w:ascii="Times New Roman" w:hAnsi="Times New Roman"/>
          <w:sz w:val="20"/>
        </w:rPr>
        <w:t xml:space="preserve"> </w:t>
      </w:r>
      <w:r>
        <w:rPr>
          <w:rFonts w:ascii="Times New Roman;serif" w:hAnsi="Times New Roman;serif"/>
          <w:b w:val="false"/>
          <w:sz w:val="16"/>
        </w:rPr>
        <w:t>and $(5.3) million, respectively,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June 30, 2023 and September 30, 2022, $1.6</w:t>
      </w:r>
      <w:r>
        <w:rPr>
          <w:rFonts w:ascii="Times New Roman" w:hAnsi="Times New Roman"/>
          <w:sz w:val="20"/>
        </w:rPr>
        <w:t xml:space="preserve"> </w:t>
      </w:r>
      <w:r>
        <w:rPr>
          <w:rFonts w:ascii="Times New Roman;serif" w:hAnsi="Times New Roman;serif"/>
          <w:b w:val="false"/>
          <w:sz w:val="16"/>
        </w:rPr>
        <w:t>million and $4.6</w:t>
      </w:r>
      <w:r>
        <w:rPr>
          <w:rFonts w:ascii="Times New Roman" w:hAnsi="Times New Roman"/>
          <w:sz w:val="20"/>
        </w:rPr>
        <w:t xml:space="preserve"> </w:t>
      </w:r>
      <w:r>
        <w:rPr>
          <w:rFonts w:ascii="Times New Roman;serif" w:hAnsi="Times New Roman;serif"/>
          <w:b w:val="false"/>
          <w:sz w:val="16"/>
        </w:rPr>
        <w:t>million, respectively, was accrued as a deferred tax liability on the Consolidated Statements of Assets and Liabilities relating to unrealized gain on investments held by the Taxable Subsidiary. As of June 30, 2023 and September 30, 2022, $0.3</w:t>
      </w:r>
      <w:r>
        <w:rPr>
          <w:rFonts w:ascii="Times New Roman" w:hAnsi="Times New Roman"/>
          <w:sz w:val="20"/>
        </w:rPr>
        <w:t xml:space="preserve"> </w:t>
      </w:r>
      <w:r>
        <w:rPr>
          <w:rFonts w:ascii="Times New Roman;serif" w:hAnsi="Times New Roman;serif"/>
          <w:b w:val="false"/>
          <w:sz w:val="16"/>
        </w:rPr>
        <w:t>million and zero, respectively, was accrued as a provision for taxes on the Consolidated Statements of Operations relating to realized gain on investments held by the Taxable Subsidiary. During the three and nine months ended June 30, 2023, the Company paid $0.5</w:t>
      </w:r>
      <w:r>
        <w:rPr>
          <w:rFonts w:ascii="Times New Roman" w:hAnsi="Times New Roman"/>
          <w:sz w:val="20"/>
        </w:rPr>
        <w:t xml:space="preserve"> </w:t>
      </w:r>
      <w:r>
        <w:rPr>
          <w:rFonts w:ascii="Times New Roman;serif" w:hAnsi="Times New Roman;serif"/>
          <w:b w:val="false"/>
          <w:sz w:val="16"/>
        </w:rPr>
        <w:t>million and $0.5</w:t>
      </w:r>
      <w:r>
        <w:rPr>
          <w:rFonts w:ascii="Times New Roman" w:hAnsi="Times New Roman"/>
          <w:sz w:val="20"/>
        </w:rPr>
        <w:t xml:space="preserve"> </w:t>
      </w:r>
      <w:r>
        <w:rPr>
          <w:rFonts w:ascii="Times New Roman;serif" w:hAnsi="Times New Roman;serif"/>
          <w:b w:val="false"/>
          <w:sz w:val="16"/>
        </w:rPr>
        <w:t>million, respectively, in taxes on realized gains on the sale of investments held by the Taxable Subsidiary, resulting in a $1.2</w:t>
      </w:r>
      <w:r>
        <w:rPr>
          <w:rFonts w:ascii="Times New Roman" w:hAnsi="Times New Roman"/>
          <w:sz w:val="20"/>
        </w:rPr>
        <w:t xml:space="preserve"> </w:t>
      </w:r>
      <w:r>
        <w:rPr>
          <w:rFonts w:ascii="Times New Roman;serif" w:hAnsi="Times New Roman;serif"/>
          <w:b w:val="false"/>
          <w:sz w:val="16"/>
        </w:rPr>
        <w:t>million prepaid tax asset as of June 30, 2023 included under prepaid expenses and other assets in the Consolidated Statement of Assets and Liabilities.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spacing w:before="0" w:after="0"/>
        <w:ind w:left="0" w:right="0" w:firstLine="54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of assets and liabilities to reflect their tax character. Temporary differences arise when certain items of income, expense, gain or loss are recognized at some time in the future.</w:t>
      </w:r>
    </w:p>
    <w:p>
      <w:pPr>
        <w:pStyle w:val="TextBody"/>
        <w:bidi w:val="0"/>
        <w:spacing w:before="0" w:after="0"/>
        <w:ind w:left="0" w:right="0" w:hanging="0"/>
        <w:jc w:val="both"/>
        <w:rPr/>
      </w:pPr>
      <w:r>
        <w:rPr/>
        <w:t> </w:t>
      </w:r>
    </w:p>
    <w:p>
      <w:pPr>
        <w:pStyle w:val="TextBody"/>
        <w:bidi w:val="0"/>
        <w:spacing w:before="0" w:after="0"/>
        <w:ind w:left="245" w:right="0" w:hanging="0"/>
        <w:jc w:val="both"/>
        <w:rPr>
          <w:rFonts w:ascii="Times New Roman;serif" w:hAnsi="Times New Roman;serif"/>
          <w:b/>
          <w:i/>
          <w:sz w:val="16"/>
        </w:rPr>
      </w:pPr>
      <w:r>
        <w:rPr>
          <w:rFonts w:ascii="Times New Roman;serif" w:hAnsi="Times New Roman;serif"/>
          <w:b/>
          <w:i/>
          <w:sz w:val="16"/>
        </w:rPr>
        <w:t>(d) Distributions and Capital Transactions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Capital transactions through offerings of our common stock are recorded when issued and offering costs are charged as a reduction of capital upon issuance of our common stock.</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On August 20, 2021, we entered into equity distribution agreements with each of JMP Securities LLC and Raymond James &amp; Associates, Inc., as the sales agents, in connection with the sale of shares of our common stock, with an aggregate offering of up to $75</w:t>
      </w:r>
      <w:r>
        <w:rPr>
          <w:rFonts w:ascii="Times New Roman" w:hAnsi="Times New Roman"/>
          <w:sz w:val="20"/>
        </w:rPr>
        <w:t xml:space="preserve"> </w:t>
      </w:r>
      <w:r>
        <w:rPr>
          <w:rFonts w:ascii="Times New Roman;serif" w:hAnsi="Times New Roman;serif"/>
          <w:b w:val="false"/>
          <w:sz w:val="16"/>
        </w:rPr>
        <w:t>million under an at-the-market offering (“ATM Program”). The equity distribution agreements provide that we may offer and sell shares of our common stock from time to time through a sales agent in amounts and at times to be determined by us. On May 5, 2022, we amended the equity distribution agreements to update references from NASDAQ to NYSE and reflect that the agents are now represented by Kirkland &amp; Ellis LLP. On March 27, 2023 we terminated the equity distribution agreements and entered into new equity distribution agreements with JMP Securities LLC, Raymond James &amp; Associates, Inc. and Truist Securities, Inc. (together, the "Equity Distribution Agreements"), as sales agents in connection with the sale of shares of our common stock, with an aggregate offering of up to $100</w:t>
      </w:r>
      <w:r>
        <w:rPr>
          <w:rFonts w:ascii="Times New Roman" w:hAnsi="Times New Roman"/>
          <w:sz w:val="20"/>
        </w:rPr>
        <w:t xml:space="preserve"> </w:t>
      </w:r>
      <w:r>
        <w:rPr>
          <w:rFonts w:ascii="Times New Roman;serif" w:hAnsi="Times New Roman;serif"/>
          <w:b w:val="false"/>
          <w:sz w:val="16"/>
        </w:rPr>
        <w:t>million under an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During the three months ended June 30, 2023, we issued 5,805,484</w:t>
      </w:r>
      <w:r>
        <w:rPr>
          <w:rFonts w:ascii="Times New Roman" w:hAnsi="Times New Roman"/>
          <w:sz w:val="20"/>
        </w:rPr>
        <w:t xml:space="preserve"> </w:t>
      </w:r>
      <w:r>
        <w:rPr>
          <w:rFonts w:ascii="Times New Roman;serif" w:hAnsi="Times New Roman;serif"/>
          <w:b w:val="false"/>
          <w:sz w:val="16"/>
        </w:rPr>
        <w:t>shares of common stock through the ATM Program at an average price of $11.03</w:t>
      </w:r>
      <w:r>
        <w:rPr>
          <w:rFonts w:ascii="Times New Roman" w:hAnsi="Times New Roman"/>
          <w:sz w:val="20"/>
        </w:rPr>
        <w:t xml:space="preserve"> </w:t>
      </w:r>
      <w:r>
        <w:rPr>
          <w:rFonts w:ascii="Times New Roman;serif" w:hAnsi="Times New Roman;serif"/>
          <w:b w:val="false"/>
          <w:sz w:val="16"/>
        </w:rPr>
        <w:t>per share, raising $64.1</w:t>
      </w:r>
      <w:r>
        <w:rPr>
          <w:rFonts w:ascii="Times New Roman" w:hAnsi="Times New Roman"/>
          <w:sz w:val="20"/>
        </w:rPr>
        <w:t xml:space="preserve"> </w:t>
      </w:r>
      <w:r>
        <w:rPr>
          <w:rFonts w:ascii="Times New Roman;serif" w:hAnsi="Times New Roman;serif"/>
          <w:b w:val="false"/>
          <w:sz w:val="16"/>
        </w:rPr>
        <w:t>million of net proceeds after commissions to the sales agents and inclusive of proceeds from the Investment Adviser to ensure that all shares were sold at or above NAV. In connection with the share issuance, we expensed $0.5</w:t>
      </w:r>
      <w:r>
        <w:rPr>
          <w:rFonts w:ascii="Times New Roman" w:hAnsi="Times New Roman"/>
          <w:sz w:val="20"/>
        </w:rPr>
        <w:t xml:space="preserve"> </w:t>
      </w:r>
      <w:r>
        <w:rPr>
          <w:rFonts w:ascii="Times New Roman;serif" w:hAnsi="Times New Roman;serif"/>
          <w:b w:val="false"/>
          <w:sz w:val="16"/>
        </w:rPr>
        <w:t>million of deferred offering costs incurred related to establishing the ATM Program to additional paid in capital.</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During the nine months ended June 30, 2023, we issued 5,891,661</w:t>
      </w:r>
      <w:r>
        <w:rPr>
          <w:rFonts w:ascii="Times New Roman" w:hAnsi="Times New Roman"/>
          <w:sz w:val="20"/>
        </w:rPr>
        <w:t xml:space="preserve"> </w:t>
      </w:r>
      <w:r>
        <w:rPr>
          <w:rFonts w:ascii="Times New Roman;serif" w:hAnsi="Times New Roman;serif"/>
          <w:b w:val="false"/>
          <w:sz w:val="16"/>
        </w:rPr>
        <w:t>shares of common stock through the ATM Program at an average price of $11.04</w:t>
      </w:r>
      <w:r>
        <w:rPr>
          <w:rFonts w:ascii="Times New Roman" w:hAnsi="Times New Roman"/>
          <w:sz w:val="20"/>
        </w:rPr>
        <w:t xml:space="preserve"> </w:t>
      </w:r>
      <w:r>
        <w:rPr>
          <w:rFonts w:ascii="Times New Roman;serif" w:hAnsi="Times New Roman;serif"/>
          <w:b w:val="false"/>
          <w:sz w:val="16"/>
        </w:rPr>
        <w:t>per share, raising $65.1</w:t>
      </w:r>
      <w:r>
        <w:rPr>
          <w:rFonts w:ascii="Times New Roman" w:hAnsi="Times New Roman"/>
          <w:sz w:val="20"/>
        </w:rPr>
        <w:t xml:space="preserve"> </w:t>
      </w:r>
      <w:r>
        <w:rPr>
          <w:rFonts w:ascii="Times New Roman;serif" w:hAnsi="Times New Roman;serif"/>
          <w:b w:val="false"/>
          <w:sz w:val="16"/>
        </w:rPr>
        <w:t>million of net proceeds after commissions to the sales agents and inclusive of proceeds from the Investment Adviser to ensure that all shares were sold at or above NAV.</w:t>
      </w:r>
    </w:p>
    <w:p>
      <w:pPr>
        <w:pStyle w:val="TextBody"/>
        <w:bidi w:val="0"/>
        <w:spacing w:before="0" w:after="0"/>
        <w:ind w:left="0" w:right="0" w:hanging="0"/>
        <w:jc w:val="both"/>
        <w:rPr/>
      </w:pPr>
      <w:r>
        <w:rPr/>
        <w:t> </w:t>
      </w:r>
    </w:p>
    <w:p>
      <w:pPr>
        <w:pStyle w:val="TextBody"/>
        <w:bidi w:val="0"/>
        <w:spacing w:before="0" w:after="0"/>
        <w:ind w:left="245" w:right="0" w:hanging="0"/>
        <w:jc w:val="both"/>
        <w:rPr>
          <w:rFonts w:ascii="Times New Roman;serif" w:hAnsi="Times New Roman;serif"/>
          <w:b/>
          <w:i/>
          <w:sz w:val="16"/>
        </w:rPr>
      </w:pPr>
      <w:r>
        <w:rPr>
          <w:rFonts w:ascii="Times New Roman;serif" w:hAnsi="Times New Roman;serif"/>
          <w:b/>
          <w:i/>
          <w:sz w:val="16"/>
        </w:rPr>
        <w:t>(e) Foreign Currency Translation</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books and records are maintained in U.S. dollars. Any foreign currency amounts are translated into U.S. dollars on the following basis:</w:t>
      </w:r>
    </w:p>
    <w:p>
      <w:pPr>
        <w:pStyle w:val="TextBody"/>
        <w:bidi w:val="0"/>
        <w:spacing w:before="0" w:after="0"/>
        <w:ind w:left="0" w:right="110" w:hanging="0"/>
        <w:jc w:val="both"/>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450" w:right="0" w:hanging="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Fair value of investment securities, other assets and liabilities – at the exchange rates prevailing at the end of the applicable period; and</w:t>
      </w:r>
    </w:p>
    <w:p>
      <w:pPr>
        <w:pStyle w:val="TextBody"/>
        <w:bidi w:val="0"/>
        <w:spacing w:before="0" w:after="0"/>
        <w:ind w:left="0" w:right="0" w:hanging="0"/>
        <w:jc w:val="both"/>
        <w:rPr/>
      </w:pPr>
      <w:r>
        <w:rPr/>
        <w:t> </w:t>
      </w:r>
    </w:p>
    <w:p>
      <w:pPr>
        <w:pStyle w:val="TextBody"/>
        <w:bidi w:val="0"/>
        <w:spacing w:before="0" w:after="0"/>
        <w:ind w:left="450" w:right="0" w:hanging="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Purchases and sales of investment securities, income and expenses – at the exchange rates prevailing on the respective dates of such transactions.</w:t>
      </w:r>
    </w:p>
    <w:p>
      <w:pPr>
        <w:pStyle w:val="TextBody"/>
        <w:bidi w:val="0"/>
        <w:spacing w:before="0" w:after="0"/>
        <w:ind w:left="0" w:right="11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pStyle w:val="TextBody"/>
        <w:bidi w:val="0"/>
        <w:spacing w:before="0" w:after="0"/>
        <w:ind w:left="0" w:right="0" w:hanging="0"/>
        <w:jc w:val="left"/>
        <w:rPr/>
      </w:pPr>
      <w:r>
        <w:rPr/>
        <w:t> </w:t>
      </w:r>
    </w:p>
    <w:p>
      <w:pPr>
        <w:pStyle w:val="TextBody"/>
        <w:bidi w:val="0"/>
        <w:spacing w:before="0" w:after="0"/>
        <w:ind w:left="245" w:right="0" w:hanging="0"/>
        <w:jc w:val="left"/>
        <w:rPr>
          <w:rFonts w:ascii="Times New Roman;serif" w:hAnsi="Times New Roman;serif"/>
          <w:b/>
          <w:i/>
          <w:sz w:val="16"/>
        </w:rPr>
      </w:pPr>
      <w:r>
        <w:rPr>
          <w:rFonts w:ascii="Times New Roman;serif" w:hAnsi="Times New Roman;serif"/>
          <w:b/>
          <w:i/>
          <w:sz w:val="16"/>
        </w:rPr>
        <w:t>(f) Consolidation</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pStyle w:val="TextBody"/>
        <w:bidi w:val="0"/>
        <w:spacing w:before="0" w:after="0"/>
        <w:ind w:left="0" w:right="0" w:hanging="0"/>
        <w:jc w:val="both"/>
        <w:rPr/>
      </w:pPr>
      <w:r>
        <w:rPr/>
        <w:t> </w:t>
      </w:r>
    </w:p>
    <w:p>
      <w:pPr>
        <w:pStyle w:val="TextBody"/>
        <w:bidi w:val="0"/>
        <w:spacing w:before="0" w:after="0"/>
        <w:ind w:left="245" w:right="0" w:hanging="0"/>
        <w:jc w:val="both"/>
        <w:rPr>
          <w:rFonts w:ascii="Times New Roman;serif" w:hAnsi="Times New Roman;serif"/>
          <w:b/>
          <w:i/>
          <w:sz w:val="16"/>
        </w:rPr>
      </w:pPr>
      <w:r>
        <w:rPr>
          <w:rFonts w:ascii="Times New Roman;serif" w:hAnsi="Times New Roman;serif"/>
          <w:b/>
          <w:i/>
          <w:sz w:val="16"/>
        </w:rPr>
        <w:t>(g) Asset Transfers and Servicing</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(h) Recent Accounting Pronouncements</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spacing w:before="0" w:after="0"/>
        <w:ind w:left="0" w:right="0" w:firstLine="432"/>
        <w:jc w:val="both"/>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3. AGREEMENTS AND RELATED PARTY TRANSACTIONS</w:t>
      </w:r>
    </w:p>
    <w:p>
      <w:pPr>
        <w:pStyle w:val="TextBody"/>
        <w:bidi w:val="0"/>
        <w:spacing w:before="0" w:after="0"/>
        <w:ind w:left="0" w:right="0" w:hanging="0"/>
        <w:jc w:val="left"/>
        <w:rPr/>
      </w:pPr>
      <w:r>
        <w:rPr/>
        <w:t> </w:t>
      </w:r>
    </w:p>
    <w:p>
      <w:pPr>
        <w:pStyle w:val="TextBody"/>
        <w:bidi w:val="0"/>
        <w:spacing w:before="0" w:after="0"/>
        <w:ind w:left="0" w:right="0" w:firstLine="288"/>
        <w:jc w:val="both"/>
        <w:rPr>
          <w:rFonts w:ascii="Times New Roman;serif" w:hAnsi="Times New Roman;serif"/>
          <w:b/>
          <w:i/>
          <w:sz w:val="16"/>
        </w:rPr>
      </w:pPr>
      <w:r>
        <w:rPr>
          <w:rFonts w:ascii="Times New Roman;serif" w:hAnsi="Times New Roman;serif"/>
          <w:b/>
          <w:i/>
          <w:sz w:val="16"/>
        </w:rPr>
        <w:t>(a) Investment Management Agreement</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pStyle w:val="TextBody"/>
        <w:bidi w:val="0"/>
        <w:spacing w:before="0" w:after="0"/>
        <w:ind w:left="0" w:right="0" w:firstLine="432"/>
        <w:jc w:val="both"/>
        <w:rPr/>
      </w:pPr>
      <w:r>
        <w:rPr/>
        <w:t> </w:t>
      </w:r>
    </w:p>
    <w:p>
      <w:pPr>
        <w:pStyle w:val="TextBody"/>
        <w:bidi w:val="0"/>
        <w:spacing w:before="0" w:after="0"/>
        <w:ind w:left="490" w:right="0" w:hanging="0"/>
        <w:jc w:val="both"/>
        <w:rPr>
          <w:rFonts w:ascii="Times New Roman;serif" w:hAnsi="Times New Roman;serif"/>
          <w:b/>
          <w:i/>
          <w:sz w:val="16"/>
        </w:rPr>
      </w:pPr>
      <w:r>
        <w:rPr>
          <w:rFonts w:ascii="Times New Roman;serif" w:hAnsi="Times New Roman;serif"/>
          <w:b/>
          <w:i/>
          <w:sz w:val="16"/>
        </w:rPr>
        <w:t>Base Management Fee</w:t>
      </w:r>
    </w:p>
    <w:p>
      <w:pPr>
        <w:pStyle w:val="TextBody"/>
        <w:bidi w:val="0"/>
        <w:spacing w:before="0" w:after="0"/>
        <w:ind w:left="49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w:t>
      </w:r>
      <w:r>
        <w:rPr>
          <w:rFonts w:ascii="Times New Roman" w:hAnsi="Times New Roman"/>
          <w:sz w:val="20"/>
        </w:rPr>
        <w:t xml:space="preserve"> </w:t>
      </w:r>
      <w:r>
        <w:rPr>
          <w:rFonts w:ascii="Times New Roman;serif" w:hAnsi="Times New Roman;serif"/>
          <w:b w:val="false"/>
          <w:sz w:val="16"/>
        </w:rPr>
        <w:t>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2023 the Investment Adviser earned a base management fee of</w:t>
      </w:r>
      <w:r>
        <w:rPr>
          <w:rFonts w:ascii="Times New Roman" w:hAnsi="Times New Roman"/>
          <w:sz w:val="20"/>
        </w:rPr>
        <w:t xml:space="preserve"> </w:t>
      </w:r>
      <w:r>
        <w:rPr>
          <w:rFonts w:ascii="Times New Roman;serif" w:hAnsi="Times New Roman;serif"/>
          <w:b w:val="false"/>
          <w:sz w:val="16"/>
        </w:rPr>
        <w:t>$2.8</w:t>
      </w:r>
      <w:r>
        <w:rPr>
          <w:rFonts w:ascii="Times New Roman" w:hAnsi="Times New Roman"/>
          <w:sz w:val="20"/>
        </w:rPr>
        <w:t xml:space="preserve"> </w:t>
      </w:r>
      <w:r>
        <w:rPr>
          <w:rFonts w:ascii="Times New Roman;serif" w:hAnsi="Times New Roman;serif"/>
          <w:b w:val="false"/>
          <w:sz w:val="16"/>
        </w:rPr>
        <w:t>million and $8.6</w:t>
      </w:r>
      <w:r>
        <w:rPr>
          <w:rFonts w:ascii="Times New Roman" w:hAnsi="Times New Roman"/>
          <w:sz w:val="20"/>
        </w:rPr>
        <w:t xml:space="preserve"> </w:t>
      </w:r>
      <w:r>
        <w:rPr>
          <w:rFonts w:ascii="Times New Roman;serif" w:hAnsi="Times New Roman;serif"/>
          <w:b w:val="false"/>
          <w:sz w:val="16"/>
        </w:rPr>
        <w:t>million respectively, from us. For the three and nine months ended June 30, 2022</w:t>
      </w:r>
      <w:r>
        <w:rPr>
          <w:rFonts w:ascii="Times New Roman" w:hAnsi="Times New Roman"/>
          <w:sz w:val="20"/>
        </w:rPr>
        <w:t xml:space="preserve"> </w:t>
      </w:r>
      <w:r>
        <w:rPr>
          <w:rFonts w:ascii="Times New Roman;serif" w:hAnsi="Times New Roman;serif"/>
          <w:b w:val="false"/>
          <w:sz w:val="16"/>
        </w:rPr>
        <w:t>the Investment Adviser earned a base management fee of $3.1</w:t>
      </w:r>
      <w:r>
        <w:rPr>
          <w:rFonts w:ascii="Times New Roman" w:hAnsi="Times New Roman"/>
          <w:sz w:val="20"/>
        </w:rPr>
        <w:t xml:space="preserve"> </w:t>
      </w:r>
      <w:r>
        <w:rPr>
          <w:rFonts w:ascii="Times New Roman;serif" w:hAnsi="Times New Roman;serif"/>
          <w:b w:val="false"/>
          <w:sz w:val="16"/>
        </w:rPr>
        <w:t>million and $8.9</w:t>
      </w:r>
      <w:r>
        <w:rPr>
          <w:rFonts w:ascii="Times New Roman" w:hAnsi="Times New Roman"/>
          <w:sz w:val="20"/>
        </w:rPr>
        <w:t xml:space="preserve"> </w:t>
      </w:r>
      <w:r>
        <w:rPr>
          <w:rFonts w:ascii="Times New Roman;serif" w:hAnsi="Times New Roman;serif"/>
          <w:b w:val="false"/>
          <w:sz w:val="16"/>
        </w:rPr>
        <w:t>million respectively, from us.</w:t>
      </w:r>
    </w:p>
    <w:p>
      <w:pPr>
        <w:pStyle w:val="TextBody"/>
        <w:bidi w:val="0"/>
        <w:spacing w:before="0" w:after="0"/>
        <w:ind w:left="0" w:right="0" w:firstLine="432"/>
        <w:jc w:val="both"/>
        <w:rPr/>
      </w:pPr>
      <w:r>
        <w:rPr/>
        <w:t> </w:t>
      </w:r>
    </w:p>
    <w:p>
      <w:pPr>
        <w:pStyle w:val="TextBody"/>
        <w:bidi w:val="0"/>
        <w:spacing w:before="0" w:after="0"/>
        <w:ind w:left="490" w:right="0" w:hanging="0"/>
        <w:jc w:val="both"/>
        <w:rPr>
          <w:rFonts w:ascii="Times New Roman;serif" w:hAnsi="Times New Roman;serif"/>
          <w:b/>
          <w:i/>
          <w:sz w:val="16"/>
        </w:rPr>
      </w:pPr>
      <w:r>
        <w:rPr>
          <w:rFonts w:ascii="Times New Roman;serif" w:hAnsi="Times New Roman;serif"/>
          <w:b/>
          <w:i/>
          <w:sz w:val="16"/>
        </w:rPr>
        <w:t>Incentive Fee</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incentive fee has two parts, as follows: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w:t>
      </w:r>
      <w:r>
        <w:rPr>
          <w:rFonts w:ascii="Times New Roman;serif" w:hAnsi="Times New Roman;serif"/>
          <w:sz w:val="16"/>
        </w:rPr>
        <w:t xml:space="preserve"> </w:t>
      </w:r>
      <w:r>
        <w:rPr>
          <w:rFonts w:ascii="Times New Roman;serif" w:hAnsi="Times New Roman;serif"/>
          <w:b w:val="false"/>
          <w:sz w:val="16"/>
        </w:rPr>
        <w:t>Investment Adviser an incentive fee with respect to our Pre-Incentive Fee Net Investment Income in each calendar quarter as follows: (1) no</w:t>
      </w:r>
      <w:r>
        <w:rPr>
          <w:rFonts w:ascii="Times New Roman;serif" w:hAnsi="Times New Roman;serif"/>
          <w:sz w:val="16"/>
        </w:rPr>
        <w:t xml:space="preserve"> </w:t>
      </w:r>
      <w:r>
        <w:rPr>
          <w:rFonts w:ascii="Times New Roman;serif" w:hAnsi="Times New Roman;serif"/>
          <w:b w:val="false"/>
          <w:sz w:val="16"/>
        </w:rPr>
        <w:t>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w:t>
      </w:r>
      <w:r>
        <w:rPr>
          <w:rFonts w:ascii="Times New Roman" w:hAnsi="Times New Roman"/>
          <w:sz w:val="20"/>
        </w:rPr>
        <w:t xml:space="preserve"> </w:t>
      </w:r>
      <w:r>
        <w:rPr>
          <w:rFonts w:ascii="Times New Roman;serif" w:hAnsi="Times New Roman;serif"/>
          <w:b w:val="false"/>
          <w:sz w:val="16"/>
        </w:rPr>
        <w:t>These calculations are pro-rated for any share issuances or repurchases during the relevant quarter, if applicable. For the three and nine months ended June 30, 2023, the Investment Adviser earned $4.6</w:t>
      </w:r>
      <w:r>
        <w:rPr>
          <w:rFonts w:ascii="Times New Roman" w:hAnsi="Times New Roman"/>
          <w:sz w:val="20"/>
        </w:rPr>
        <w:t xml:space="preserve"> </w:t>
      </w:r>
      <w:r>
        <w:rPr>
          <w:rFonts w:ascii="Times New Roman;serif" w:hAnsi="Times New Roman;serif"/>
          <w:b w:val="false"/>
          <w:sz w:val="16"/>
        </w:rPr>
        <w:t>million and $12.2</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respectively, in incentive fees on net investment income from us. For three and nine months ended June 30, 2022, the Investment Adviser earned $2.6</w:t>
      </w:r>
      <w:r>
        <w:rPr>
          <w:rFonts w:ascii="Times New Roman" w:hAnsi="Times New Roman"/>
          <w:sz w:val="20"/>
        </w:rPr>
        <w:t xml:space="preserve"> </w:t>
      </w:r>
      <w:r>
        <w:rPr>
          <w:rFonts w:ascii="Times New Roman;serif" w:hAnsi="Times New Roman;serif"/>
          <w:b w:val="false"/>
          <w:sz w:val="16"/>
        </w:rPr>
        <w:t>million and $8.5</w:t>
      </w:r>
      <w:r>
        <w:rPr>
          <w:rFonts w:ascii="Times New Roman" w:hAnsi="Times New Roman"/>
          <w:sz w:val="20"/>
        </w:rPr>
        <w:t xml:space="preserve"> </w:t>
      </w:r>
      <w:r>
        <w:rPr>
          <w:rFonts w:ascii="Times New Roman;serif" w:hAnsi="Times New Roman;serif"/>
          <w:b w:val="false"/>
          <w:sz w:val="16"/>
        </w:rPr>
        <w:t>million, respectively, in incentive fees on net investment income from us.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nine months ended June 30, 2023 and 2022, the Investment Adviser did not accrue an incentive fee on capital gains, as calculated under the Investment Management Agreement (as described above).</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nine months ended June 30, 2023 and 2022, was zero, respectively.</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288"/>
        <w:jc w:val="both"/>
        <w:rPr>
          <w:rFonts w:ascii="Times New Roman;serif" w:hAnsi="Times New Roman;serif"/>
          <w:b/>
          <w:i/>
          <w:sz w:val="16"/>
        </w:rPr>
      </w:pPr>
      <w:r>
        <w:rPr>
          <w:rFonts w:ascii="Times New Roman;serif" w:hAnsi="Times New Roman;serif"/>
          <w:b/>
          <w:i/>
          <w:sz w:val="16"/>
        </w:rPr>
        <w:t>(b) Administration Agreement</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Administration Agreement with the Administrator was reapproved by our board of directors, including a majority of the directors who are not interested persons of us, in February 2023.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2023, we recorded administrative expenses of approximately</w:t>
      </w:r>
      <w:r>
        <w:rPr>
          <w:rFonts w:ascii="Times New Roman" w:hAnsi="Times New Roman"/>
          <w:sz w:val="20"/>
        </w:rPr>
        <w:t xml:space="preserve"> </w:t>
      </w:r>
      <w:r>
        <w:rPr>
          <w:rFonts w:ascii="Times New Roman;serif" w:hAnsi="Times New Roman;serif"/>
          <w:b w:val="false"/>
          <w:sz w:val="16"/>
        </w:rPr>
        <w:t>$0.5</w:t>
      </w:r>
      <w:r>
        <w:rPr>
          <w:rFonts w:ascii="Times New Roman" w:hAnsi="Times New Roman"/>
          <w:sz w:val="20"/>
        </w:rPr>
        <w:t xml:space="preserve"> </w:t>
      </w:r>
      <w:r>
        <w:rPr>
          <w:rFonts w:ascii="Times New Roman;serif" w:hAnsi="Times New Roman;serif"/>
          <w:b w:val="false"/>
          <w:sz w:val="16"/>
        </w:rPr>
        <w:t>million and $0.8</w:t>
      </w:r>
      <w:r>
        <w:rPr>
          <w:rFonts w:ascii="Times New Roman" w:hAnsi="Times New Roman"/>
          <w:sz w:val="20"/>
        </w:rPr>
        <w:t xml:space="preserve"> </w:t>
      </w:r>
      <w:r>
        <w:rPr>
          <w:rFonts w:ascii="Times New Roman;serif" w:hAnsi="Times New Roman;serif"/>
          <w:b w:val="false"/>
          <w:sz w:val="16"/>
        </w:rPr>
        <w:t>million, respectively, including expenses the Administrator incurred for services described above. For the three and nine months ended June 30, 2022, we recorded adminstrative expenses of approximately $0.1</w:t>
      </w:r>
      <w:r>
        <w:rPr>
          <w:rFonts w:ascii="Times New Roman" w:hAnsi="Times New Roman"/>
          <w:sz w:val="20"/>
        </w:rPr>
        <w:t xml:space="preserve"> </w:t>
      </w:r>
      <w:r>
        <w:rPr>
          <w:rFonts w:ascii="Times New Roman;serif" w:hAnsi="Times New Roman;serif"/>
          <w:b w:val="false"/>
          <w:sz w:val="16"/>
        </w:rPr>
        <w:t>million and $0.4</w:t>
      </w:r>
      <w:r>
        <w:rPr>
          <w:rFonts w:ascii="Times New Roman" w:hAnsi="Times New Roman"/>
          <w:sz w:val="20"/>
        </w:rPr>
        <w:t xml:space="preserve"> </w:t>
      </w:r>
      <w:r>
        <w:rPr>
          <w:rFonts w:ascii="Times New Roman;serif" w:hAnsi="Times New Roman;serif"/>
          <w:b w:val="false"/>
          <w:sz w:val="16"/>
        </w:rPr>
        <w:t>million, respectively, including expenses the Administrator incurred for services described above.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pStyle w:val="TextBody"/>
        <w:bidi w:val="0"/>
        <w:spacing w:before="0" w:after="0"/>
        <w:ind w:left="0" w:right="0" w:hanging="0"/>
        <w:jc w:val="both"/>
        <w:rPr/>
      </w:pPr>
      <w:r>
        <w:rPr/>
        <w:t> </w:t>
      </w:r>
    </w:p>
    <w:p>
      <w:pPr>
        <w:pStyle w:val="TextBody"/>
        <w:bidi w:val="0"/>
        <w:spacing w:before="0" w:after="0"/>
        <w:ind w:left="0" w:right="0" w:firstLine="288"/>
        <w:jc w:val="both"/>
        <w:rPr>
          <w:rFonts w:ascii="Times New Roman;serif" w:hAnsi="Times New Roman;serif"/>
          <w:b/>
          <w:i/>
          <w:sz w:val="16"/>
        </w:rPr>
      </w:pPr>
      <w:r>
        <w:rPr>
          <w:rFonts w:ascii="Times New Roman;serif" w:hAnsi="Times New Roman;serif"/>
          <w:b/>
          <w:i/>
          <w:sz w:val="16"/>
        </w:rPr>
        <w:t>(c) Other Related Party Transactions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There were no</w:t>
      </w:r>
      <w:r>
        <w:rPr>
          <w:rFonts w:ascii="Times New Roman" w:hAnsi="Times New Roman"/>
          <w:sz w:val="20"/>
        </w:rPr>
        <w:t xml:space="preserve"> </w:t>
      </w:r>
      <w:r>
        <w:rPr>
          <w:rFonts w:ascii="Times New Roman;serif" w:hAnsi="Times New Roman;serif"/>
          <w:b w:val="false"/>
          <w:sz w:val="16"/>
        </w:rPr>
        <w:t>transactions subject to Rule 17a-7 under the 1940 Act during each of the three and nine months ended June 30, 2023 and 2022.</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we sold $75.3</w:t>
      </w:r>
      <w:r>
        <w:rPr>
          <w:rFonts w:ascii="Times New Roman" w:hAnsi="Times New Roman"/>
          <w:sz w:val="20"/>
        </w:rPr>
        <w:t xml:space="preserve"> </w:t>
      </w:r>
      <w:r>
        <w:rPr>
          <w:rFonts w:ascii="Times New Roman;serif" w:hAnsi="Times New Roman;serif"/>
          <w:b w:val="false"/>
          <w:sz w:val="16"/>
        </w:rPr>
        <w:t>million and $121.2</w:t>
      </w:r>
      <w:r>
        <w:rPr>
          <w:rFonts w:ascii="Times New Roman" w:hAnsi="Times New Roman"/>
          <w:sz w:val="20"/>
        </w:rPr>
        <w:t xml:space="preserve"> </w:t>
      </w:r>
      <w:r>
        <w:rPr>
          <w:rFonts w:ascii="Times New Roman;serif" w:hAnsi="Times New Roman;serif"/>
          <w:b w:val="false"/>
          <w:sz w:val="16"/>
        </w:rPr>
        <w:t>million in investments to PSSL at fair value, respectively, and recognized</w:t>
      </w:r>
      <w:r>
        <w:rPr>
          <w:rFonts w:ascii="Times New Roman" w:hAnsi="Times New Roman"/>
          <w:sz w:val="20"/>
        </w:rPr>
        <w:t xml:space="preserve"> </w:t>
      </w:r>
      <w:r>
        <w:rPr>
          <w:rFonts w:ascii="Times New Roman;serif" w:hAnsi="Times New Roman;serif"/>
          <w:b w:val="false"/>
          <w:sz w:val="16"/>
        </w:rPr>
        <w:t>$(0.2) million and $(0.2) million of net realized losses, respectively. For the three and nine months ended June 30, 2022,</w:t>
      </w:r>
      <w:r>
        <w:rPr>
          <w:rFonts w:ascii="Times New Roman" w:hAnsi="Times New Roman"/>
          <w:sz w:val="20"/>
        </w:rPr>
        <w:t xml:space="preserve"> </w:t>
      </w:r>
      <w:r>
        <w:rPr>
          <w:rFonts w:ascii="Times New Roman;serif" w:hAnsi="Times New Roman;serif"/>
          <w:b w:val="false"/>
          <w:sz w:val="16"/>
        </w:rPr>
        <w:t>we sold $16.8</w:t>
      </w:r>
      <w:r>
        <w:rPr>
          <w:rFonts w:ascii="Times New Roman" w:hAnsi="Times New Roman"/>
          <w:sz w:val="20"/>
        </w:rPr>
        <w:t xml:space="preserve"> </w:t>
      </w:r>
      <w:r>
        <w:rPr>
          <w:rFonts w:ascii="Times New Roman;serif" w:hAnsi="Times New Roman;serif"/>
          <w:b w:val="false"/>
          <w:sz w:val="16"/>
        </w:rPr>
        <w:t>million and $197.2</w:t>
      </w:r>
      <w:r>
        <w:rPr>
          <w:rFonts w:ascii="Times New Roman" w:hAnsi="Times New Roman"/>
          <w:sz w:val="20"/>
        </w:rPr>
        <w:t xml:space="preserve"> </w:t>
      </w:r>
      <w:r>
        <w:rPr>
          <w:rFonts w:ascii="Times New Roman;serif" w:hAnsi="Times New Roman;serif"/>
          <w:b w:val="false"/>
          <w:sz w:val="16"/>
        </w:rPr>
        <w:t>million in investments to PSSL at fair value, respectively, and recognized $(0.1) million and $(0.6) million of net</w:t>
      </w:r>
      <w:r>
        <w:rPr>
          <w:rFonts w:ascii="Times New Roman" w:hAnsi="Times New Roman"/>
          <w:sz w:val="20"/>
        </w:rPr>
        <w:t xml:space="preserve"> </w:t>
      </w:r>
      <w:r>
        <w:rPr>
          <w:rFonts w:ascii="Times New Roman;serif" w:hAnsi="Times New Roman;serif"/>
          <w:b w:val="false"/>
          <w:sz w:val="16"/>
        </w:rPr>
        <w:t>realized losses,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and 2022, we sold no investments to PTSF.</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4. INVESTMENTS</w:t>
      </w:r>
    </w:p>
    <w:p>
      <w:pPr>
        <w:pStyle w:val="TextBody"/>
        <w:bidi w:val="0"/>
        <w:spacing w:before="0" w:after="0"/>
        <w:ind w:left="0" w:right="0" w:firstLine="49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purchases of investments, including PIK interest totaled</w:t>
      </w:r>
      <w:r>
        <w:rPr>
          <w:rFonts w:ascii="Times New Roman" w:hAnsi="Times New Roman"/>
          <w:sz w:val="20"/>
        </w:rPr>
        <w:t xml:space="preserve"> </w:t>
      </w:r>
      <w:r>
        <w:rPr>
          <w:rFonts w:ascii="Times New Roman;serif" w:hAnsi="Times New Roman;serif"/>
          <w:b w:val="false"/>
          <w:sz w:val="16"/>
        </w:rPr>
        <w:t>$80.3</w:t>
      </w:r>
      <w:r>
        <w:rPr>
          <w:rFonts w:ascii="Times New Roman" w:hAnsi="Times New Roman"/>
          <w:sz w:val="20"/>
        </w:rPr>
        <w:t xml:space="preserve"> </w:t>
      </w:r>
      <w:r>
        <w:rPr>
          <w:rFonts w:ascii="Times New Roman;serif" w:hAnsi="Times New Roman;serif"/>
          <w:b w:val="false"/>
          <w:sz w:val="16"/>
        </w:rPr>
        <w:t>million and $231.5</w:t>
      </w:r>
      <w:r>
        <w:rPr>
          <w:rFonts w:ascii="Times New Roman" w:hAnsi="Times New Roman"/>
          <w:sz w:val="20"/>
        </w:rPr>
        <w:t xml:space="preserve"> </w:t>
      </w:r>
      <w:r>
        <w:rPr>
          <w:rFonts w:ascii="Times New Roman;serif" w:hAnsi="Times New Roman;serif"/>
          <w:b w:val="false"/>
          <w:sz w:val="16"/>
        </w:rPr>
        <w:t>million, respectively. For the same periods in the prior year, purchases of investments, including PIK interest, totaled $105.1</w:t>
      </w:r>
      <w:r>
        <w:rPr>
          <w:rFonts w:ascii="Times New Roman" w:hAnsi="Times New Roman"/>
          <w:sz w:val="20"/>
        </w:rPr>
        <w:t xml:space="preserve"> </w:t>
      </w:r>
      <w:r>
        <w:rPr>
          <w:rFonts w:ascii="Times New Roman;serif" w:hAnsi="Times New Roman;serif"/>
          <w:b w:val="false"/>
          <w:sz w:val="16"/>
        </w:rPr>
        <w:t>million and $554.3</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respectively. For the three and nine months ended June 30, 2023 sales and repayments of investments totaled</w:t>
      </w:r>
      <w:r>
        <w:rPr>
          <w:rFonts w:ascii="Times New Roman" w:hAnsi="Times New Roman"/>
          <w:sz w:val="20"/>
        </w:rPr>
        <w:t xml:space="preserve"> </w:t>
      </w:r>
      <w:r>
        <w:rPr>
          <w:rFonts w:ascii="Times New Roman;serif" w:hAnsi="Times New Roman;serif"/>
          <w:b w:val="false"/>
          <w:sz w:val="16"/>
        </w:rPr>
        <w:t>$132.4</w:t>
      </w:r>
      <w:r>
        <w:rPr>
          <w:rFonts w:ascii="Times New Roman" w:hAnsi="Times New Roman"/>
          <w:sz w:val="20"/>
        </w:rPr>
        <w:t xml:space="preserve"> </w:t>
      </w:r>
      <w:r>
        <w:rPr>
          <w:rFonts w:ascii="Times New Roman;serif" w:hAnsi="Times New Roman;serif"/>
          <w:b w:val="false"/>
          <w:sz w:val="16"/>
        </w:rPr>
        <w:t>million and $258.1</w:t>
      </w:r>
      <w:r>
        <w:rPr>
          <w:rFonts w:ascii="Times New Roman" w:hAnsi="Times New Roman"/>
          <w:sz w:val="20"/>
        </w:rPr>
        <w:t xml:space="preserve"> </w:t>
      </w:r>
      <w:r>
        <w:rPr>
          <w:rFonts w:ascii="Times New Roman;serif" w:hAnsi="Times New Roman;serif"/>
          <w:b w:val="false"/>
          <w:sz w:val="16"/>
        </w:rPr>
        <w:t>million, respectively. For the same periods in the prior year, sales and repayments of investments totaled $55.0</w:t>
      </w:r>
      <w:r>
        <w:rPr>
          <w:rFonts w:ascii="Times New Roman" w:hAnsi="Times New Roman"/>
          <w:sz w:val="20"/>
        </w:rPr>
        <w:t xml:space="preserve"> </w:t>
      </w:r>
      <w:r>
        <w:rPr>
          <w:rFonts w:ascii="Times New Roman;serif" w:hAnsi="Times New Roman;serif"/>
          <w:b w:val="false"/>
          <w:sz w:val="16"/>
        </w:rPr>
        <w:t>million and $397.2</w:t>
      </w:r>
      <w:r>
        <w:rPr>
          <w:rFonts w:ascii="Times New Roman" w:hAnsi="Times New Roman"/>
          <w:sz w:val="20"/>
        </w:rPr>
        <w:t xml:space="preserve"> </w:t>
      </w:r>
      <w:r>
        <w:rPr>
          <w:rFonts w:ascii="Times New Roman;serif" w:hAnsi="Times New Roman;serif"/>
          <w:b w:val="false"/>
          <w:sz w:val="16"/>
        </w:rPr>
        <w:t>million, respectively.</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160" w:after="0"/>
        <w:ind w:left="0" w:right="0" w:firstLine="432"/>
        <w:jc w:val="both"/>
        <w:rPr>
          <w:rFonts w:ascii="Times New Roman;serif" w:hAnsi="Times New Roman;serif"/>
          <w:b w:val="false"/>
          <w:sz w:val="16"/>
        </w:rPr>
      </w:pPr>
      <w:r>
        <w:rPr>
          <w:rFonts w:ascii="Times New Roman;serif" w:hAnsi="Times New Roman;serif"/>
          <w:b w:val="false"/>
          <w:sz w:val="16"/>
        </w:rPr>
        <w:t>Investments and cash and cash equivalents consisted of the following:</w:t>
      </w:r>
    </w:p>
    <w:p>
      <w:pPr>
        <w:pStyle w:val="TextBody"/>
        <w:bidi w:val="0"/>
        <w:spacing w:before="0" w:after="0"/>
        <w:ind w:left="0" w:right="0" w:firstLine="432"/>
        <w:jc w:val="left"/>
        <w:rPr/>
      </w:pPr>
      <w:r>
        <w:rPr/>
        <w:t> </w:t>
      </w:r>
    </w:p>
    <w:tbl>
      <w:tblPr>
        <w:tblW w:w="8752" w:type="dxa"/>
        <w:jc w:val="left"/>
        <w:tblInd w:w="0" w:type="dxa"/>
        <w:tblLayout w:type="fixed"/>
        <w:tblCellMar>
          <w:top w:w="28" w:type="dxa"/>
          <w:left w:w="28" w:type="dxa"/>
          <w:bottom w:w="28" w:type="dxa"/>
          <w:right w:w="28" w:type="dxa"/>
        </w:tblCellMar>
      </w:tblPr>
      <w:tblGrid>
        <w:gridCol w:w="3451"/>
        <w:gridCol w:w="146"/>
        <w:gridCol w:w="196"/>
        <w:gridCol w:w="826"/>
        <w:gridCol w:w="146"/>
        <w:gridCol w:w="146"/>
        <w:gridCol w:w="196"/>
        <w:gridCol w:w="826"/>
        <w:gridCol w:w="146"/>
        <w:gridCol w:w="146"/>
        <w:gridCol w:w="196"/>
        <w:gridCol w:w="826"/>
        <w:gridCol w:w="146"/>
        <w:gridCol w:w="146"/>
        <w:gridCol w:w="196"/>
        <w:gridCol w:w="82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 in thousands)</w:t>
            </w:r>
          </w:p>
        </w:tc>
        <w:tc>
          <w:tcPr>
            <w:tcW w:w="146" w:type="dxa"/>
            <w:tcBorders/>
            <w:vAlign w:val="center"/>
          </w:tcPr>
          <w:p>
            <w:pPr>
              <w:pStyle w:val="TableContents"/>
              <w:bidi w:val="0"/>
              <w:spacing w:before="0" w:after="0"/>
              <w:ind w:left="0" w:right="0" w:hanging="0"/>
              <w:jc w:val="left"/>
              <w:rPr/>
            </w:pPr>
            <w:r>
              <w:rPr/>
              <w:t> </w:t>
            </w:r>
          </w:p>
        </w:tc>
        <w:tc>
          <w:tcPr>
            <w:tcW w:w="23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758,292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740,156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838,842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819,461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in PSSL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210,088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190,181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105,031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 interests in PSSL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47,941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81,506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49,434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1,140,434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1,105,265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1,177,357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1,164,254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59,092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59,092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47,917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 and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1,199,526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1,164,357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1,225,274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1,212,134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The table below describes investments by industry classification and enumerates the percentage, by fair value, of the total portfolio assets (excluding cash and cash equivalents) in such industries:</w:t>
      </w:r>
    </w:p>
    <w:p>
      <w:pPr>
        <w:pStyle w:val="TextBody"/>
        <w:bidi w:val="0"/>
        <w:spacing w:before="0" w:after="0"/>
        <w:ind w:left="0" w:right="0" w:firstLine="490"/>
        <w:jc w:val="left"/>
        <w:rPr/>
      </w:pPr>
      <w:r>
        <w:rPr/>
        <w:t> </w:t>
      </w:r>
    </w:p>
    <w:tbl>
      <w:tblPr>
        <w:tblW w:w="7710" w:type="dxa"/>
        <w:jc w:val="left"/>
        <w:tblInd w:w="0" w:type="dxa"/>
        <w:tblLayout w:type="fixed"/>
        <w:tblCellMar>
          <w:top w:w="28" w:type="dxa"/>
          <w:left w:w="28" w:type="dxa"/>
          <w:bottom w:w="28" w:type="dxa"/>
          <w:right w:w="28" w:type="dxa"/>
        </w:tblCellMar>
      </w:tblPr>
      <w:tblGrid>
        <w:gridCol w:w="3796"/>
        <w:gridCol w:w="146"/>
        <w:gridCol w:w="361"/>
        <w:gridCol w:w="929"/>
        <w:gridCol w:w="241"/>
        <w:gridCol w:w="241"/>
        <w:gridCol w:w="477"/>
        <w:gridCol w:w="1233"/>
        <w:gridCol w:w="28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Industry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June 30, 2023 </w:t>
            </w:r>
            <w:r>
              <w:rPr>
                <w:rFonts w:ascii="Times New Roman;serif" w:hAnsi="Times New Roman;serif"/>
                <w:b/>
                <w:sz w:val="11"/>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pPr>
            <w:r>
              <w:rPr/>
              <w:t> </w:t>
            </w:r>
          </w:p>
        </w:tc>
        <w:tc>
          <w:tcPr>
            <w:tcW w:w="17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September 30, 2022 </w:t>
            </w:r>
            <w:r>
              <w:rPr>
                <w:rFonts w:ascii="Times New Roman;serif" w:hAnsi="Times New Roman;serif"/>
                <w:b/>
                <w:sz w:val="11"/>
              </w:rPr>
              <w:t>(1)</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Media</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Personal Products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Professional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IT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Aerospace and Defense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High Tech Industries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Capital Equipment</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Technology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Construction and Building</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Insurance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Distributors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Business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Automobiles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Energy Equipment and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Leisure Products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Construction &amp; Engineering</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Air Freight and Logistics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Food Products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Wholesale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Media: Broadcasting and Subscription</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Building Products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86"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All Other</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center"/>
              <w:rPr/>
            </w:pPr>
            <w:r>
              <w:rPr/>
              <w:t> </w:t>
            </w:r>
          </w:p>
        </w:tc>
        <w:tc>
          <w:tcPr>
            <w:tcW w:w="4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41" w:type="dxa"/>
            <w:tcBorders/>
            <w:vAlign w:val="center"/>
          </w:tcPr>
          <w:p>
            <w:pPr>
              <w:pStyle w:val="TableContents"/>
              <w:bidi w:val="0"/>
              <w:spacing w:before="0" w:after="0"/>
              <w:ind w:left="0" w:right="0" w:hanging="0"/>
              <w:jc w:val="center"/>
              <w:rPr/>
            </w:pPr>
            <w:r>
              <w:rPr/>
              <w:t> </w:t>
            </w:r>
          </w:p>
        </w:tc>
        <w:tc>
          <w:tcPr>
            <w:tcW w:w="4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pBdr>
          <w:bottom w:val="single" w:sz="4" w:space="1" w:color="000000"/>
        </w:pBdr>
        <w:bidi w:val="0"/>
        <w:spacing w:before="0" w:after="0"/>
        <w:ind w:left="0" w:right="8200" w:hanging="0"/>
        <w:jc w:val="left"/>
        <w:rPr/>
      </w:pPr>
      <w:r>
        <w:rPr/>
        <w:t> </w:t>
      </w:r>
    </w:p>
    <w:p>
      <w:pPr>
        <w:pStyle w:val="TextBody"/>
        <w:bidi w:val="0"/>
        <w:spacing w:before="40" w:after="0"/>
        <w:ind w:left="0" w:right="0" w:hanging="0"/>
        <w:jc w:val="left"/>
        <w:rPr>
          <w:rFonts w:ascii="Times New Roman" w:hAnsi="Times New Roman"/>
          <w:b w:val="false"/>
          <w:sz w:val="16"/>
        </w:rPr>
      </w:pPr>
      <w:r>
        <w:rPr>
          <w:rFonts w:ascii="Times New Roman" w:hAnsi="Times New Roman"/>
          <w:b w:val="false"/>
          <w:sz w:val="16"/>
        </w:rPr>
        <w:t>(1)</w:t>
      </w:r>
    </w:p>
    <w:p>
      <w:pPr>
        <w:pStyle w:val="TextBody"/>
        <w:bidi w:val="0"/>
        <w:spacing w:before="40" w:after="283"/>
        <w:jc w:val="left"/>
        <w:rPr>
          <w:rFonts w:ascii="Times New Roman;serif" w:hAnsi="Times New Roman;serif"/>
          <w:b w:val="false"/>
          <w:sz w:val="16"/>
        </w:rPr>
      </w:pPr>
      <w:r>
        <w:rPr>
          <w:rFonts w:ascii="Times New Roman;serif" w:hAnsi="Times New Roman;serif"/>
          <w:b w:val="false"/>
          <w:sz w:val="16"/>
        </w:rPr>
        <w:t>Excludes investments in PSSL.</w:t>
      </w:r>
    </w:p>
    <w:p>
      <w:pPr>
        <w:pStyle w:val="TextBody"/>
        <w:pBdr/>
        <w:bidi w:val="0"/>
        <w:spacing w:before="0" w:after="0"/>
        <w:ind w:left="0" w:right="0" w:hanging="360"/>
        <w:jc w:val="left"/>
        <w:rPr/>
      </w:pPr>
      <w:r>
        <w:rPr/>
        <w:t> </w:t>
      </w:r>
    </w:p>
    <w:p>
      <w:pPr>
        <w:pStyle w:val="TextBody"/>
        <w:pBdr/>
        <w:bidi w:val="0"/>
        <w:spacing w:before="0" w:after="0"/>
        <w:ind w:left="0" w:right="0" w:hanging="360"/>
        <w:jc w:val="left"/>
        <w:rPr>
          <w:rFonts w:ascii="Times New Roman" w:hAnsi="Times New Roman"/>
          <w:sz w:val="20"/>
        </w:rPr>
      </w:pPr>
      <w:r>
        <w:rPr>
          <w:rFonts w:ascii="Times New Roman;serif" w:hAnsi="Times New Roman;serif"/>
          <w:b/>
          <w:sz w:val="16"/>
        </w:rPr>
        <w:t>PennantPark Senior Secured Loan Fund I LLC</w:t>
      </w:r>
      <w:r>
        <w:rPr>
          <w:rFonts w:ascii="Times New Roman" w:hAnsi="Times New Roman"/>
          <w:sz w:val="20"/>
        </w:rPr>
        <w:t xml:space="preserve"> </w:t>
      </w:r>
    </w:p>
    <w:p>
      <w:pPr>
        <w:pStyle w:val="TextBody"/>
        <w:pBdr/>
        <w:bidi w:val="0"/>
        <w:spacing w:before="0" w:after="0"/>
        <w:ind w:left="0" w:right="0" w:hanging="36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May 2017, we and Kemper formed PSSL, an unconsolidated joint venture. PSSL invests primarily in middle-market and other corporate debt securities consistent with our strategy. PSSL was formed as a Delaware limited liability company. As of June 30, 2023 and September 30, 2022, PSSL had total assets of $848.4</w:t>
      </w:r>
      <w:r>
        <w:rPr>
          <w:rFonts w:ascii="Times New Roman" w:hAnsi="Times New Roman"/>
          <w:sz w:val="20"/>
        </w:rPr>
        <w:t xml:space="preserve"> </w:t>
      </w:r>
      <w:r>
        <w:rPr>
          <w:rFonts w:ascii="Times New Roman;serif" w:hAnsi="Times New Roman;serif"/>
          <w:b w:val="false"/>
          <w:sz w:val="16"/>
        </w:rPr>
        <w:t>million and $796.8</w:t>
      </w:r>
      <w:r>
        <w:rPr>
          <w:rFonts w:ascii="Times New Roman" w:hAnsi="Times New Roman"/>
          <w:sz w:val="20"/>
        </w:rPr>
        <w:t xml:space="preserve"> </w:t>
      </w:r>
      <w:r>
        <w:rPr>
          <w:rFonts w:ascii="Times New Roman;serif" w:hAnsi="Times New Roman;serif"/>
          <w:b w:val="false"/>
          <w:sz w:val="16"/>
        </w:rPr>
        <w:t>million, respectively, and its investment portfolio consisted of debt investments in 105</w:t>
      </w:r>
      <w:r>
        <w:rPr>
          <w:rFonts w:ascii="Times New Roman" w:hAnsi="Times New Roman"/>
          <w:sz w:val="20"/>
        </w:rPr>
        <w:t xml:space="preserve"> </w:t>
      </w:r>
      <w:r>
        <w:rPr>
          <w:rFonts w:ascii="Times New Roman;serif" w:hAnsi="Times New Roman;serif"/>
          <w:b w:val="false"/>
          <w:sz w:val="16"/>
        </w:rPr>
        <w:t>and 95</w:t>
      </w:r>
      <w:r>
        <w:rPr>
          <w:rFonts w:ascii="Times New Roman" w:hAnsi="Times New Roman"/>
          <w:sz w:val="20"/>
        </w:rPr>
        <w:t xml:space="preserve"> </w:t>
      </w:r>
      <w:r>
        <w:rPr>
          <w:rFonts w:ascii="Times New Roman;serif" w:hAnsi="Times New Roman;serif"/>
          <w:b w:val="false"/>
          <w:sz w:val="16"/>
        </w:rPr>
        <w:t>portfolio companies, respectively. As of June 30, 2023, at fair value, the largest investment in a single portfolio company in PSSL was $17.7</w:t>
      </w:r>
      <w:r>
        <w:rPr>
          <w:rFonts w:ascii="Times New Roman" w:hAnsi="Times New Roman"/>
          <w:sz w:val="20"/>
        </w:rPr>
        <w:t xml:space="preserve"> </w:t>
      </w:r>
      <w:r>
        <w:rPr>
          <w:rFonts w:ascii="Times New Roman;serif" w:hAnsi="Times New Roman;serif"/>
          <w:b w:val="false"/>
          <w:sz w:val="16"/>
        </w:rPr>
        <w:t>million and the five largest investments totaled $83.7</w:t>
      </w:r>
      <w:r>
        <w:rPr>
          <w:rFonts w:ascii="Times New Roman" w:hAnsi="Times New Roman"/>
          <w:sz w:val="20"/>
        </w:rPr>
        <w:t xml:space="preserve"> </w:t>
      </w:r>
      <w:r>
        <w:rPr>
          <w:rFonts w:ascii="Times New Roman;serif" w:hAnsi="Times New Roman;serif"/>
          <w:b w:val="false"/>
          <w:sz w:val="16"/>
        </w:rPr>
        <w:t>million. As of September 30, 2022, at fair value, the largest investment in a single portfolio company in PSSL was $19.3</w:t>
      </w:r>
      <w:r>
        <w:rPr>
          <w:rFonts w:ascii="Times New Roman" w:hAnsi="Times New Roman"/>
          <w:sz w:val="20"/>
        </w:rPr>
        <w:t xml:space="preserve"> </w:t>
      </w:r>
      <w:r>
        <w:rPr>
          <w:rFonts w:ascii="Times New Roman;serif" w:hAnsi="Times New Roman;serif"/>
          <w:b w:val="false"/>
          <w:sz w:val="16"/>
        </w:rPr>
        <w:t>million and the five largest investments totaled $86.9</w:t>
      </w:r>
      <w:r>
        <w:rPr>
          <w:rFonts w:ascii="Times New Roman" w:hAnsi="Times New Roman"/>
          <w:sz w:val="20"/>
        </w:rPr>
        <w:t xml:space="preserve"> </w:t>
      </w:r>
      <w:r>
        <w:rPr>
          <w:rFonts w:ascii="Times New Roman;serif" w:hAnsi="Times New Roman;serif"/>
          <w:b w:val="false"/>
          <w:sz w:val="16"/>
        </w:rPr>
        <w:t>million. PSSL invests in portfolio companies in the same industries in which we may directly invest.</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and Kemper provide capital to PSSL in the form of first lien secured debt and equity interests. As of June 30, 2023 and September 30, 2022, we and Kemper owned 87.5% and 12.5%, respectively, of each of the outstanding first lien secured debt and equity interests. As of the same dates, our investment in PSSL consisted of first lien secured debt of $210.1</w:t>
      </w:r>
      <w:r>
        <w:rPr>
          <w:rFonts w:ascii="Times New Roman" w:hAnsi="Times New Roman"/>
          <w:sz w:val="20"/>
        </w:rPr>
        <w:t xml:space="preserve"> </w:t>
      </w:r>
      <w:r>
        <w:rPr>
          <w:rFonts w:ascii="Times New Roman;serif" w:hAnsi="Times New Roman;serif"/>
          <w:b w:val="false"/>
          <w:sz w:val="16"/>
        </w:rPr>
        <w:t>million (zero</w:t>
      </w:r>
      <w:r>
        <w:rPr>
          <w:rFonts w:ascii="Times New Roman" w:hAnsi="Times New Roman"/>
          <w:sz w:val="20"/>
        </w:rPr>
        <w:t xml:space="preserve"> </w:t>
      </w:r>
      <w:r>
        <w:rPr>
          <w:rFonts w:ascii="Times New Roman;serif" w:hAnsi="Times New Roman;serif"/>
          <w:b w:val="false"/>
          <w:sz w:val="16"/>
        </w:rPr>
        <w:t>remaining unfunded) and $190.2</w:t>
      </w:r>
      <w:r>
        <w:rPr>
          <w:rFonts w:ascii="Times New Roman" w:hAnsi="Times New Roman"/>
          <w:sz w:val="20"/>
        </w:rPr>
        <w:t xml:space="preserve"> </w:t>
      </w:r>
      <w:r>
        <w:rPr>
          <w:rFonts w:ascii="Times New Roman;serif" w:hAnsi="Times New Roman;serif"/>
          <w:b w:val="false"/>
          <w:sz w:val="16"/>
        </w:rPr>
        <w:t>million (additional $19.9</w:t>
      </w:r>
      <w:r>
        <w:rPr>
          <w:rFonts w:ascii="Times New Roman" w:hAnsi="Times New Roman"/>
          <w:sz w:val="20"/>
        </w:rPr>
        <w:t xml:space="preserve"> </w:t>
      </w:r>
      <w:r>
        <w:rPr>
          <w:rFonts w:ascii="Times New Roman;serif" w:hAnsi="Times New Roman;serif"/>
          <w:b w:val="false"/>
          <w:sz w:val="16"/>
        </w:rPr>
        <w:t>million unfunded), respectively, and equity interests of $90.0</w:t>
      </w:r>
      <w:r>
        <w:rPr>
          <w:rFonts w:ascii="Times New Roman" w:hAnsi="Times New Roman"/>
          <w:sz w:val="20"/>
        </w:rPr>
        <w:t xml:space="preserve"> </w:t>
      </w:r>
      <w:r>
        <w:rPr>
          <w:rFonts w:ascii="Times New Roman;serif" w:hAnsi="Times New Roman;serif"/>
          <w:b w:val="false"/>
          <w:sz w:val="16"/>
        </w:rPr>
        <w:t>million (zero</w:t>
      </w:r>
      <w:r>
        <w:rPr>
          <w:rFonts w:ascii="Times New Roman" w:hAnsi="Times New Roman"/>
          <w:sz w:val="20"/>
        </w:rPr>
        <w:t xml:space="preserve"> </w:t>
      </w:r>
      <w:r>
        <w:rPr>
          <w:rFonts w:ascii="Times New Roman;serif" w:hAnsi="Times New Roman;serif"/>
          <w:b w:val="false"/>
          <w:sz w:val="16"/>
        </w:rPr>
        <w:t>remaining unfunded) and $81.5</w:t>
      </w:r>
      <w:r>
        <w:rPr>
          <w:rFonts w:ascii="Times New Roman" w:hAnsi="Times New Roman"/>
          <w:sz w:val="20"/>
        </w:rPr>
        <w:t xml:space="preserve"> </w:t>
      </w:r>
      <w:r>
        <w:rPr>
          <w:rFonts w:ascii="Times New Roman;serif" w:hAnsi="Times New Roman;serif"/>
          <w:b w:val="false"/>
          <w:sz w:val="16"/>
        </w:rPr>
        <w:t>million (additional $8.5</w:t>
      </w:r>
      <w:r>
        <w:rPr>
          <w:rFonts w:ascii="Times New Roman" w:hAnsi="Times New Roman"/>
          <w:sz w:val="20"/>
        </w:rPr>
        <w:t xml:space="preserve"> </w:t>
      </w:r>
      <w:r>
        <w:rPr>
          <w:rFonts w:ascii="Times New Roman;serif" w:hAnsi="Times New Roman;serif"/>
          <w:b w:val="false"/>
          <w:sz w:val="16"/>
        </w:rPr>
        <w:t>million unfunded),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 xml:space="preserve">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May 2022 PSSL entered into a $325.0</w:t>
      </w:r>
      <w:r>
        <w:rPr>
          <w:rFonts w:ascii="Times New Roman" w:hAnsi="Times New Roman"/>
          <w:sz w:val="20"/>
        </w:rPr>
        <w:t xml:space="preserve"> </w:t>
      </w:r>
      <w:r>
        <w:rPr>
          <w:rFonts w:ascii="Times New Roman;serif" w:hAnsi="Times New Roman;serif"/>
          <w:b w:val="false"/>
          <w:sz w:val="16"/>
        </w:rPr>
        <w:t>million (increased from $225.0</w:t>
      </w:r>
      <w:r>
        <w:rPr>
          <w:rFonts w:ascii="Times New Roman" w:hAnsi="Times New Roman"/>
          <w:sz w:val="20"/>
        </w:rPr>
        <w:t xml:space="preserve"> </w:t>
      </w:r>
      <w:r>
        <w:rPr>
          <w:rFonts w:ascii="Times New Roman;serif" w:hAnsi="Times New Roman;serif"/>
          <w:b w:val="false"/>
          <w:sz w:val="16"/>
        </w:rPr>
        <w:t>million in May 2022) senior secured revolving credit facility which bears interest at daily simple SOFR plus 260</w:t>
      </w:r>
      <w:r>
        <w:rPr>
          <w:rFonts w:ascii="Times New Roman;serif" w:hAnsi="Times New Roman;serif"/>
          <w:sz w:val="16"/>
        </w:rPr>
        <w:t xml:space="preserve"> </w:t>
      </w:r>
      <w:r>
        <w:rPr>
          <w:rFonts w:ascii="Times New Roman;serif" w:hAnsi="Times New Roman;serif"/>
          <w:b w:val="false"/>
          <w:sz w:val="16"/>
        </w:rPr>
        <w:t>basis points</w:t>
      </w:r>
      <w:r>
        <w:rPr>
          <w:rFonts w:ascii="Times New Roman" w:hAnsi="Times New Roman"/>
          <w:sz w:val="20"/>
        </w:rPr>
        <w:t xml:space="preserve"> </w:t>
      </w:r>
      <w:r>
        <w:rPr>
          <w:rFonts w:ascii="Times New Roman;serif" w:hAnsi="Times New Roman;serif"/>
          <w:b w:val="false"/>
          <w:sz w:val="16"/>
        </w:rPr>
        <w:t>(including a spread adjustment) with Ally Bank through its wholly-owned subsidiary, PennantPark Senior Secured Loan Facility LLC II, or PSSL Subsidiary II, subject to leverage and borrowing base restrictions.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January 2021, PSSL completed a $300.7</w:t>
      </w:r>
      <w:r>
        <w:rPr>
          <w:rFonts w:ascii="Times New Roman" w:hAnsi="Times New Roman"/>
          <w:sz w:val="20"/>
        </w:rPr>
        <w:t xml:space="preserve"> </w:t>
      </w:r>
      <w:r>
        <w:rPr>
          <w:rFonts w:ascii="Times New Roman;serif" w:hAnsi="Times New Roman;serif"/>
          <w:b w:val="false"/>
          <w:sz w:val="16"/>
        </w:rPr>
        <w:t>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April 2023, PSSL completed a $297.8</w:t>
      </w:r>
      <w:r>
        <w:rPr>
          <w:rFonts w:ascii="Times New Roman" w:hAnsi="Times New Roman"/>
          <w:sz w:val="20"/>
        </w:rPr>
        <w:t xml:space="preserve"> </w:t>
      </w:r>
      <w:r>
        <w:rPr>
          <w:rFonts w:ascii="Times New Roman;serif" w:hAnsi="Times New Roman;serif"/>
          <w:b w:val="false"/>
          <w:sz w:val="16"/>
        </w:rPr>
        <w:t>million debt securitization in the form of a collateralized loan obligation, or the “2035 Asset-Backed Debt”. The 2035 Asset-Backed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Subordinated Notes CLO VI, LLC</w:t>
      </w:r>
    </w:p>
    <w:p>
      <w:pPr>
        <w:pStyle w:val="TextBody"/>
        <w:bidi w:val="0"/>
        <w:spacing w:before="0" w:after="0"/>
        <w:ind w:left="0" w:right="0" w:firstLine="432"/>
        <w:jc w:val="both"/>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is a summary of PSSL’s portfolio at fair value:</w:t>
      </w:r>
    </w:p>
    <w:p>
      <w:pPr>
        <w:pStyle w:val="TextBody"/>
        <w:bidi w:val="0"/>
        <w:spacing w:before="0" w:after="0"/>
        <w:ind w:left="0" w:right="0" w:firstLine="432"/>
        <w:jc w:val="left"/>
        <w:rPr/>
      </w:pPr>
      <w:r>
        <w:rPr/>
        <w:t> </w:t>
      </w:r>
    </w:p>
    <w:tbl>
      <w:tblPr>
        <w:tblW w:w="7960" w:type="dxa"/>
        <w:jc w:val="left"/>
        <w:tblInd w:w="0" w:type="dxa"/>
        <w:tblLayout w:type="fixed"/>
        <w:tblCellMar>
          <w:top w:w="28" w:type="dxa"/>
          <w:left w:w="28" w:type="dxa"/>
          <w:bottom w:w="28" w:type="dxa"/>
          <w:right w:w="28" w:type="dxa"/>
        </w:tblCellMar>
      </w:tblPr>
      <w:tblGrid>
        <w:gridCol w:w="4471"/>
        <w:gridCol w:w="146"/>
        <w:gridCol w:w="248"/>
        <w:gridCol w:w="877"/>
        <w:gridCol w:w="241"/>
        <w:gridCol w:w="146"/>
        <w:gridCol w:w="341"/>
        <w:gridCol w:w="1204"/>
        <w:gridCol w:w="28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thousands)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805,217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754,722</w:t>
            </w:r>
          </w:p>
        </w:tc>
        <w:tc>
          <w:tcPr>
            <w:tcW w:w="286" w:type="dxa"/>
            <w:tcBorders/>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cost yield on income producing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Number of portfolio companies in PSSL</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286" w:type="dxa"/>
            <w:tcBorders/>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Largest portfolio company investment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17,697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19,250</w:t>
            </w:r>
          </w:p>
        </w:tc>
        <w:tc>
          <w:tcPr>
            <w:tcW w:w="286" w:type="dxa"/>
            <w:tcBorders/>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of five largest portfolio company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83,746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86,872</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is a listing of PSSL’s individual investments as of June 30, 2023 (Par and $ in thousands):</w:t>
      </w:r>
    </w:p>
    <w:p>
      <w:pPr>
        <w:pStyle w:val="TextBody"/>
        <w:bidi w:val="0"/>
        <w:spacing w:before="0" w:after="0"/>
        <w:ind w:left="0" w:right="0" w:firstLine="432"/>
        <w:jc w:val="left"/>
        <w:rPr/>
      </w:pPr>
      <w:r>
        <w:rPr/>
        <w:t> </w:t>
      </w:r>
    </w:p>
    <w:tbl>
      <w:tblPr>
        <w:tblW w:w="10205" w:type="dxa"/>
        <w:jc w:val="left"/>
        <w:tblInd w:w="0" w:type="dxa"/>
        <w:tblLayout w:type="fixed"/>
        <w:tblCellMar>
          <w:top w:w="28" w:type="dxa"/>
          <w:left w:w="28" w:type="dxa"/>
          <w:bottom w:w="28" w:type="dxa"/>
          <w:right w:w="28" w:type="dxa"/>
        </w:tblCellMar>
      </w:tblPr>
      <w:tblGrid>
        <w:gridCol w:w="2621"/>
        <w:gridCol w:w="146"/>
        <w:gridCol w:w="622"/>
        <w:gridCol w:w="146"/>
        <w:gridCol w:w="1979"/>
        <w:gridCol w:w="146"/>
        <w:gridCol w:w="183"/>
        <w:gridCol w:w="474"/>
        <w:gridCol w:w="211"/>
        <w:gridCol w:w="146"/>
        <w:gridCol w:w="684"/>
        <w:gridCol w:w="146"/>
        <w:gridCol w:w="166"/>
        <w:gridCol w:w="436"/>
        <w:gridCol w:w="146"/>
        <w:gridCol w:w="146"/>
        <w:gridCol w:w="166"/>
        <w:gridCol w:w="436"/>
        <w:gridCol w:w="146"/>
        <w:gridCol w:w="146"/>
        <w:gridCol w:w="198"/>
        <w:gridCol w:w="520"/>
        <w:gridCol w:w="195"/>
      </w:tblGrid>
      <w:tr>
        <w:trPr/>
        <w:tc>
          <w:tcPr>
            <w:tcW w:w="2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- 1,464.6%</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8"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12,370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7/24/2025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&amp; Publishing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4,945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Holdings Inc (fka MeritDirect) March 2023 Lot</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&amp; Publishing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7/21/2027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2,176</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9,221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3/7/2028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8,865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9/17/2024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14,792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9/26/2029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Automotive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5/16/2024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13,728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Cadence Aerospace,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2.00%)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8"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6/14/2028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9,612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6,769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4/10/2025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Challenger Performance Optimization,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8"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7/13/2027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3,672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14,602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Electro Rent Corporation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3/15/2027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ETE Intermediate II, LLC - Term Loan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5/29/2029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6/17/2028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13,909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3/16/2026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8/10/2027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4,876</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12/7/2023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16,371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SOFR+685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6,106</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Integrative Nutrition,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8/27/2025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3,851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17,697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2/18/2027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14,033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14,971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2/3/2026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11,905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1/31/2030</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Industries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SOFR+665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Loving Tan Intermediate II,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5/28/2028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Lucky Bucks, LLC </w:t>
            </w:r>
            <w:r>
              <w:rPr>
                <w:rFonts w:ascii="Times New Roman;serif" w:hAnsi="Times New Roman;serif"/>
                <w:b w:val="false"/>
                <w:sz w:val="8"/>
              </w:rPr>
              <w:t>(4)</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7/20/2027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 Gaming and Leisure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 - OpCo DIP Loans</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10/20/2023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 Gaming and Leisure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SOFR+1000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 - Super Priority First Lien Term Loan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 - Super Priority First Lien Unfunded Term Loan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4/16/2027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7/25/2028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6,260</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90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54"/>
        <w:gridCol w:w="146"/>
        <w:gridCol w:w="181"/>
        <w:gridCol w:w="433"/>
        <w:gridCol w:w="146"/>
        <w:gridCol w:w="146"/>
        <w:gridCol w:w="1791"/>
        <w:gridCol w:w="146"/>
        <w:gridCol w:w="177"/>
        <w:gridCol w:w="459"/>
        <w:gridCol w:w="211"/>
        <w:gridCol w:w="146"/>
        <w:gridCol w:w="170"/>
        <w:gridCol w:w="406"/>
        <w:gridCol w:w="146"/>
        <w:gridCol w:w="146"/>
        <w:gridCol w:w="166"/>
        <w:gridCol w:w="436"/>
        <w:gridCol w:w="146"/>
        <w:gridCol w:w="146"/>
        <w:gridCol w:w="166"/>
        <w:gridCol w:w="496"/>
        <w:gridCol w:w="146"/>
        <w:gridCol w:w="146"/>
        <w:gridCol w:w="175"/>
        <w:gridCol w:w="574"/>
        <w:gridCol w:w="204"/>
      </w:tblGrid>
      <w:tr>
        <w:trPr/>
        <w:tc>
          <w:tcPr>
            <w:tcW w:w="2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Mission Critical Electronics,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3/28/2024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9/28/2027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&amp; Childcare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10,631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 - Term Loan</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5/9/2029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Milani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15,895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Acquisitions,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Output Services Group, Inc. </w:t>
            </w:r>
            <w:r>
              <w:rPr>
                <w:rFonts w:ascii="Times New Roman;serif" w:hAnsi="Times New Roman;serif"/>
                <w:b w:val="false"/>
                <w:sz w:val="8"/>
              </w:rPr>
              <w:t>(4)</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Peaquod Merger Sub,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PH Beauty Holdings III,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7,638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6,824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5/8/2026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7/6/2028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2/28/2028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4,692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9,475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5,133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0.50%)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6/13/2029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4,011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9,030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Summit Behavioral Healthcare,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14,494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Team Services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14,385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 (New Issue)</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13,555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16,774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6/15/2026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SOFR+635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Junior Revolving Credit Facility</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Walker Edison Furniture Company LLC - DDTL - Unfunded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10,354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823,714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802,474</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Securities - 0.4%</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MPE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 Common Equity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2,437</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Securities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- 1,469.6%</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827,107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805,217</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- 69.3%</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—1,329.0%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865,050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843,161</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(1,229.0)%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(788,371</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54,790</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rFonts w:ascii="Times New Roman;serif" w:hAnsi="Times New Roman;serif"/>
          <w:b w:val="false"/>
          <w:sz w:val="4"/>
        </w:rPr>
      </w:pPr>
      <w:r>
        <w:rPr>
          <w:rFonts w:ascii="Times New Roman;serif" w:hAnsi="Times New Roman;serif"/>
          <w:b w:val="false"/>
          <w:sz w:val="4"/>
        </w:rPr>
        <w:t>cash a</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0" w:after="0"/>
        <w:jc w:val="left"/>
        <w:rPr>
          <w:rFonts w:ascii="Times New Roman;serif" w:hAnsi="Times New Roman;serif"/>
          <w:sz w:val="20"/>
        </w:rPr>
      </w:pPr>
      <w:r>
        <w:rPr>
          <w:rFonts w:ascii="Times New Roman;serif" w:hAnsi="Times New Roman;serif"/>
          <w:b w:val="false"/>
          <w:sz w:val="12"/>
        </w:rPr>
        <w:t xml:space="preserve">Represents floating rate instruments that accrue interest at a predetermined spread relative to an index, typically the applicable LIBOR or “L”, </w:t>
      </w:r>
      <w:r>
        <w:rPr>
          <w:rFonts w:ascii="Times New Roman;serif" w:hAnsi="Times New Roman;serif"/>
          <w:b w:val="false"/>
          <w:sz w:val="13"/>
        </w:rPr>
        <w:t xml:space="preserve">Secured Overnight Financing Rate or "SOFR", </w:t>
      </w:r>
      <w:r>
        <w:rPr>
          <w:rFonts w:ascii="Times New Roman;serif" w:hAnsi="Times New Roman;serif"/>
          <w:b w:val="false"/>
          <w:sz w:val="12"/>
        </w:rPr>
        <w:t>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arpennante subject to a LIBOR or Prime rate floor where a spread is provided, unless noted. The spread provided includes PIK interest and other fee rates, if any.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Valued based on PSSL’s accounting policy.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(3)</w:t>
      </w:r>
    </w:p>
    <w:p>
      <w:pPr>
        <w:pStyle w:val="TextBody"/>
        <w:bidi w:val="0"/>
        <w:jc w:val="left"/>
        <w:rPr>
          <w:rFonts w:ascii="Times New Roman;serif" w:hAnsi="Times New Roman;serif"/>
          <w:sz w:val="20"/>
        </w:rPr>
      </w:pPr>
      <w:r>
        <w:rPr>
          <w:rFonts w:ascii="Times New Roman;serif" w:hAnsi="Times New Roman;serif"/>
          <w:b w:val="false"/>
          <w:sz w:val="12"/>
        </w:rPr>
        <w:t>Represents the purchase of a security with delayed settlement or a revolving line of credit that is currently an unfunded investment. This security does not earn a basis point spread above an index while it is unfunded.</w:t>
      </w:r>
      <w:r>
        <w:rPr>
          <w:rFonts w:ascii="Times New Roman;serif" w:hAnsi="Times New Roman;serif"/>
          <w:sz w:val="20"/>
        </w:rPr>
        <w:t xml:space="preserve"> </w:t>
      </w:r>
    </w:p>
    <w:p>
      <w:pPr>
        <w:pStyle w:val="TextBody"/>
        <w:bidi w:val="0"/>
        <w:spacing w:before="0" w:after="0"/>
        <w:ind w:left="0" w:right="0" w:hanging="0"/>
        <w:jc w:val="left"/>
        <w:rPr/>
      </w:pPr>
      <w:r>
        <w:rPr/>
        <w:t> </w:t>
      </w:r>
    </w:p>
    <w:p>
      <w:pPr>
        <w:pStyle w:val="TextBody"/>
        <w:bidi w:val="0"/>
        <w:spacing w:before="0" w:after="0"/>
        <w:ind w:left="0" w:right="8194"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is a listing of PSSL’s individual investments as of September 30, 2022 (Par and $ in thousands)</w:t>
      </w:r>
    </w:p>
    <w:tbl>
      <w:tblPr>
        <w:tblW w:w="10205" w:type="dxa"/>
        <w:jc w:val="left"/>
        <w:tblInd w:w="0" w:type="dxa"/>
        <w:tblLayout w:type="fixed"/>
        <w:tblCellMar>
          <w:top w:w="28" w:type="dxa"/>
          <w:left w:w="28" w:type="dxa"/>
          <w:bottom w:w="28" w:type="dxa"/>
          <w:right w:w="28" w:type="dxa"/>
        </w:tblCellMar>
      </w:tblPr>
      <w:tblGrid>
        <w:gridCol w:w="2666"/>
        <w:gridCol w:w="146"/>
        <w:gridCol w:w="621"/>
        <w:gridCol w:w="146"/>
        <w:gridCol w:w="1909"/>
        <w:gridCol w:w="146"/>
        <w:gridCol w:w="193"/>
        <w:gridCol w:w="498"/>
        <w:gridCol w:w="211"/>
        <w:gridCol w:w="146"/>
        <w:gridCol w:w="679"/>
        <w:gridCol w:w="146"/>
        <w:gridCol w:w="166"/>
        <w:gridCol w:w="436"/>
        <w:gridCol w:w="146"/>
        <w:gridCol w:w="146"/>
        <w:gridCol w:w="166"/>
        <w:gridCol w:w="436"/>
        <w:gridCol w:w="146"/>
        <w:gridCol w:w="146"/>
        <w:gridCol w:w="197"/>
        <w:gridCol w:w="519"/>
        <w:gridCol w:w="194"/>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- 1,330.4%</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6" w:type="dxa"/>
            <w:gridSpan w:val="2"/>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5/6/2026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7/24/2025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5,042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&amp; Publishing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7/21/2027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8,211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3/7/2028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4,583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7/1/2029</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9/17/2024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14,956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5/16/2024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L+662</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Cadence Aerospace,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L+325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12,288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11.31%)</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5/13/2028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4/10/2025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Challenger Performance Optimization,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8,993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7/13/2027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Products and Packaging Company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Sewer Intermediate,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14,693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4,738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3/15/2027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6/17/2028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9,528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3/16/2026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9,502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12/7/2023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Integrative Nutrition,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8/27/2025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5,906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16,494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2/18/2027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14,068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10,335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2.00%)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2/3/2026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 Gaming and Leisure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2,425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 - Super Priority First Lien Term Loan</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Marketplace Events, LLC - Super Priority First Lien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4/16/2027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7/25/2028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Mission Critical Electronics,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3/28/2024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9/28/2027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&amp; Childcare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Milani Group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6/6/2024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OIS Management Services,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14,160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Output Services Group,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3/27/2024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4,827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PH Beauty Holdings III,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7,674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Plant Health Intermediate,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5/8/2026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2,309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7/6/2028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2/28/2028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11,291</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8200" w:hanging="0"/>
        <w:jc w:val="left"/>
        <w:rPr/>
      </w:pPr>
      <w:r>
        <w:rPr/>
        <w:t> </w:t>
      </w:r>
    </w:p>
    <w:p>
      <w:pPr>
        <w:pStyle w:val="TextBody"/>
        <w:bidi w:val="0"/>
        <w:spacing w:before="0" w:after="0"/>
        <w:ind w:left="0" w:right="8200" w:hanging="0"/>
        <w:jc w:val="left"/>
        <w:rPr/>
      </w:pPr>
      <w:r>
        <w:rPr/>
        <w:t> </w:t>
      </w:r>
    </w:p>
    <w:p>
      <w:pPr>
        <w:pStyle w:val="TextBody"/>
        <w:pBdr>
          <w:bottom w:val="single" w:sz="4" w:space="1" w:color="000000"/>
        </w:pBdr>
        <w:bidi w:val="0"/>
        <w:spacing w:before="0" w:after="0"/>
        <w:ind w:left="0" w:right="82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54"/>
        <w:gridCol w:w="146"/>
        <w:gridCol w:w="181"/>
        <w:gridCol w:w="433"/>
        <w:gridCol w:w="146"/>
        <w:gridCol w:w="146"/>
        <w:gridCol w:w="1791"/>
        <w:gridCol w:w="146"/>
        <w:gridCol w:w="177"/>
        <w:gridCol w:w="459"/>
        <w:gridCol w:w="211"/>
        <w:gridCol w:w="146"/>
        <w:gridCol w:w="170"/>
        <w:gridCol w:w="406"/>
        <w:gridCol w:w="146"/>
        <w:gridCol w:w="146"/>
        <w:gridCol w:w="166"/>
        <w:gridCol w:w="436"/>
        <w:gridCol w:w="146"/>
        <w:gridCol w:w="146"/>
        <w:gridCol w:w="166"/>
        <w:gridCol w:w="496"/>
        <w:gridCol w:w="146"/>
        <w:gridCol w:w="146"/>
        <w:gridCol w:w="175"/>
        <w:gridCol w:w="574"/>
        <w:gridCol w:w="204"/>
      </w:tblGrid>
      <w:tr>
        <w:trPr/>
        <w:tc>
          <w:tcPr>
            <w:tcW w:w="2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11,551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0.50%)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8,985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14,649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5,603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Infosoft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Broadcasting and Subscription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12,859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8,482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14,578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5,441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 (New Issue)</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14,446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17,129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 Housewares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3.0%)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8,261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767,316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751,628</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 - 5.2%</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Securities - 0.3%</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MPE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Securities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- 1,335.9%</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770,280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754,722</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- 59.7%</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33,705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33,705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—1,395.6%</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804,005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788,427</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(1,295.6)%</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(731,931</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56,496</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8200" w:hanging="0"/>
        <w:jc w:val="left"/>
        <w:rPr/>
      </w:pPr>
      <w:r>
        <w:rPr/>
        <w:t> </w:t>
      </w:r>
    </w:p>
    <w:p>
      <w:pPr>
        <w:pStyle w:val="TextBody"/>
        <w:pBdr>
          <w:bottom w:val="single" w:sz="4" w:space="1" w:color="000000"/>
        </w:pBdr>
        <w:bidi w:val="0"/>
        <w:spacing w:before="0" w:after="0"/>
        <w:ind w:left="0" w:right="8200" w:hanging="0"/>
        <w:jc w:val="left"/>
        <w:rPr/>
      </w:pPr>
      <w:r>
        <w:rPr/>
        <w:t> </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0" w:after="0"/>
        <w:jc w:val="left"/>
        <w:rPr>
          <w:rFonts w:ascii="Times New Roman;serif" w:hAnsi="Times New Roman;serif"/>
          <w:sz w:val="20"/>
        </w:rPr>
      </w:pPr>
      <w:r>
        <w:rPr>
          <w:rFonts w:ascii="Times New Roman;serif" w:hAnsi="Times New Roman;serif"/>
          <w:b w:val="false"/>
          <w:sz w:val="12"/>
        </w:rPr>
        <w:t xml:space="preserve">Represents floating rate instruments that accrue interest at a predetermined spread relative to an index, typically the applicable LIBOR or “L”, </w:t>
      </w:r>
      <w:r>
        <w:rPr>
          <w:rFonts w:ascii="Times New Roman;serif" w:hAnsi="Times New Roman;serif"/>
          <w:b w:val="false"/>
          <w:sz w:val="13"/>
        </w:rPr>
        <w:t xml:space="preserve">Secured Overnight Financing Rate or "SOFR", </w:t>
      </w:r>
      <w:r>
        <w:rPr>
          <w:rFonts w:ascii="Times New Roman;serif" w:hAnsi="Times New Roman;serif"/>
          <w:b w:val="false"/>
          <w:sz w:val="12"/>
        </w:rPr>
        <w:t>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Valued based on PSSL’s accounting policy.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(3)</w:t>
      </w:r>
    </w:p>
    <w:p>
      <w:pPr>
        <w:pStyle w:val="TextBody"/>
        <w:bidi w:val="0"/>
        <w:jc w:val="left"/>
        <w:rPr>
          <w:rFonts w:ascii="Times New Roman;serif" w:hAnsi="Times New Roman;serif"/>
          <w:b w:val="false"/>
          <w:sz w:val="12"/>
        </w:rPr>
      </w:pPr>
      <w:r>
        <w:rPr>
          <w:rFonts w:ascii="Times New Roman;serif" w:hAnsi="Times New Roman;serif"/>
          <w:b w:val="false"/>
          <w:sz w:val="12"/>
        </w:rPr>
        <w:t>Represents the purchase of a security with delayed settlement or a revolving line of credit that is currently an unfunded investment. This security does not earn a basis point spread above an index while it is unfunded.</w:t>
      </w:r>
    </w:p>
    <w:p>
      <w:pPr>
        <w:pStyle w:val="TextBody"/>
        <w:bidi w:val="0"/>
        <w:spacing w:before="0" w:after="0"/>
        <w:ind w:left="0" w:right="0" w:hanging="0"/>
        <w:jc w:val="left"/>
        <w:rPr/>
      </w:pPr>
      <w:r>
        <w:rPr/>
        <w:t> </w:t>
      </w:r>
    </w:p>
    <w:p>
      <w:pPr>
        <w:pStyle w:val="TextBody"/>
        <w:pBdr/>
        <w:bidi w:val="0"/>
        <w:spacing w:before="0" w:after="0"/>
        <w:ind w:left="0" w:right="0" w:hanging="360"/>
        <w:jc w:val="left"/>
        <w:rPr/>
      </w:pPr>
      <w:r>
        <w:rPr/>
        <w:t> </w:t>
      </w:r>
    </w:p>
    <w:p>
      <w:pPr>
        <w:pStyle w:val="TextBody"/>
        <w:bidi w:val="0"/>
        <w:spacing w:before="0" w:after="0"/>
        <w:ind w:left="0" w:right="8194" w:hanging="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are the consolidated statements of assets and liabilities for PSSL ($ in thousands):</w:t>
      </w:r>
    </w:p>
    <w:tbl>
      <w:tblPr>
        <w:tblW w:w="9906" w:type="dxa"/>
        <w:jc w:val="left"/>
        <w:tblInd w:w="0" w:type="dxa"/>
        <w:tblLayout w:type="fixed"/>
        <w:tblCellMar>
          <w:top w:w="28" w:type="dxa"/>
          <w:left w:w="28" w:type="dxa"/>
          <w:bottom w:w="28" w:type="dxa"/>
          <w:right w:w="28" w:type="dxa"/>
        </w:tblCellMar>
      </w:tblPr>
      <w:tblGrid>
        <w:gridCol w:w="5761"/>
        <w:gridCol w:w="196"/>
        <w:gridCol w:w="196"/>
        <w:gridCol w:w="929"/>
        <w:gridCol w:w="146"/>
        <w:gridCol w:w="146"/>
        <w:gridCol w:w="196"/>
        <w:gridCol w:w="268"/>
        <w:gridCol w:w="1277"/>
        <w:gridCol w:w="791"/>
      </w:tblGrid>
      <w:tr>
        <w:trPr/>
        <w:tc>
          <w:tcPr>
            <w:tcW w:w="5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545"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Investments at fair value (amortized cost—$827,107</w:t>
            </w:r>
            <w:r>
              <w:rPr>
                <w:rFonts w:ascii="Times New Roman" w:hAnsi="Times New Roman"/>
                <w:sz w:val="20"/>
              </w:rPr>
              <w:t> </w:t>
            </w:r>
            <w:r>
              <w:rPr>
                <w:rFonts w:ascii="Times New Roman;serif" w:hAnsi="Times New Roman;serif"/>
                <w:b w:val="false"/>
                <w:sz w:val="16"/>
              </w:rPr>
              <w:t>and $770,280, respectively)</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805,217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754,722</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Cash and cash equivalents (cost—$37,943</w:t>
            </w:r>
            <w:r>
              <w:rPr>
                <w:rFonts w:ascii="Times New Roman" w:hAnsi="Times New Roman"/>
                <w:sz w:val="20"/>
              </w:rPr>
              <w:t> </w:t>
            </w:r>
            <w:r>
              <w:rPr>
                <w:rFonts w:ascii="Times New Roman;serif" w:hAnsi="Times New Roman;serif"/>
                <w:b w:val="false"/>
                <w:sz w:val="16"/>
              </w:rPr>
              <w:t>and $33,725, respectively)</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33,705</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3,025</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 sold</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3,637</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assets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796,811</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259,500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2032 Asset-backed debt, net (par—$246,000)</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243,365</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2035 Asset-backed debt, net (par—$246,000)</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payable to members</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217,350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10,414</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notes to members</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4,719</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Credit facility and asset backed debt</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3,817</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Accrued expenses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793,650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740,315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Commitments and contingencies</w:t>
            </w:r>
            <w:r>
              <w:rPr>
                <w:rFonts w:ascii="Times New Roman;serif" w:hAnsi="Times New Roman;serif"/>
                <w:b w:val="false"/>
                <w:sz w:val="11"/>
              </w:rPr>
              <w:t>(1)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righ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Members' 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56,496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 and members' equity</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848,440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796,811</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ind w:left="0" w:right="820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40" w:after="0"/>
        <w:ind w:left="0" w:right="0" w:hanging="0"/>
        <w:jc w:val="left"/>
        <w:rPr>
          <w:rFonts w:ascii="Times New Roman" w:hAnsi="Times New Roman"/>
          <w:b w:val="false"/>
          <w:sz w:val="13"/>
        </w:rPr>
      </w:pPr>
      <w:r>
        <w:rPr>
          <w:rFonts w:ascii="Times New Roman" w:hAnsi="Times New Roman"/>
          <w:b w:val="false"/>
          <w:sz w:val="13"/>
        </w:rPr>
        <w:t>(1)</w:t>
      </w:r>
    </w:p>
    <w:p>
      <w:pPr>
        <w:pStyle w:val="TextBody"/>
        <w:bidi w:val="0"/>
        <w:spacing w:before="40" w:after="283"/>
        <w:jc w:val="left"/>
        <w:rPr>
          <w:rFonts w:ascii="Times New Roman;serif" w:hAnsi="Times New Roman;serif"/>
          <w:sz w:val="20"/>
        </w:rPr>
      </w:pPr>
      <w:r>
        <w:rPr>
          <w:rFonts w:ascii="Times New Roman;serif" w:hAnsi="Times New Roman;serif"/>
          <w:b w:val="false"/>
          <w:sz w:val="13"/>
        </w:rPr>
        <w:t>As of June 30, 2023 and September 30, 2022, PSSL had unfunded commitments to fund investments of $2.0</w:t>
      </w:r>
      <w:r>
        <w:rPr>
          <w:rFonts w:ascii="Times New Roman;serif" w:hAnsi="Times New Roman;serif"/>
          <w:sz w:val="20"/>
        </w:rPr>
        <w:t xml:space="preserve"> </w:t>
      </w:r>
      <w:r>
        <w:rPr>
          <w:rFonts w:ascii="Times New Roman;serif" w:hAnsi="Times New Roman;serif"/>
          <w:b w:val="false"/>
          <w:sz w:val="13"/>
        </w:rPr>
        <w:t>million and</w:t>
      </w:r>
      <w:r>
        <w:rPr>
          <w:rFonts w:ascii="Times New Roman;serif" w:hAnsi="Times New Roman;serif"/>
          <w:sz w:val="20"/>
        </w:rPr>
        <w:t xml:space="preserve"> </w:t>
      </w:r>
      <w:r>
        <w:rPr>
          <w:rFonts w:ascii="Times New Roman;serif" w:hAnsi="Times New Roman;serif"/>
          <w:b w:val="false"/>
          <w:sz w:val="13"/>
        </w:rPr>
        <w:t>$2.5</w:t>
      </w:r>
      <w:r>
        <w:rPr>
          <w:rFonts w:ascii="Times New Roman;serif" w:hAnsi="Times New Roman;serif"/>
          <w:sz w:val="20"/>
        </w:rPr>
        <w:t xml:space="preserve"> </w:t>
      </w:r>
      <w:r>
        <w:rPr>
          <w:rFonts w:ascii="Times New Roman;serif" w:hAnsi="Times New Roman;serif"/>
          <w:b w:val="false"/>
          <w:sz w:val="13"/>
        </w:rPr>
        <w:t>million, respectively.</w:t>
      </w:r>
    </w:p>
    <w:p>
      <w:pPr>
        <w:pStyle w:val="TextBody"/>
        <w:pBdr/>
        <w:bidi w:val="0"/>
        <w:spacing w:before="0" w:after="0"/>
        <w:ind w:left="0" w:right="0" w:hanging="36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are the consolidated statements of operations for PSSL ($ in thousands):</w:t>
      </w:r>
    </w:p>
    <w:tbl>
      <w:tblPr>
        <w:tblW w:w="10205" w:type="dxa"/>
        <w:jc w:val="left"/>
        <w:tblInd w:w="0" w:type="dxa"/>
        <w:tblLayout w:type="fixed"/>
        <w:tblCellMar>
          <w:top w:w="28" w:type="dxa"/>
          <w:left w:w="28" w:type="dxa"/>
          <w:bottom w:w="28" w:type="dxa"/>
          <w:right w:w="28" w:type="dxa"/>
        </w:tblCellMar>
      </w:tblPr>
      <w:tblGrid>
        <w:gridCol w:w="5112"/>
        <w:gridCol w:w="146"/>
        <w:gridCol w:w="204"/>
        <w:gridCol w:w="627"/>
        <w:gridCol w:w="173"/>
        <w:gridCol w:w="152"/>
        <w:gridCol w:w="152"/>
        <w:gridCol w:w="204"/>
        <w:gridCol w:w="627"/>
        <w:gridCol w:w="166"/>
        <w:gridCol w:w="146"/>
        <w:gridCol w:w="201"/>
        <w:gridCol w:w="679"/>
        <w:gridCol w:w="170"/>
        <w:gridCol w:w="149"/>
        <w:gridCol w:w="201"/>
        <w:gridCol w:w="679"/>
        <w:gridCol w:w="417"/>
      </w:tblGrid>
      <w:tr>
        <w:trPr/>
        <w:tc>
          <w:tcPr>
            <w:tcW w:w="5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gridSpan w:val="2"/>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8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0" w:type="dxa"/>
            <w:gridSpan w:val="2"/>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880" w:type="dxa"/>
            <w:gridSpan w:val="2"/>
            <w:tcBorders/>
            <w:vAlign w:val="center"/>
          </w:tcPr>
          <w:p>
            <w:pPr>
              <w:pStyle w:val="TableContents"/>
              <w:bidi w:val="0"/>
              <w:spacing w:before="0" w:after="0"/>
              <w:ind w:left="0" w:right="0" w:hanging="0"/>
              <w:jc w:val="center"/>
              <w:rPr/>
            </w:pPr>
            <w:r>
              <w:rPr/>
              <w:t> </w:t>
            </w:r>
          </w:p>
        </w:tc>
        <w:tc>
          <w:tcPr>
            <w:tcW w:w="417" w:type="dxa"/>
            <w:tcBorders/>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39" w:type="dxa"/>
            <w:gridSpan w:val="7"/>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417" w:type="dxa"/>
            <w:tcBorders/>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righ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23,373</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64,282</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36,467</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930</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1,084</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23,746</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65,212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37,551</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and expense on credit facility and asset-backed debt</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12,094</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30,413</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11,514</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 on notes to members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7,986</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22,159</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11,704</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Administration fees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529</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1,553</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867</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20,802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54,898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24,985</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2,944</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10,314</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12,566</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 and 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hanging="0"/>
              <w:jc w:val="righ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(5,852</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(14,956</w:t>
            </w:r>
          </w:p>
        </w:tc>
        <w:tc>
          <w:tcPr>
            <w:tcW w:w="417"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lef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(6,308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6,325</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change in unrealized appreciation (depreciation) on investments and 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(6,308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6,325</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realized and unrealized gain (loss) from investments and 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(4,349</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(12,170</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(8,631</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members' equity resulting from operations</w:t>
            </w:r>
          </w:p>
        </w:tc>
        <w:tc>
          <w:tcPr>
            <w:tcW w:w="146" w:type="dxa"/>
            <w:tcBorders/>
            <w:vAlign w:val="center"/>
          </w:tcPr>
          <w:p>
            <w:pPr>
              <w:pStyle w:val="TableContents"/>
              <w:bidi w:val="0"/>
              <w:spacing w:before="0" w:after="0"/>
              <w:ind w:left="0" w:right="0" w:hanging="0"/>
              <w:jc w:val="righ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(1,405</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(1,856</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3,935</w:t>
            </w:r>
          </w:p>
        </w:tc>
        <w:tc>
          <w:tcPr>
            <w:tcW w:w="4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ind w:left="0" w:right="8200" w:hanging="0"/>
        <w:jc w:val="left"/>
        <w:rPr/>
      </w:pPr>
      <w:r>
        <w:rPr/>
        <w:t> </w:t>
      </w:r>
    </w:p>
    <w:p>
      <w:pPr>
        <w:pStyle w:val="TextBody"/>
        <w:bidi w:val="0"/>
        <w:spacing w:before="40" w:after="0"/>
        <w:ind w:left="0" w:right="0" w:hanging="0"/>
        <w:jc w:val="left"/>
        <w:rPr>
          <w:rFonts w:ascii="Times New Roman" w:hAnsi="Times New Roman"/>
          <w:sz w:val="20"/>
        </w:rPr>
      </w:pPr>
      <w:r>
        <w:rPr>
          <w:rFonts w:ascii="Times New Roman;serif" w:hAnsi="Times New Roman;serif"/>
          <w:b w:val="false"/>
          <w:sz w:val="9"/>
        </w:rPr>
        <w:t xml:space="preserve">(*) </w:t>
      </w:r>
      <w:r>
        <w:rPr>
          <w:rFonts w:ascii="Times New Roman;serif" w:hAnsi="Times New Roman;serif"/>
          <w:b w:val="false"/>
          <w:sz w:val="13"/>
        </w:rPr>
        <w:t>No management or incentive fees are payable by PSSL. If any fees were to be charged, they would be separately disclosed in the Statement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5. FAIR VALUE OF FINANCIAL INSTRUMENTS</w:t>
      </w:r>
    </w:p>
    <w:p>
      <w:pPr>
        <w:pStyle w:val="TextBody"/>
        <w:bidi w:val="0"/>
        <w:spacing w:before="0" w:after="0"/>
        <w:ind w:left="0" w:right="0" w:firstLine="49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ASC 820 classifies the inputs used to measure these fair values into the following hierarchies:</w:t>
      </w:r>
    </w:p>
    <w:p>
      <w:pPr>
        <w:pStyle w:val="TextBody"/>
        <w:bidi w:val="0"/>
        <w:spacing w:before="0" w:after="0"/>
        <w:ind w:left="0" w:right="0" w:firstLine="432"/>
        <w:jc w:val="both"/>
        <w:rPr/>
      </w:pPr>
      <w:r>
        <w:rPr/>
        <w:t> </w:t>
      </w:r>
    </w:p>
    <w:tbl>
      <w:tblPr>
        <w:tblW w:w="10205" w:type="dxa"/>
        <w:jc w:val="left"/>
        <w:tblInd w:w="0" w:type="dxa"/>
        <w:tblLayout w:type="fixed"/>
        <w:tblCellMar>
          <w:top w:w="28" w:type="dxa"/>
          <w:left w:w="28" w:type="dxa"/>
          <w:bottom w:w="28" w:type="dxa"/>
          <w:right w:w="28" w:type="dxa"/>
        </w:tblCellMar>
      </w:tblPr>
      <w:tblGrid>
        <w:gridCol w:w="581"/>
        <w:gridCol w:w="9624"/>
      </w:tblGrid>
      <w:tr>
        <w:trPr/>
        <w:tc>
          <w:tcPr>
            <w:tcW w:w="581" w:type="dxa"/>
            <w:tcBorders/>
            <w:vAlign w:val="center"/>
          </w:tcPr>
          <w:p>
            <w:pPr>
              <w:pStyle w:val="TableContents"/>
              <w:bidi w:val="0"/>
              <w:spacing w:before="0" w:after="283"/>
              <w:jc w:val="left"/>
              <w:rPr>
                <w:sz w:val="4"/>
                <w:szCs w:val="4"/>
              </w:rPr>
            </w:pPr>
            <w:r>
              <w:rPr>
                <w:sz w:val="4"/>
                <w:szCs w:val="4"/>
              </w:rPr>
            </w:r>
          </w:p>
        </w:tc>
        <w:tc>
          <w:tcPr>
            <w:tcW w:w="9624" w:type="dxa"/>
            <w:tcBorders/>
            <w:vAlign w:val="center"/>
          </w:tcPr>
          <w:p>
            <w:pPr>
              <w:pStyle w:val="TableContents"/>
              <w:bidi w:val="0"/>
              <w:spacing w:before="0" w:after="283"/>
              <w:jc w:val="left"/>
              <w:rPr>
                <w:sz w:val="4"/>
                <w:szCs w:val="4"/>
              </w:rPr>
            </w:pPr>
            <w:r>
              <w:rPr>
                <w:sz w:val="4"/>
                <w:szCs w:val="4"/>
              </w:rPr>
            </w:r>
          </w:p>
        </w:tc>
      </w:tr>
      <w:tr>
        <w:trPr/>
        <w:tc>
          <w:tcPr>
            <w:tcW w:w="58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1:</w:t>
            </w:r>
          </w:p>
        </w:tc>
        <w:tc>
          <w:tcPr>
            <w:tcW w:w="962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quoted prices (unadjusted) in active markets for identical assets or liabilities, accessible by us at the measurement date.</w:t>
            </w:r>
          </w:p>
          <w:p>
            <w:pPr>
              <w:pStyle w:val="TableContents"/>
              <w:bidi w:val="0"/>
              <w:spacing w:before="0" w:after="0"/>
              <w:ind w:left="0" w:right="0" w:hanging="0"/>
              <w:jc w:val="both"/>
              <w:rPr/>
            </w:pPr>
            <w:r>
              <w:rPr/>
              <w:t> </w:t>
            </w:r>
          </w:p>
        </w:tc>
      </w:tr>
      <w:tr>
        <w:trPr/>
        <w:tc>
          <w:tcPr>
            <w:tcW w:w="58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2:</w:t>
            </w:r>
          </w:p>
        </w:tc>
        <w:tc>
          <w:tcPr>
            <w:tcW w:w="962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ableContents"/>
              <w:bidi w:val="0"/>
              <w:spacing w:before="0" w:after="0"/>
              <w:ind w:left="0" w:right="0" w:hanging="0"/>
              <w:jc w:val="both"/>
              <w:rPr/>
            </w:pPr>
            <w:r>
              <w:rPr/>
              <w:t> </w:t>
            </w:r>
          </w:p>
        </w:tc>
      </w:tr>
      <w:tr>
        <w:trPr/>
        <w:tc>
          <w:tcPr>
            <w:tcW w:w="58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3:</w:t>
            </w:r>
          </w:p>
        </w:tc>
        <w:tc>
          <w:tcPr>
            <w:tcW w:w="9624"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unobservable for an asset or liability because they are based on our own assumptions about how market participants would price the asset or liability.</w:t>
            </w:r>
          </w:p>
        </w:tc>
      </w:tr>
    </w:tbl>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pStyle w:val="TextBody"/>
        <w:bidi w:val="0"/>
        <w:spacing w:before="0" w:after="0"/>
        <w:ind w:left="0" w:right="0" w:firstLine="432"/>
        <w:jc w:val="both"/>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 review of fair value hierarchy classifications is conducted on a quarterly basis. Changes in our ability to observe valuation inputs may result in a reclassification for certain financial assets or liabilities.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Level 3 valuation techniques, unobservable inputs and ranges were categorized as follows for ASC 820 purposes ($ in thousands):</w:t>
      </w:r>
    </w:p>
    <w:p>
      <w:pPr>
        <w:pStyle w:val="TextBody"/>
        <w:bidi w:val="0"/>
        <w:spacing w:before="0" w:after="0"/>
        <w:ind w:left="0" w:right="0" w:firstLine="432"/>
        <w:jc w:val="left"/>
        <w:rPr/>
      </w:pPr>
      <w:r>
        <w:rPr/>
        <w:t> </w:t>
      </w:r>
    </w:p>
    <w:tbl>
      <w:tblPr>
        <w:tblW w:w="10205" w:type="dxa"/>
        <w:jc w:val="left"/>
        <w:tblInd w:w="0" w:type="dxa"/>
        <w:tblLayout w:type="fixed"/>
        <w:tblCellMar>
          <w:top w:w="28" w:type="dxa"/>
          <w:left w:w="28" w:type="dxa"/>
          <w:bottom w:w="28" w:type="dxa"/>
          <w:right w:w="28" w:type="dxa"/>
        </w:tblCellMar>
      </w:tblPr>
      <w:tblGrid>
        <w:gridCol w:w="1892"/>
        <w:gridCol w:w="146"/>
        <w:gridCol w:w="392"/>
        <w:gridCol w:w="1659"/>
        <w:gridCol w:w="146"/>
        <w:gridCol w:w="146"/>
        <w:gridCol w:w="1751"/>
        <w:gridCol w:w="146"/>
        <w:gridCol w:w="2043"/>
        <w:gridCol w:w="146"/>
        <w:gridCol w:w="1738"/>
      </w:tblGrid>
      <w:tr>
        <w:trPr/>
        <w:tc>
          <w:tcPr>
            <w:tcW w:w="1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18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 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 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Range of Input</w:t>
              <w:br/>
              <w:t xml:space="preserve">(Weighted Average) </w:t>
            </w:r>
            <w:r>
              <w:rPr>
                <w:rFonts w:ascii="Times New Roman;serif" w:hAnsi="Times New Roman;serif"/>
                <w:b/>
                <w:sz w:val="11"/>
              </w:rPr>
              <w:t>(1)</w:t>
            </w:r>
          </w:p>
        </w:tc>
      </w:tr>
      <w:tr>
        <w:trPr/>
        <w:tc>
          <w:tcPr>
            <w:tcW w:w="18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Broker/Dealer bids or quotes</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w:t>
            </w:r>
          </w:p>
        </w:tc>
      </w:tr>
      <w:tr>
        <w:trPr/>
        <w:tc>
          <w:tcPr>
            <w:tcW w:w="18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897,976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8.8% - 18.5% (11.6%)</w:t>
            </w:r>
          </w:p>
        </w:tc>
      </w:tr>
      <w:tr>
        <w:trPr/>
        <w:tc>
          <w:tcPr>
            <w:tcW w:w="18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14.2%</w:t>
            </w:r>
          </w:p>
        </w:tc>
      </w:tr>
      <w:tr>
        <w:trPr/>
        <w:tc>
          <w:tcPr>
            <w:tcW w:w="18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.3x - 18.8x (11.9x)</w:t>
            </w:r>
          </w:p>
        </w:tc>
      </w:tr>
      <w:tr>
        <w:trPr/>
        <w:tc>
          <w:tcPr>
            <w:tcW w:w="18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t>DLOM</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firstLine="200"/>
              <w:jc w:val="center"/>
              <w:rPr>
                <w:rFonts w:ascii="Times New Roman;serif" w:hAnsi="Times New Roman;serif"/>
                <w:b w:val="false"/>
                <w:sz w:val="16"/>
              </w:rPr>
            </w:pPr>
            <w:r>
              <w:rPr>
                <w:rFonts w:ascii="Times New Roman;serif" w:hAnsi="Times New Roman;serif"/>
                <w:b w:val="false"/>
                <w:sz w:val="16"/>
              </w:rPr>
              <w:t>21.7%</w:t>
            </w:r>
          </w:p>
        </w:tc>
      </w:tr>
      <w:tr>
        <w:trPr/>
        <w:tc>
          <w:tcPr>
            <w:tcW w:w="189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Level 3 investments</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1,048,422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pPr>
            <w:r>
              <w:rPr/>
              <w:t> </w:t>
            </w:r>
          </w:p>
        </w:tc>
      </w:tr>
      <w:tr>
        <w:trPr/>
        <w:tc>
          <w:tcPr>
            <w:tcW w:w="18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Debt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1"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pPr>
            <w:r>
              <w:rPr/>
              <w:t> </w:t>
            </w:r>
          </w:p>
        </w:tc>
      </w:tr>
      <w:tr>
        <w:trPr/>
        <w:tc>
          <w:tcPr>
            <w:tcW w:w="189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Long-Term Credit Facility</w:t>
            </w:r>
          </w:p>
        </w:tc>
        <w:tc>
          <w:tcPr>
            <w:tcW w:w="146" w:type="dxa"/>
            <w:tcBorders/>
            <w:vAlign w:val="center"/>
          </w:tcPr>
          <w:p>
            <w:pPr>
              <w:pStyle w:val="TableContents"/>
              <w:bidi w:val="0"/>
              <w:spacing w:before="0" w:after="0"/>
              <w:ind w:left="0" w:right="0" w:hanging="0"/>
              <w:jc w:val="left"/>
              <w:rPr/>
            </w:pPr>
            <w:r>
              <w:rPr/>
              <w:t> </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4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3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2.5%</w:t>
            </w:r>
          </w:p>
        </w:tc>
      </w:tr>
    </w:tbl>
    <w:p>
      <w:pPr>
        <w:pStyle w:val="TextBody"/>
        <w:bidi w:val="0"/>
        <w:spacing w:before="40" w:after="0"/>
        <w:ind w:left="0" w:right="0" w:hanging="0"/>
        <w:jc w:val="left"/>
        <w:rPr>
          <w:rFonts w:ascii="Times New Roman;serif" w:hAnsi="Times New Roman;serif"/>
          <w:b/>
          <w:sz w:val="13"/>
        </w:rPr>
      </w:pPr>
      <w:r>
        <w:rPr>
          <w:rFonts w:ascii="Times New Roman;serif" w:hAnsi="Times New Roman;serif"/>
          <w:b/>
          <w:sz w:val="13"/>
        </w:rPr>
        <w:t>____________________________________________</w:t>
      </w:r>
    </w:p>
    <w:p>
      <w:pPr>
        <w:pStyle w:val="TextBody"/>
        <w:bidi w:val="0"/>
        <w:spacing w:before="4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The weighted averages disclosed in the table above were weighted by their relative fair value.</w:t>
      </w:r>
    </w:p>
    <w:p>
      <w:pPr>
        <w:pStyle w:val="TextBody"/>
        <w:bidi w:val="0"/>
        <w:spacing w:before="4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40" w:after="283"/>
        <w:jc w:val="left"/>
        <w:rPr>
          <w:rFonts w:ascii="Times New Roman;serif" w:hAnsi="Times New Roman;serif"/>
          <w:b w:val="false"/>
          <w:sz w:val="12"/>
        </w:rPr>
      </w:pPr>
      <w:r>
        <w:rPr>
          <w:rFonts w:ascii="Times New Roman;serif" w:hAnsi="Times New Roman;serif"/>
          <w:b w:val="false"/>
          <w:sz w:val="12"/>
        </w:rPr>
        <w:t>DLOM is defined as discount for lack of marketability.</w:t>
      </w:r>
    </w:p>
    <w:p>
      <w:pPr>
        <w:pStyle w:val="TextBody"/>
        <w:bidi w:val="0"/>
        <w:spacing w:before="0" w:after="0"/>
        <w:ind w:left="0" w:right="0" w:firstLine="432"/>
        <w:jc w:val="left"/>
        <w:rPr/>
      </w:pPr>
      <w:r>
        <w:rPr/>
        <w:t> </w:t>
      </w:r>
    </w:p>
    <w:tbl>
      <w:tblPr>
        <w:tblW w:w="10205" w:type="dxa"/>
        <w:jc w:val="left"/>
        <w:tblInd w:w="0" w:type="dxa"/>
        <w:tblLayout w:type="fixed"/>
        <w:tblCellMar>
          <w:top w:w="28" w:type="dxa"/>
          <w:left w:w="28" w:type="dxa"/>
          <w:bottom w:w="28" w:type="dxa"/>
          <w:right w:w="28" w:type="dxa"/>
        </w:tblCellMar>
      </w:tblPr>
      <w:tblGrid>
        <w:gridCol w:w="1923"/>
        <w:gridCol w:w="146"/>
        <w:gridCol w:w="478"/>
        <w:gridCol w:w="2015"/>
        <w:gridCol w:w="146"/>
        <w:gridCol w:w="146"/>
        <w:gridCol w:w="1777"/>
        <w:gridCol w:w="146"/>
        <w:gridCol w:w="1519"/>
        <w:gridCol w:w="146"/>
        <w:gridCol w:w="1763"/>
      </w:tblGrid>
      <w:tr>
        <w:trPr/>
        <w:tc>
          <w:tcPr>
            <w:tcW w:w="1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1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September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 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 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Range of Input</w:t>
              <w:br/>
              <w:t xml:space="preserve">(Weighted Average) </w:t>
            </w:r>
            <w:r>
              <w:rPr>
                <w:rFonts w:ascii="Times New Roman;serif" w:hAnsi="Times New Roman;serif"/>
                <w:b/>
                <w:sz w:val="11"/>
              </w:rPr>
              <w:t>(1)</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 xml:space="preserve">Broker/Dealer bids </w:t>
              <w:br/>
              <w:t>or quotes</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930,806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8.2% - 21% (10.9%)</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14.0x</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14.7%</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3.3x - 21.4x (12.5x)</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4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t>DLOM</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firstLine="200"/>
              <w:jc w:val="center"/>
              <w:rPr>
                <w:rFonts w:ascii="Times New Roman;serif" w:hAnsi="Times New Roman;serif"/>
                <w:b w:val="false"/>
                <w:sz w:val="16"/>
              </w:rPr>
            </w:pPr>
            <w:r>
              <w:rPr>
                <w:rFonts w:ascii="Times New Roman;serif" w:hAnsi="Times New Roman;serif"/>
                <w:b w:val="false"/>
                <w:sz w:val="16"/>
              </w:rPr>
              <w:t>11.8%</w:t>
            </w:r>
          </w:p>
        </w:tc>
      </w:tr>
      <w:tr>
        <w:trPr/>
        <w:tc>
          <w:tcPr>
            <w:tcW w:w="192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Level 3 investments</w:t>
            </w:r>
          </w:p>
        </w:tc>
        <w:tc>
          <w:tcPr>
            <w:tcW w:w="146" w:type="dxa"/>
            <w:tcBorders/>
            <w:vAlign w:val="center"/>
          </w:tcPr>
          <w:p>
            <w:pPr>
              <w:pStyle w:val="TableContents"/>
              <w:bidi w:val="0"/>
              <w:spacing w:before="0" w:after="0"/>
              <w:ind w:left="0" w:right="0" w:hanging="0"/>
              <w:jc w:val="lef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1,104,927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pPr>
            <w:r>
              <w:rPr/>
              <w:t> </w:t>
            </w:r>
          </w:p>
        </w:tc>
      </w:tr>
      <w:tr>
        <w:trPr/>
        <w:tc>
          <w:tcPr>
            <w:tcW w:w="19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Debt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3" w:type="dxa"/>
            <w:gridSpan w:val="2"/>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pPr>
            <w:r>
              <w:rPr/>
              <w:t> </w:t>
            </w:r>
          </w:p>
        </w:tc>
      </w:tr>
      <w:tr>
        <w:trPr/>
        <w:tc>
          <w:tcPr>
            <w:tcW w:w="192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Long-Term Credit Facility</w:t>
            </w:r>
          </w:p>
        </w:tc>
        <w:tc>
          <w:tcPr>
            <w:tcW w:w="146" w:type="dxa"/>
            <w:tcBorders/>
            <w:vAlign w:val="center"/>
          </w:tcPr>
          <w:p>
            <w:pPr>
              <w:pStyle w:val="TableContents"/>
              <w:bidi w:val="0"/>
              <w:spacing w:before="0" w:after="0"/>
              <w:ind w:left="0" w:right="0" w:hanging="0"/>
              <w:jc w:val="left"/>
              <w:rPr/>
            </w:pPr>
            <w:r>
              <w:rPr/>
              <w:t> </w:t>
            </w:r>
          </w:p>
        </w:tc>
        <w:tc>
          <w:tcPr>
            <w:tcW w:w="4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7"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151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2.5%</w:t>
            </w:r>
          </w:p>
        </w:tc>
      </w:tr>
    </w:tbl>
    <w:p>
      <w:pPr>
        <w:pStyle w:val="TextBody"/>
        <w:pBdr>
          <w:bottom w:val="single" w:sz="4" w:space="1" w:color="000000"/>
        </w:pBdr>
        <w:bidi w:val="0"/>
        <w:spacing w:before="0" w:after="0"/>
        <w:ind w:left="0" w:right="8200" w:hanging="0"/>
        <w:jc w:val="left"/>
        <w:rPr/>
      </w:pPr>
      <w:r>
        <w:rPr/>
        <w:t> </w:t>
      </w:r>
    </w:p>
    <w:p>
      <w:pPr>
        <w:pStyle w:val="TextBody"/>
        <w:bidi w:val="0"/>
        <w:spacing w:before="4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The weighted averages disclosed in the table above were weighted by their relative fair value.</w:t>
      </w:r>
    </w:p>
    <w:p>
      <w:pPr>
        <w:pStyle w:val="TextBody"/>
        <w:bidi w:val="0"/>
        <w:spacing w:before="4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40" w:after="283"/>
        <w:jc w:val="left"/>
        <w:rPr>
          <w:rFonts w:ascii="Times New Roman;serif" w:hAnsi="Times New Roman;serif"/>
          <w:b w:val="false"/>
          <w:sz w:val="12"/>
        </w:rPr>
      </w:pPr>
      <w:r>
        <w:rPr>
          <w:rFonts w:ascii="Times New Roman;serif" w:hAnsi="Times New Roman;serif"/>
          <w:b w:val="false"/>
          <w:sz w:val="12"/>
        </w:rPr>
        <w:t>DLOM is defined as discount for lack of marketability.</w:t>
      </w:r>
    </w:p>
    <w:p>
      <w:pPr>
        <w:pStyle w:val="TextBody"/>
        <w:bidi w:val="0"/>
        <w:spacing w:before="0" w:after="0"/>
        <w:ind w:left="0" w:right="0" w:firstLine="432"/>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Our investments, cash and cash equivalents, Credit Facility or Prior Credit Facility, as applicable, 2023 Notes, 2026 Notes and 2031 Asset-Backed Debt were categorized as follows in the fair value hierarchy for ASC 820 purposes ($ in thousands):</w:t>
      </w:r>
    </w:p>
    <w:p>
      <w:pPr>
        <w:pStyle w:val="TextBody"/>
        <w:bidi w:val="0"/>
        <w:spacing w:before="0" w:after="0"/>
        <w:ind w:left="0" w:right="0" w:firstLine="461"/>
        <w:jc w:val="both"/>
        <w:rPr/>
      </w:pPr>
      <w:r>
        <w:rPr/>
        <w:t> </w:t>
      </w:r>
    </w:p>
    <w:tbl>
      <w:tblPr>
        <w:tblW w:w="10205" w:type="dxa"/>
        <w:jc w:val="left"/>
        <w:tblInd w:w="0" w:type="dxa"/>
        <w:tblLayout w:type="fixed"/>
        <w:tblCellMar>
          <w:top w:w="28" w:type="dxa"/>
          <w:left w:w="28" w:type="dxa"/>
          <w:bottom w:w="28" w:type="dxa"/>
          <w:right w:w="28" w:type="dxa"/>
        </w:tblCellMar>
      </w:tblPr>
      <w:tblGrid>
        <w:gridCol w:w="3298"/>
        <w:gridCol w:w="146"/>
        <w:gridCol w:w="196"/>
        <w:gridCol w:w="826"/>
        <w:gridCol w:w="146"/>
        <w:gridCol w:w="146"/>
        <w:gridCol w:w="196"/>
        <w:gridCol w:w="601"/>
        <w:gridCol w:w="146"/>
        <w:gridCol w:w="146"/>
        <w:gridCol w:w="196"/>
        <w:gridCol w:w="691"/>
        <w:gridCol w:w="146"/>
        <w:gridCol w:w="146"/>
        <w:gridCol w:w="196"/>
        <w:gridCol w:w="826"/>
        <w:gridCol w:w="146"/>
        <w:gridCol w:w="146"/>
        <w:gridCol w:w="312"/>
        <w:gridCol w:w="961"/>
        <w:gridCol w:w="592"/>
      </w:tblGrid>
      <w:tr>
        <w:trPr/>
        <w:tc>
          <w:tcPr>
            <w:tcW w:w="3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69"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June 30, 2023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Measured at Net</w:t>
              <w:br/>
              <w:t xml:space="preserve">Asset Value </w:t>
            </w:r>
            <w:r>
              <w:rPr>
                <w:rFonts w:ascii="Times New Roman;serif" w:hAnsi="Times New Roman;serif"/>
                <w:b/>
                <w:sz w:val="11"/>
              </w:rPr>
              <w:t>(1)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950,244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950,244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154,872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98,029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56,843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9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1,105,265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1,048,422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56,843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9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 and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1,149,259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1,048,422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56,843</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2023 Notes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2026 Notes payable </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2031 Asset-Backed Debt</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226,601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226,601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9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debt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552,638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182,860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290,518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40" w:after="0"/>
        <w:ind w:left="0" w:right="0" w:hanging="0"/>
        <w:jc w:val="left"/>
        <w:rPr>
          <w:rFonts w:ascii="Times New Roman" w:hAnsi="Times New Roman"/>
          <w:b w:val="false"/>
          <w:sz w:val="13"/>
        </w:rPr>
      </w:pPr>
      <w:r>
        <w:rPr>
          <w:rFonts w:ascii="Times New Roman" w:hAnsi="Times New Roman"/>
          <w:b w:val="false"/>
          <w:sz w:val="13"/>
        </w:rPr>
        <w:t>(1)</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pStyle w:val="TextBody"/>
        <w:bidi w:val="0"/>
        <w:spacing w:before="40" w:after="0"/>
        <w:ind w:left="0" w:right="0" w:hanging="0"/>
        <w:jc w:val="left"/>
        <w:rPr>
          <w:rFonts w:ascii="Times New Roman" w:hAnsi="Times New Roman"/>
          <w:b w:val="false"/>
          <w:sz w:val="13"/>
        </w:rPr>
      </w:pPr>
      <w:r>
        <w:rPr>
          <w:rFonts w:ascii="Times New Roman" w:hAnsi="Times New Roman"/>
          <w:b w:val="false"/>
          <w:sz w:val="13"/>
        </w:rPr>
        <w:t>(2)</w:t>
      </w:r>
    </w:p>
    <w:p>
      <w:pPr>
        <w:pStyle w:val="TextBody"/>
        <w:bidi w:val="0"/>
        <w:spacing w:before="40" w:after="283"/>
        <w:jc w:val="left"/>
        <w:rPr>
          <w:rFonts w:ascii="Times New Roman;serif" w:hAnsi="Times New Roman;serif"/>
          <w:b w:val="false"/>
          <w:sz w:val="13"/>
        </w:rPr>
      </w:pPr>
      <w:r>
        <w:rPr>
          <w:rFonts w:ascii="Times New Roman;serif" w:hAnsi="Times New Roman;serif"/>
          <w:b w:val="false"/>
          <w:sz w:val="13"/>
        </w:rPr>
        <w:t xml:space="preserve">We elected not to apply the fair value option allowed by ASC 825-10 to the 2026 Notes and the 2031 Asset-Backed Debt and thus the balance reported in the Consolidated Statement of Assets and Liabilities represents the carrying value, which approximates the fair value. </w:t>
      </w:r>
    </w:p>
    <w:p>
      <w:pPr>
        <w:pStyle w:val="TextBody"/>
        <w:pBdr/>
        <w:bidi w:val="0"/>
        <w:spacing w:before="0" w:after="0"/>
        <w:ind w:left="0" w:right="0" w:hanging="360"/>
        <w:jc w:val="left"/>
        <w:rPr/>
      </w:pPr>
      <w:r>
        <w:rPr/>
        <w:t> </w:t>
      </w:r>
    </w:p>
    <w:tbl>
      <w:tblPr>
        <w:tblW w:w="10205" w:type="dxa"/>
        <w:jc w:val="left"/>
        <w:tblInd w:w="0" w:type="dxa"/>
        <w:tblLayout w:type="fixed"/>
        <w:tblCellMar>
          <w:top w:w="28" w:type="dxa"/>
          <w:left w:w="28" w:type="dxa"/>
          <w:bottom w:w="28" w:type="dxa"/>
          <w:right w:w="28" w:type="dxa"/>
        </w:tblCellMar>
      </w:tblPr>
      <w:tblGrid>
        <w:gridCol w:w="3298"/>
        <w:gridCol w:w="146"/>
        <w:gridCol w:w="196"/>
        <w:gridCol w:w="826"/>
        <w:gridCol w:w="146"/>
        <w:gridCol w:w="146"/>
        <w:gridCol w:w="196"/>
        <w:gridCol w:w="601"/>
        <w:gridCol w:w="146"/>
        <w:gridCol w:w="146"/>
        <w:gridCol w:w="196"/>
        <w:gridCol w:w="691"/>
        <w:gridCol w:w="146"/>
        <w:gridCol w:w="146"/>
        <w:gridCol w:w="196"/>
        <w:gridCol w:w="826"/>
        <w:gridCol w:w="146"/>
        <w:gridCol w:w="146"/>
        <w:gridCol w:w="312"/>
        <w:gridCol w:w="961"/>
        <w:gridCol w:w="592"/>
      </w:tblGrid>
      <w:tr>
        <w:trPr/>
        <w:tc>
          <w:tcPr>
            <w:tcW w:w="3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29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69"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September 30, 2022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Measured at Net</w:t>
              <w:br/>
              <w:t xml:space="preserve">Asset Value </w:t>
            </w:r>
            <w:r>
              <w:rPr>
                <w:rFonts w:ascii="Times New Roman;serif" w:hAnsi="Times New Roman;serif"/>
                <w:b/>
                <w:sz w:val="11"/>
              </w:rPr>
              <w:t>(1)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1,009,642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1,009,642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154,465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95,138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59,327</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9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1,164,254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1,104,927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59,327</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9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 and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1,212,134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1,104,927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59,327</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2023 Notes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2026 Notes payable </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592" w:type="dxa"/>
            <w:tcBorders/>
            <w:vAlign w:val="center"/>
          </w:tcPr>
          <w:p>
            <w:pPr>
              <w:pStyle w:val="TableContents"/>
              <w:bidi w:val="0"/>
              <w:spacing w:before="0" w:after="0"/>
              <w:ind w:left="0" w:right="0" w:hanging="0"/>
              <w:jc w:val="left"/>
              <w:rPr/>
            </w:pPr>
            <w:r>
              <w:rPr/>
              <w:t> </w:t>
            </w:r>
          </w:p>
        </w:tc>
      </w:tr>
      <w:tr>
        <w:trPr/>
        <w:tc>
          <w:tcPr>
            <w:tcW w:w="3298"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2031 Asset-Backed Debt</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226,128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226,128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29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debt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672,779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96,812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182,276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393,691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40" w:after="0"/>
        <w:ind w:left="0" w:right="0" w:hanging="0"/>
        <w:jc w:val="left"/>
        <w:rPr>
          <w:rFonts w:ascii="Times New Roman" w:hAnsi="Times New Roman"/>
          <w:b w:val="false"/>
          <w:sz w:val="13"/>
        </w:rPr>
      </w:pPr>
      <w:r>
        <w:rPr>
          <w:rFonts w:ascii="Times New Roman" w:hAnsi="Times New Roman"/>
          <w:b w:val="false"/>
          <w:sz w:val="13"/>
        </w:rPr>
        <w:t>(1)</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pStyle w:val="TextBody"/>
        <w:bidi w:val="0"/>
        <w:spacing w:before="40" w:after="0"/>
        <w:ind w:left="0" w:right="0" w:hanging="0"/>
        <w:jc w:val="left"/>
        <w:rPr>
          <w:rFonts w:ascii="Times New Roman" w:hAnsi="Times New Roman"/>
          <w:b w:val="false"/>
          <w:sz w:val="13"/>
        </w:rPr>
      </w:pPr>
      <w:r>
        <w:rPr>
          <w:rFonts w:ascii="Times New Roman" w:hAnsi="Times New Roman"/>
          <w:b w:val="false"/>
          <w:sz w:val="13"/>
        </w:rPr>
        <w:t>(2)</w:t>
      </w:r>
    </w:p>
    <w:p>
      <w:pPr>
        <w:pStyle w:val="TextBody"/>
        <w:bidi w:val="0"/>
        <w:spacing w:before="40" w:after="283"/>
        <w:jc w:val="left"/>
        <w:rPr>
          <w:rFonts w:ascii="Times New Roman;serif" w:hAnsi="Times New Roman;serif"/>
          <w:b w:val="false"/>
          <w:sz w:val="13"/>
        </w:rPr>
      </w:pPr>
      <w:r>
        <w:rPr>
          <w:rFonts w:ascii="Times New Roman;serif" w:hAnsi="Times New Roman;serif"/>
          <w:b w:val="false"/>
          <w:sz w:val="13"/>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pStyle w:val="TextBody"/>
        <w:bidi w:val="0"/>
        <w:spacing w:before="0" w:after="0"/>
        <w:ind w:left="0" w:right="0" w:hanging="0"/>
        <w:jc w:val="center"/>
        <w:rPr/>
      </w:pPr>
      <w:r>
        <w:rPr/>
        <w:t> </w:t>
      </w:r>
    </w:p>
    <w:p>
      <w:pPr>
        <w:pStyle w:val="TextBody"/>
        <w:bidi w:val="0"/>
        <w:spacing w:before="0" w:after="0"/>
        <w:ind w:left="0" w:right="0" w:firstLine="432"/>
        <w:jc w:val="left"/>
        <w:rPr>
          <w:rFonts w:ascii="Times New Roman" w:hAnsi="Times New Roman"/>
          <w:sz w:val="20"/>
        </w:rPr>
      </w:pPr>
      <w:r>
        <w:rPr>
          <w:rFonts w:ascii="Times New Roman;serif" w:hAnsi="Times New Roman;serif"/>
          <w:b w:val="false"/>
          <w:sz w:val="16"/>
        </w:rPr>
        <w:t>The tables below show a reconciliation of the beginning and ending balances for fair valued investments measured using significant unobservable inputs (Level 3)</w:t>
      </w:r>
      <w:r>
        <w:rPr>
          <w:rFonts w:ascii="Times New Roman" w:hAnsi="Times New Roman"/>
          <w:sz w:val="20"/>
        </w:rPr>
        <w:t xml:space="preserve">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 in thousands):</w:t>
      </w:r>
    </w:p>
    <w:p>
      <w:pPr>
        <w:pStyle w:val="TextBody"/>
        <w:bidi w:val="0"/>
        <w:spacing w:before="0" w:after="0"/>
        <w:ind w:left="0" w:right="0" w:firstLine="432"/>
        <w:jc w:val="both"/>
        <w:rPr/>
      </w:pPr>
      <w:r>
        <w:rPr/>
        <w:t> </w:t>
      </w:r>
    </w:p>
    <w:tbl>
      <w:tblPr>
        <w:tblW w:w="10205" w:type="dxa"/>
        <w:jc w:val="left"/>
        <w:tblInd w:w="0" w:type="dxa"/>
        <w:tblLayout w:type="fixed"/>
        <w:tblCellMar>
          <w:top w:w="28" w:type="dxa"/>
          <w:left w:w="28" w:type="dxa"/>
          <w:bottom w:w="28" w:type="dxa"/>
          <w:right w:w="28" w:type="dxa"/>
        </w:tblCellMar>
      </w:tblPr>
      <w:tblGrid>
        <w:gridCol w:w="5560"/>
        <w:gridCol w:w="146"/>
        <w:gridCol w:w="196"/>
        <w:gridCol w:w="826"/>
        <w:gridCol w:w="166"/>
        <w:gridCol w:w="146"/>
        <w:gridCol w:w="278"/>
        <w:gridCol w:w="940"/>
        <w:gridCol w:w="166"/>
        <w:gridCol w:w="146"/>
        <w:gridCol w:w="196"/>
        <w:gridCol w:w="826"/>
        <w:gridCol w:w="613"/>
      </w:tblGrid>
      <w:tr>
        <w:trPr/>
        <w:tc>
          <w:tcPr>
            <w:tcW w:w="5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5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30,2023</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 Lien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 lien,</w:t>
              <w:br/>
              <w:t>subordinated</w:t>
              <w:br/>
              <w:t>debt and equity</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Totals</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Beginning Balance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1,009,642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1,104,927</w:t>
            </w:r>
          </w:p>
        </w:tc>
        <w:tc>
          <w:tcPr>
            <w:tcW w:w="613" w:type="dxa"/>
            <w:tcBorders/>
            <w:vAlign w:val="center"/>
          </w:tcPr>
          <w:p>
            <w:pPr>
              <w:pStyle w:val="TableContents"/>
              <w:bidi w:val="0"/>
              <w:spacing w:before="0" w:after="0"/>
              <w:ind w:left="0" w:right="0" w:firstLine="400"/>
              <w:jc w:val="left"/>
              <w:rPr/>
            </w:pPr>
            <w:r>
              <w:rPr/>
              <w:t> </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gain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(14,065</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depreciation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(11,051</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PIK interest, net discount accretion and non-cash exchanges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208,709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226,686</w:t>
            </w:r>
          </w:p>
        </w:tc>
        <w:tc>
          <w:tcPr>
            <w:tcW w:w="613" w:type="dxa"/>
            <w:tcBorders/>
            <w:vAlign w:val="center"/>
          </w:tcPr>
          <w:p>
            <w:pPr>
              <w:pStyle w:val="TableContents"/>
              <w:bidi w:val="0"/>
              <w:spacing w:before="0" w:after="0"/>
              <w:ind w:left="0" w:right="0" w:firstLine="400"/>
              <w:jc w:val="left"/>
              <w:rPr/>
            </w:pPr>
            <w:r>
              <w:rPr/>
              <w:t> </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Sales, repayments and non-cash exchanges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(253,084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(258,075</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Transfers in and/or out of Level 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Ending Balance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950,244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98,178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1,048,422</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reported within the net change in unrealized</w:t>
              <w:br/>
              <w:t>   depreciation on investments in our Consolidated Statements of Operations</w:t>
              <w:br/>
              <w:t>   attributable to our Level 3 assets still held at the reporting date.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(22,725</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ind w:left="0" w:right="0" w:firstLine="432"/>
        <w:jc w:val="both"/>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tbl>
      <w:tblPr>
        <w:tblW w:w="10205" w:type="dxa"/>
        <w:jc w:val="left"/>
        <w:tblInd w:w="0" w:type="dxa"/>
        <w:tblLayout w:type="fixed"/>
        <w:tblCellMar>
          <w:top w:w="28" w:type="dxa"/>
          <w:left w:w="28" w:type="dxa"/>
          <w:bottom w:w="28" w:type="dxa"/>
          <w:right w:w="28" w:type="dxa"/>
        </w:tblCellMar>
      </w:tblPr>
      <w:tblGrid>
        <w:gridCol w:w="5560"/>
        <w:gridCol w:w="146"/>
        <w:gridCol w:w="196"/>
        <w:gridCol w:w="826"/>
        <w:gridCol w:w="166"/>
        <w:gridCol w:w="146"/>
        <w:gridCol w:w="278"/>
        <w:gridCol w:w="940"/>
        <w:gridCol w:w="166"/>
        <w:gridCol w:w="146"/>
        <w:gridCol w:w="196"/>
        <w:gridCol w:w="826"/>
        <w:gridCol w:w="613"/>
      </w:tblGrid>
      <w:tr>
        <w:trPr/>
        <w:tc>
          <w:tcPr>
            <w:tcW w:w="5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5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30,2022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 Lien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 lien,</w:t>
              <w:br/>
              <w:t>subordinated</w:t>
              <w:br/>
              <w:t>debt and equity</w:t>
              <w:br/>
              <w:t>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Totals</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Beginning Balance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934,418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86,771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1,021,189</w:t>
            </w:r>
          </w:p>
        </w:tc>
        <w:tc>
          <w:tcPr>
            <w:tcW w:w="613" w:type="dxa"/>
            <w:tcBorders/>
            <w:vAlign w:val="center"/>
          </w:tcPr>
          <w:p>
            <w:pPr>
              <w:pStyle w:val="TableContents"/>
              <w:bidi w:val="0"/>
              <w:spacing w:before="0" w:after="0"/>
              <w:ind w:left="0" w:right="0" w:firstLine="400"/>
              <w:jc w:val="left"/>
              <w:rPr/>
            </w:pPr>
            <w:r>
              <w:rPr/>
              <w:t> </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losses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(11,982</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depreciation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4,858</w:t>
            </w:r>
          </w:p>
        </w:tc>
        <w:tc>
          <w:tcPr>
            <w:tcW w:w="613" w:type="dxa"/>
            <w:tcBorders/>
            <w:vAlign w:val="center"/>
          </w:tcPr>
          <w:p>
            <w:pPr>
              <w:pStyle w:val="TableContents"/>
              <w:bidi w:val="0"/>
              <w:spacing w:before="0" w:after="0"/>
              <w:ind w:left="0" w:right="0" w:firstLine="400"/>
              <w:jc w:val="left"/>
              <w:rPr/>
            </w:pPr>
            <w:r>
              <w:rPr/>
              <w:t> </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PIK interest, net discount accretion and non-cash exchanges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539,028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564,073</w:t>
            </w:r>
          </w:p>
        </w:tc>
        <w:tc>
          <w:tcPr>
            <w:tcW w:w="613" w:type="dxa"/>
            <w:tcBorders/>
            <w:vAlign w:val="center"/>
          </w:tcPr>
          <w:p>
            <w:pPr>
              <w:pStyle w:val="TableContents"/>
              <w:bidi w:val="0"/>
              <w:spacing w:before="0" w:after="0"/>
              <w:ind w:left="0" w:right="0" w:firstLine="400"/>
              <w:jc w:val="left"/>
              <w:rPr/>
            </w:pPr>
            <w:r>
              <w:rPr/>
              <w:t> </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Sales, repayments and non-cash exchanges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(404,635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(421,003</w:t>
            </w:r>
          </w:p>
        </w:tc>
        <w:tc>
          <w:tcPr>
            <w:tcW w:w="613"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56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Transfers in and/or out of Level 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Ending Balance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1,062,382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94,753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1,157,135</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depreciation reported within the net change in unrealized</w:t>
              <w:br/>
              <w:t>   depreciation on investments in our Consolidated Statements of Operations</w:t>
              <w:br/>
              <w:t>   attributable to our Level 3 assets still held at the reporting date.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6,543</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The table below shows a reconciliation of the beginning and ending balances for liabilities recognized at fair value and measured using significant unobservable inputs (Level 3)($ in thousands):</w:t>
      </w:r>
    </w:p>
    <w:p>
      <w:pPr>
        <w:pStyle w:val="TextBody"/>
        <w:bidi w:val="0"/>
        <w:spacing w:before="0" w:after="0"/>
        <w:ind w:left="0" w:right="0" w:firstLine="432"/>
        <w:jc w:val="left"/>
        <w:rPr/>
      </w:pPr>
      <w:r>
        <w:rPr/>
        <w:t> </w:t>
      </w:r>
    </w:p>
    <w:tbl>
      <w:tblPr>
        <w:tblW w:w="8184" w:type="dxa"/>
        <w:jc w:val="left"/>
        <w:tblInd w:w="0" w:type="dxa"/>
        <w:tblLayout w:type="fixed"/>
        <w:tblCellMar>
          <w:top w:w="28" w:type="dxa"/>
          <w:left w:w="28" w:type="dxa"/>
          <w:bottom w:w="28" w:type="dxa"/>
          <w:right w:w="28" w:type="dxa"/>
        </w:tblCellMar>
      </w:tblPr>
      <w:tblGrid>
        <w:gridCol w:w="5221"/>
        <w:gridCol w:w="146"/>
        <w:gridCol w:w="196"/>
        <w:gridCol w:w="751"/>
        <w:gridCol w:w="166"/>
        <w:gridCol w:w="146"/>
        <w:gridCol w:w="196"/>
        <w:gridCol w:w="751"/>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Long-Term Credit Facility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Beginning Balance (cost – $169,654</w:t>
            </w:r>
            <w:r>
              <w:rPr>
                <w:rFonts w:ascii="Times New Roman" w:hAnsi="Times New Roman"/>
                <w:sz w:val="20"/>
              </w:rPr>
              <w:t> </w:t>
            </w:r>
            <w:r>
              <w:rPr>
                <w:rFonts w:ascii="Times New Roman;serif" w:hAnsi="Times New Roman;serif"/>
                <w:b w:val="false"/>
                <w:sz w:val="16"/>
              </w:rPr>
              <w:t>and $219,400,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218,852</w:t>
            </w:r>
          </w:p>
        </w:tc>
        <w:tc>
          <w:tcPr>
            <w:tcW w:w="611" w:type="dxa"/>
            <w:tcBorders/>
            <w:vAlign w:val="center"/>
          </w:tcPr>
          <w:p>
            <w:pPr>
              <w:pStyle w:val="TableContents"/>
              <w:bidi w:val="0"/>
              <w:spacing w:before="0" w:after="0"/>
              <w:ind w:left="0" w:right="0" w:firstLine="400"/>
              <w:jc w:val="left"/>
              <w:rPr/>
            </w:pPr>
            <w:r>
              <w:rPr/>
              <w:t> </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(depreciation) appreciation included in earnings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(5,663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147,254</w:t>
            </w:r>
          </w:p>
        </w:tc>
        <w:tc>
          <w:tcPr>
            <w:tcW w:w="611" w:type="dxa"/>
            <w:tcBorders/>
            <w:vAlign w:val="center"/>
          </w:tcPr>
          <w:p>
            <w:pPr>
              <w:pStyle w:val="TableContents"/>
              <w:bidi w:val="0"/>
              <w:spacing w:before="0" w:after="0"/>
              <w:ind w:left="0" w:right="0" w:firstLine="400"/>
              <w:jc w:val="left"/>
              <w:rPr/>
            </w:pPr>
            <w:r>
              <w:rPr/>
              <w:t> </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Repayments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(169,709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(107,000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(gain)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Transfers in and/or out of Level 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Ending Balance (cost – $64,400</w:t>
            </w:r>
            <w:r>
              <w:rPr>
                <w:rFonts w:ascii="Times New Roman" w:hAnsi="Times New Roman"/>
                <w:sz w:val="20"/>
              </w:rPr>
              <w:t> </w:t>
            </w:r>
            <w:r>
              <w:rPr>
                <w:rFonts w:ascii="Times New Roman;serif" w:hAnsi="Times New Roman;serif"/>
                <w:b w:val="false"/>
                <w:sz w:val="16"/>
              </w:rPr>
              <w:t>and $259,277,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253,443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As of June 30, 2023, we did not have any outstanding non-U.S. dollar borrowings on our Credit Facility.</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As of September 30, 2022 we had outstanding non-U.S. dollar borrowings on our Credit Facility. Net change in fair value from currency translation on outstanding borrowings is listed below ($ in thousands):</w:t>
      </w:r>
    </w:p>
    <w:tbl>
      <w:tblPr>
        <w:tblW w:w="8132" w:type="dxa"/>
        <w:jc w:val="left"/>
        <w:tblInd w:w="0" w:type="dxa"/>
        <w:tblLayout w:type="fixed"/>
        <w:tblCellMar>
          <w:top w:w="28" w:type="dxa"/>
          <w:left w:w="28" w:type="dxa"/>
          <w:bottom w:w="28" w:type="dxa"/>
          <w:right w:w="28" w:type="dxa"/>
        </w:tblCellMar>
      </w:tblPr>
      <w:tblGrid>
        <w:gridCol w:w="1426"/>
        <w:gridCol w:w="146"/>
        <w:gridCol w:w="203"/>
        <w:gridCol w:w="623"/>
        <w:gridCol w:w="146"/>
        <w:gridCol w:w="146"/>
        <w:gridCol w:w="348"/>
        <w:gridCol w:w="912"/>
        <w:gridCol w:w="146"/>
        <w:gridCol w:w="146"/>
        <w:gridCol w:w="320"/>
        <w:gridCol w:w="835"/>
        <w:gridCol w:w="146"/>
        <w:gridCol w:w="146"/>
        <w:gridCol w:w="886"/>
        <w:gridCol w:w="146"/>
        <w:gridCol w:w="370"/>
        <w:gridCol w:w="830"/>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Foreign Currency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br/>
              <w:t>Borrowed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Borrowing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w:t>
              <w:br/>
              <w:t>Value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Australian Dollar</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10/1/22</w:t>
            </w:r>
          </w:p>
        </w:tc>
        <w:tc>
          <w:tcPr>
            <w:tcW w:w="14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nine months ended June 30,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the Credit Facility and the 2023 Notes had a net change in unrealized appreciation (depreciation) of $(5.8) million and $(4.8) million, respectively. For the three and nine months ended June 30, 2022, the Credit Facility and the 2023 Notes had a net change in unrealized appreciation (depreciation) of less than $(0.1) million and $(1.3) million, respectively. As of June 30, 2023 and September 30, 2022, the net unrealized appreciation (depreciation) on the Credit Facility and the 2023 Notes totaled $2.6</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$(1.5)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6. TRANSACTIONS WITH AFFILIATED COMPANIES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nine months ended June 30, 2023 were as follows ($ in thousands):</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206"/>
        <w:gridCol w:w="146"/>
        <w:gridCol w:w="1204"/>
        <w:gridCol w:w="146"/>
        <w:gridCol w:w="887"/>
        <w:gridCol w:w="146"/>
        <w:gridCol w:w="1140"/>
        <w:gridCol w:w="146"/>
        <w:gridCol w:w="1107"/>
        <w:gridCol w:w="146"/>
        <w:gridCol w:w="1049"/>
        <w:gridCol w:w="146"/>
        <w:gridCol w:w="797"/>
        <w:gridCol w:w="146"/>
        <w:gridCol w:w="796"/>
        <w:gridCol w:w="146"/>
        <w:gridCol w:w="851"/>
      </w:tblGrid>
      <w:tr>
        <w:trPr/>
        <w:tc>
          <w:tcPr>
            <w:tcW w:w="1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 of 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September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Additions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Sale of/ Distribution from Affiliates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Change in</w:t>
              <w:br/>
              <w:t>Unrealized</w:t>
              <w:br/>
              <w:t>Appreciation</w:t>
              <w:br/>
              <w:t>(Depreciation)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Dividend/</w:t>
              <w:br/>
              <w:t>Other</w:t>
              <w:br/>
              <w:t>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Realized</w:t>
              <w:br/>
              <w:t>Gains (Losses)</w:t>
            </w:r>
          </w:p>
        </w:tc>
      </w:tr>
      <w:tr>
        <w:trPr/>
        <w:tc>
          <w:tcPr>
            <w:tcW w:w="120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Controlled Affiliates</w:t>
            </w:r>
          </w:p>
        </w:tc>
        <w:tc>
          <w:tcPr>
            <w:tcW w:w="146"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pPr>
            <w:r>
              <w:rPr/>
              <w:t> </w:t>
            </w:r>
          </w:p>
        </w:tc>
      </w:tr>
      <w:tr>
        <w:trPr/>
        <w:tc>
          <w:tcPr>
            <w:tcW w:w="1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Marketplace Events, LLC</w:t>
            </w:r>
          </w:p>
        </w:tc>
        <w:tc>
          <w:tcPr>
            <w:tcW w:w="146"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$31,389</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w:t>
            </w:r>
          </w:p>
        </w:tc>
        <w:tc>
          <w:tcPr>
            <w:tcW w:w="14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14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$32,628</w:t>
            </w:r>
          </w:p>
        </w:tc>
        <w:tc>
          <w:tcPr>
            <w:tcW w:w="14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$3,312</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r>
      <w:tr>
        <w:trPr/>
        <w:tc>
          <w:tcPr>
            <w:tcW w:w="1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PennantPark Senior Secured</w:t>
            </w:r>
          </w:p>
        </w:tc>
        <w:tc>
          <w:tcPr>
            <w:tcW w:w="146"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1" w:type="dxa"/>
            <w:tcBorders/>
            <w:vAlign w:val="center"/>
          </w:tcPr>
          <w:p>
            <w:pPr>
              <w:pStyle w:val="TableContents"/>
              <w:bidi w:val="0"/>
              <w:spacing w:before="0" w:after="0"/>
              <w:ind w:left="0" w:right="0" w:firstLine="100"/>
              <w:jc w:val="right"/>
              <w:rPr/>
            </w:pPr>
            <w:r>
              <w:rPr/>
              <w:t> </w:t>
            </w:r>
          </w:p>
        </w:tc>
      </w:tr>
      <w:tr>
        <w:trPr/>
        <w:tc>
          <w:tcPr>
            <w:tcW w:w="1206"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Loan Fund I LLC *</w:t>
            </w:r>
          </w:p>
        </w:tc>
        <w:tc>
          <w:tcPr>
            <w:tcW w:w="146" w:type="dxa"/>
            <w:tcBorders/>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239,614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28,438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258,029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r>
      <w:tr>
        <w:trPr/>
        <w:tc>
          <w:tcPr>
            <w:tcW w:w="1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Controlled Affiliates</w:t>
            </w:r>
          </w:p>
        </w:tc>
        <w:tc>
          <w:tcPr>
            <w:tcW w:w="146" w:type="dxa"/>
            <w:tcBorders/>
            <w:vAlign w:val="center"/>
          </w:tcPr>
          <w:p>
            <w:pPr>
              <w:pStyle w:val="TableContents"/>
              <w:bidi w:val="0"/>
              <w:spacing w:before="0" w:after="0"/>
              <w:ind w:left="0" w:right="0" w:hanging="0"/>
              <w:jc w:val="left"/>
              <w:rPr/>
            </w:pPr>
            <w:r>
              <w:rPr/>
              <w:t> </w:t>
            </w:r>
          </w:p>
        </w:tc>
        <w:tc>
          <w:tcPr>
            <w:tcW w:w="1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$271,003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$290,657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40" w:after="0"/>
        <w:ind w:left="0" w:right="0" w:hanging="0"/>
        <w:jc w:val="left"/>
        <w:rPr>
          <w:rFonts w:ascii="Times New Roman" w:hAnsi="Times New Roman"/>
          <w:sz w:val="20"/>
        </w:rPr>
      </w:pPr>
      <w:r>
        <w:rPr>
          <w:rFonts w:ascii="Times New Roman;serif" w:hAnsi="Times New Roman;serif"/>
          <w:b/>
          <w:sz w:val="12"/>
        </w:rPr>
        <w:t xml:space="preserve">* </w:t>
      </w:r>
      <w:r>
        <w:rPr>
          <w:rFonts w:ascii="Times New Roman;serif" w:hAnsi="Times New Roman;serif"/>
          <w:b w:val="false"/>
          <w:sz w:val="13"/>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bookmarkStart w:id="14" w:name="footnote_7"/>
      <w:bookmarkEnd w:id="14"/>
      <w:r>
        <w:rPr>
          <w:rFonts w:ascii="Times New Roman;serif" w:hAnsi="Times New Roman;serif"/>
          <w:b/>
          <w:sz w:val="16"/>
        </w:rPr>
        <w:t>7. CHANGE IN NET ASSETS FROM OPERATIONS PER COMMON SHARE</w:t>
      </w:r>
    </w:p>
    <w:p>
      <w:pPr>
        <w:pStyle w:val="TextBody"/>
        <w:bidi w:val="0"/>
        <w:spacing w:before="0" w:after="0"/>
        <w:ind w:left="0" w:right="0" w:firstLine="49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The following information sets forth the computation of basic and diluted per share net increase (decrease) in net assets resulting from operations</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 in thousands, except per share data):</w:t>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4378"/>
        <w:gridCol w:w="146"/>
        <w:gridCol w:w="196"/>
        <w:gridCol w:w="916"/>
        <w:gridCol w:w="146"/>
        <w:gridCol w:w="146"/>
        <w:gridCol w:w="196"/>
        <w:gridCol w:w="916"/>
        <w:gridCol w:w="166"/>
        <w:gridCol w:w="146"/>
        <w:gridCol w:w="196"/>
        <w:gridCol w:w="916"/>
        <w:gridCol w:w="146"/>
        <w:gridCol w:w="146"/>
        <w:gridCol w:w="196"/>
        <w:gridCol w:w="916"/>
        <w:gridCol w:w="146"/>
        <w:gridCol w:w="191"/>
      </w:tblGrid>
      <w:tr>
        <w:trPr/>
        <w:tc>
          <w:tcPr>
            <w:tcW w:w="4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37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3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Numerator for net increase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16,592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3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Denominator for basic and diluted weighted average shares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50,799,353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41,334,234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48,220,835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39,940,832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37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Basic and diluted net increase in net assets per share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8. CASH AND CASH EQUIVALENTS</w:t>
      </w:r>
    </w:p>
    <w:p>
      <w:pPr>
        <w:pStyle w:val="TextBody"/>
        <w:bidi w:val="0"/>
        <w:spacing w:before="0" w:after="0"/>
        <w:ind w:left="0" w:right="0" w:firstLine="49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2023 and September 30, 2022, cash and cash equivalents in the amounts of $59.1</w:t>
      </w:r>
      <w:r>
        <w:rPr>
          <w:rFonts w:ascii="Times New Roman" w:hAnsi="Times New Roman"/>
          <w:sz w:val="20"/>
        </w:rPr>
        <w:t xml:space="preserve"> </w:t>
      </w:r>
      <w:r>
        <w:rPr>
          <w:rFonts w:ascii="Times New Roman;serif" w:hAnsi="Times New Roman;serif"/>
          <w:b w:val="false"/>
          <w:sz w:val="16"/>
        </w:rPr>
        <w:t>million of which $44.0</w:t>
      </w:r>
      <w:r>
        <w:rPr>
          <w:rFonts w:ascii="Times New Roman" w:hAnsi="Times New Roman"/>
          <w:sz w:val="20"/>
        </w:rPr>
        <w:t xml:space="preserve"> </w:t>
      </w:r>
      <w:r>
        <w:rPr>
          <w:rFonts w:ascii="Times New Roman;serif" w:hAnsi="Times New Roman;serif"/>
          <w:b w:val="false"/>
          <w:sz w:val="16"/>
        </w:rPr>
        <w:t>million consisted of money market funds</w:t>
      </w:r>
      <w:r>
        <w:rPr>
          <w:rFonts w:ascii="Times New Roman" w:hAnsi="Times New Roman"/>
          <w:sz w:val="20"/>
        </w:rPr>
        <w:t xml:space="preserve"> </w:t>
      </w:r>
      <w:r>
        <w:rPr>
          <w:rFonts w:ascii="Times New Roman;serif" w:hAnsi="Times New Roman;serif"/>
          <w:b w:val="false"/>
          <w:sz w:val="16"/>
        </w:rPr>
        <w:t>and $47.9</w:t>
      </w:r>
      <w:r>
        <w:rPr>
          <w:rFonts w:ascii="Times New Roman" w:hAnsi="Times New Roman"/>
          <w:sz w:val="20"/>
        </w:rPr>
        <w:t xml:space="preserve"> </w:t>
      </w:r>
      <w:r>
        <w:rPr>
          <w:rFonts w:ascii="Times New Roman;serif" w:hAnsi="Times New Roman;serif"/>
          <w:b w:val="false"/>
          <w:sz w:val="16"/>
        </w:rPr>
        <w:t>million of money market funds at fair value, respectively.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9. FINANCIAL HIGHLIGHTS</w:t>
      </w:r>
    </w:p>
    <w:p>
      <w:pPr>
        <w:pStyle w:val="TextBody"/>
        <w:bidi w:val="0"/>
        <w:spacing w:before="0" w:after="0"/>
        <w:ind w:left="0" w:right="0" w:firstLine="49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are the financial highlights ($ in thousands, except per share data):</w:t>
      </w:r>
    </w:p>
    <w:p>
      <w:pPr>
        <w:pStyle w:val="TextBody"/>
        <w:bidi w:val="0"/>
        <w:spacing w:before="0" w:after="0"/>
        <w:ind w:left="0" w:right="0" w:hanging="0"/>
        <w:jc w:val="left"/>
        <w:rPr/>
      </w:pPr>
      <w:r>
        <w:rPr/>
        <w:t> </w:t>
      </w:r>
    </w:p>
    <w:tbl>
      <w:tblPr>
        <w:tblW w:w="7109" w:type="dxa"/>
        <w:jc w:val="left"/>
        <w:tblInd w:w="0" w:type="dxa"/>
        <w:tblLayout w:type="fixed"/>
        <w:tblCellMar>
          <w:top w:w="28" w:type="dxa"/>
          <w:left w:w="28" w:type="dxa"/>
          <w:bottom w:w="28" w:type="dxa"/>
          <w:right w:w="28" w:type="dxa"/>
        </w:tblCellMar>
      </w:tblPr>
      <w:tblGrid>
        <w:gridCol w:w="4066"/>
        <w:gridCol w:w="146"/>
        <w:gridCol w:w="196"/>
        <w:gridCol w:w="916"/>
        <w:gridCol w:w="241"/>
        <w:gridCol w:w="146"/>
        <w:gridCol w:w="196"/>
        <w:gridCol w:w="916"/>
        <w:gridCol w:w="28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286" w:type="dxa"/>
            <w:tcBorders/>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 Share Data:</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12.62</w:t>
            </w:r>
          </w:p>
        </w:tc>
        <w:tc>
          <w:tcPr>
            <w:tcW w:w="286"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Net investment income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0.90</w:t>
            </w:r>
          </w:p>
        </w:tc>
        <w:tc>
          <w:tcPr>
            <w:tcW w:w="286"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Net change in realized and unrealized (loss) gain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Net increase in net assets resulting from operations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0.42</w:t>
            </w:r>
          </w:p>
        </w:tc>
        <w:tc>
          <w:tcPr>
            <w:tcW w:w="286"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Distributions to stockholders </w:t>
            </w:r>
            <w:r>
              <w:rPr>
                <w:rFonts w:ascii="Times New Roman;serif" w:hAnsi="Times New Roman;serif"/>
                <w:b w:val="false"/>
                <w:sz w:val="11"/>
              </w:rPr>
              <w:t>(1), (2)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(0.86</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Accretive (Dilutive) effect of common stock issuance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10.96</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12.21</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 share market value,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11.48</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Total return </w:t>
            </w:r>
            <w:r>
              <w:rPr>
                <w:rFonts w:ascii="Times New Roman;serif" w:hAnsi="Times New Roman;serif"/>
                <w:b w:val="false"/>
                <w:sz w:val="11"/>
              </w:rPr>
              <w:t>*(3)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112" w:type="dxa"/>
            <w:gridSpan w:val="2"/>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w:t>
            </w:r>
          </w:p>
        </w:tc>
        <w:tc>
          <w:tcPr>
            <w:tcW w:w="286" w:type="dxa"/>
            <w:tcBorders/>
            <w:vAlign w:val="center"/>
          </w:tcPr>
          <w:p>
            <w:pPr>
              <w:pStyle w:val="TableContents"/>
              <w:bidi w:val="0"/>
              <w:spacing w:before="0" w:after="0"/>
              <w:ind w:left="0" w:right="0" w:hanging="0"/>
              <w:jc w:val="righ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outstanding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55,537,299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41,345,638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Ratios</w:t>
            </w:r>
            <w:r>
              <w:rPr>
                <w:rFonts w:ascii="Times New Roman;serif" w:hAnsi="Times New Roman;serif"/>
                <w:b/>
                <w:sz w:val="11"/>
              </w:rPr>
              <w:t>**</w:t>
            </w:r>
            <w:r>
              <w:rPr>
                <w:rFonts w:ascii="Times New Roman" w:hAnsi="Times New Roman"/>
                <w:sz w:val="16"/>
              </w:rPr>
              <w:t> </w:t>
            </w:r>
            <w:r>
              <w:rPr>
                <w:rFonts w:ascii="Times New Roman;serif" w:hAnsi="Times New Roman;serif"/>
                <w:b/>
                <w:sz w:val="16"/>
              </w:rPr>
              <w:t>/ Supplemental Data:</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operating expenses to average net assets** </w:t>
            </w:r>
            <w:r>
              <w:rPr>
                <w:rFonts w:ascii="Times New Roman;serif" w:hAnsi="Times New Roman;serif"/>
                <w:b w:val="false"/>
                <w:sz w:val="11"/>
              </w:rPr>
              <w:t>(4)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5.33</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debt related expenses to average net assets </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total expenses to average net assets** </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10.83</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net investment income to average net assets** </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assets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608,427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504,913</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debt outstanding</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649,677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762,376</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Weighted average debt per share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19.09</w:t>
            </w:r>
          </w:p>
        </w:tc>
        <w:tc>
          <w:tcPr>
            <w:tcW w:w="286"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Asset coverage per unit </w:t>
            </w:r>
            <w:r>
              <w:rPr>
                <w:rFonts w:ascii="Times New Roman;serif" w:hAnsi="Times New Roman;serif"/>
                <w:b w:val="false"/>
                <w:sz w:val="11"/>
              </w:rPr>
              <w:t>(6)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1,656</w:t>
            </w:r>
          </w:p>
        </w:tc>
        <w:tc>
          <w:tcPr>
            <w:tcW w:w="286"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Portfolio turnover rate</w:t>
            </w:r>
            <w:r>
              <w:rPr>
                <w:rFonts w:ascii="Times New Roman;serif" w:hAnsi="Times New Roman;serif"/>
                <w:b w:val="false"/>
                <w:sz w:val="11"/>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ind w:left="0" w:right="0" w:hanging="0"/>
        <w:jc w:val="left"/>
        <w:rPr>
          <w:rFonts w:ascii="Times New Roman" w:hAnsi="Times New Roman"/>
          <w:sz w:val="20"/>
        </w:rPr>
      </w:pPr>
      <w:r>
        <w:rPr>
          <w:rFonts w:ascii="Times New Roman;serif" w:hAnsi="Times New Roman;serif"/>
          <w:b/>
          <w:sz w:val="12"/>
        </w:rPr>
        <w:t xml:space="preserve">* </w:t>
      </w:r>
      <w:r>
        <w:rPr>
          <w:rFonts w:ascii="Times New Roman;serif" w:hAnsi="Times New Roman;serif"/>
          <w:b w:val="false"/>
          <w:sz w:val="12"/>
        </w:rPr>
        <w:t>Not annualized for periods less than one year.</w:t>
      </w:r>
    </w:p>
    <w:p>
      <w:pPr>
        <w:pStyle w:val="TextBody"/>
        <w:bidi w:val="0"/>
        <w:spacing w:before="0" w:after="0"/>
        <w:ind w:left="0" w:right="0" w:hanging="0"/>
        <w:jc w:val="left"/>
        <w:rPr>
          <w:rFonts w:ascii="Times New Roman" w:hAnsi="Times New Roman"/>
          <w:sz w:val="20"/>
        </w:rPr>
      </w:pPr>
      <w:r>
        <w:rPr>
          <w:rFonts w:ascii="Times New Roman;serif" w:hAnsi="Times New Roman;serif"/>
          <w:b/>
          <w:sz w:val="12"/>
        </w:rPr>
        <w:t xml:space="preserve">** </w:t>
      </w:r>
      <w:r>
        <w:rPr>
          <w:rFonts w:ascii="Times New Roman;serif" w:hAnsi="Times New Roman;serif"/>
          <w:b w:val="false"/>
          <w:sz w:val="12"/>
        </w:rPr>
        <w:t>Re-occuring investment income and expenses included in these ratios are annualized for periods less than one year</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Based on the weighted average shares outstanding for the respective periods.</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The tax status of distributions is calculated in accordance with income tax regulations, which may differ from amounts determined under GAAP, and reported on Form 1099-DIV each calendar year.</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(3)</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Based on the change in market price per share during the periods and assumes distributions, if any, are reinvested.</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(4)</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Excludes debt-related costs.</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(5)</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Includes interest and expenses on debt (annualized) as well as Credit Facility amendment and debt issuance costs, if any, (not annualized).</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(6)</w:t>
      </w:r>
    </w:p>
    <w:p>
      <w:pPr>
        <w:pStyle w:val="TextBody"/>
        <w:bidi w:val="0"/>
        <w:jc w:val="left"/>
        <w:rPr>
          <w:rFonts w:ascii="Times New Roman;serif" w:hAnsi="Times New Roman;serif"/>
          <w:sz w:val="16"/>
        </w:rPr>
      </w:pPr>
      <w:r>
        <w:rPr>
          <w:rFonts w:ascii="Times New Roman;serif" w:hAnsi="Times New Roman;serif"/>
          <w:b w:val="false"/>
          <w:sz w:val="12"/>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w:t>
      </w:r>
      <w:r>
        <w:rPr>
          <w:rFonts w:ascii="Times New Roman;serif" w:hAnsi="Times New Roman;serif"/>
          <w:sz w:val="16"/>
        </w:rPr>
        <w:t xml:space="preserve"> </w:t>
      </w:r>
      <w:r>
        <w:rPr>
          <w:rFonts w:ascii="Times New Roman;serif" w:hAnsi="Times New Roman;serif"/>
          <w:b w:val="false"/>
          <w:sz w:val="12"/>
        </w:rPr>
        <w:t>to determine the asset coverage per unit.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10. DEBT</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annualized weighted average cost of debt for the nine months ended June 30, 2023 and 2022, inclusive of the fee on the undrawn commitment on the Credit Facility or the Prior Credit Facility, as applicable, amendment costs and debt issuance costs, was 6.1% and 3.7%, respectively. As of June 30, 2023, in accordance with the 1940 Act, with certain limited exceptions, we are only allowed to borrow amounts such that we are in compliance with a 150% asset coverage ratio requirement after such borrowing.</w:t>
      </w:r>
    </w:p>
    <w:p>
      <w:pPr>
        <w:pStyle w:val="TextBody"/>
        <w:bidi w:val="0"/>
        <w:spacing w:before="0" w:after="0"/>
        <w:ind w:left="0" w:right="0" w:firstLine="45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2023 and September 30, 2022, our asset coverage ratio, as computed in accordance with the 1940 Act, was 210%</w:t>
      </w:r>
      <w:r>
        <w:rPr>
          <w:rFonts w:ascii="Times New Roman" w:hAnsi="Times New Roman"/>
          <w:sz w:val="20"/>
        </w:rPr>
        <w:t xml:space="preserve"> </w:t>
      </w:r>
      <w:r>
        <w:rPr>
          <w:rFonts w:ascii="Times New Roman;serif" w:hAnsi="Times New Roman;serif"/>
          <w:b w:val="false"/>
          <w:sz w:val="16"/>
        </w:rPr>
        <w:t>and 178%, respectively.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Credit Facility</w:t>
      </w:r>
    </w:p>
    <w:p>
      <w:pPr>
        <w:pStyle w:val="TextBody"/>
        <w:bidi w:val="0"/>
        <w:spacing w:before="0" w:after="0"/>
        <w:ind w:left="0" w:right="0" w:firstLine="49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Funding I’s multi-currency Credit Facility with affiliates of Truist Bank (formerly SunTrust Bank), or the Lenders, was $366.0</w:t>
      </w:r>
      <w:r>
        <w:rPr>
          <w:rFonts w:ascii="Times New Roman" w:hAnsi="Times New Roman"/>
          <w:sz w:val="20"/>
        </w:rPr>
        <w:t xml:space="preserve"> </w:t>
      </w:r>
      <w:r>
        <w:rPr>
          <w:rFonts w:ascii="Times New Roman;serif" w:hAnsi="Times New Roman;serif"/>
          <w:b w:val="false"/>
          <w:sz w:val="16"/>
        </w:rPr>
        <w:t>million as of June 30, 2023, subject to satisfaction of certain conditions and the regulatory restrictions that the 1940 Act imposes on us as a BDC, has an interest rate spread above SOFR (or an alternative risk-free floating interest rate index) of 236 basis points, a maturity date of August 2026</w:t>
      </w:r>
      <w:r>
        <w:rPr>
          <w:rFonts w:ascii="Times New Roman" w:hAnsi="Times New Roman"/>
          <w:sz w:val="20"/>
        </w:rPr>
        <w:t xml:space="preserve"> </w:t>
      </w:r>
      <w:r>
        <w:rPr>
          <w:rFonts w:ascii="Times New Roman;serif" w:hAnsi="Times New Roman;serif"/>
          <w:b w:val="false"/>
          <w:sz w:val="16"/>
        </w:rPr>
        <w:t>and a revolving period that ends in August 2024. As of June 30, 2023 and September 30, 2022, Funding I had $64.4</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$169.7</w:t>
      </w:r>
      <w:r>
        <w:rPr>
          <w:rFonts w:ascii="Times New Roman" w:hAnsi="Times New Roman"/>
          <w:sz w:val="20"/>
        </w:rPr>
        <w:t xml:space="preserve"> </w:t>
      </w:r>
      <w:r>
        <w:rPr>
          <w:rFonts w:ascii="Times New Roman;serif" w:hAnsi="Times New Roman;serif"/>
          <w:b w:val="false"/>
          <w:sz w:val="16"/>
        </w:rPr>
        <w:t>million of outstanding borrowings under the Credit Facility, respectively. The Credit Facility had a weighted average interest rate of 7.5%</w:t>
      </w:r>
      <w:r>
        <w:rPr>
          <w:rFonts w:ascii="Times New Roman" w:hAnsi="Times New Roman"/>
          <w:sz w:val="20"/>
        </w:rPr>
        <w:t xml:space="preserve"> </w:t>
      </w:r>
      <w:r>
        <w:rPr>
          <w:rFonts w:ascii="Times New Roman;serif" w:hAnsi="Times New Roman;serif"/>
          <w:b w:val="false"/>
          <w:sz w:val="16"/>
        </w:rPr>
        <w:t>and 4.9%, exclusive of the fee on undrawn commitments as of June 30, 2023 and September 30, 2022, respectively. As of June 30, 2023 and September 30, 2022, we had</w:t>
      </w:r>
      <w:r>
        <w:rPr>
          <w:rFonts w:ascii="Times New Roman" w:hAnsi="Times New Roman"/>
          <w:sz w:val="20"/>
        </w:rPr>
        <w:t xml:space="preserve"> </w:t>
      </w:r>
      <w:r>
        <w:rPr>
          <w:rFonts w:ascii="Times New Roman;serif" w:hAnsi="Times New Roman;serif"/>
          <w:b w:val="false"/>
          <w:sz w:val="16"/>
        </w:rPr>
        <w:t>$301.6</w:t>
      </w:r>
      <w:r>
        <w:rPr>
          <w:rFonts w:ascii="Times New Roman" w:hAnsi="Times New Roman"/>
          <w:sz w:val="20"/>
        </w:rPr>
        <w:t xml:space="preserve"> </w:t>
      </w:r>
      <w:r>
        <w:rPr>
          <w:rFonts w:ascii="Times New Roman;serif" w:hAnsi="Times New Roman;serif"/>
          <w:b w:val="false"/>
          <w:sz w:val="16"/>
        </w:rPr>
        <w:t>million and $196.3</w:t>
      </w:r>
      <w:r>
        <w:rPr>
          <w:rFonts w:ascii="Times New Roman" w:hAnsi="Times New Roman"/>
          <w:sz w:val="20"/>
        </w:rPr>
        <w:t xml:space="preserve"> </w:t>
      </w:r>
      <w:r>
        <w:rPr>
          <w:rFonts w:ascii="Times New Roman;serif" w:hAnsi="Times New Roman;serif"/>
          <w:b w:val="false"/>
          <w:sz w:val="16"/>
        </w:rPr>
        <w:t>million of unused borrowing capacity under the Credit Facility, respectively, subject to leverage and borrowing base restrictions.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During the revolving period, the Credit Facility bears interest at SOFR (or an alternative risk-free floating interest rate index) plus 236 basis points and, after the revolving period, the rate will reset to Base Rate (or an alternative risk-free floating interest rate index) plus 250 basis points for the remaining two years, maturing in August 2026.</w:t>
      </w:r>
      <w:r>
        <w:rPr>
          <w:rFonts w:ascii="Times New Roman" w:hAnsi="Times New Roman"/>
          <w:sz w:val="20"/>
        </w:rPr>
        <w:t xml:space="preserve"> </w:t>
      </w:r>
      <w:r>
        <w:rPr>
          <w:rFonts w:ascii="Times New Roman;serif" w:hAnsi="Times New Roman;serif"/>
          <w:b w:val="false"/>
          <w:sz w:val="16"/>
        </w:rPr>
        <w:t>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2023, we were in compliance with the covenants relating to the Credit Facility.</w:t>
      </w:r>
    </w:p>
    <w:p>
      <w:pPr>
        <w:pStyle w:val="TextBody"/>
        <w:bidi w:val="0"/>
        <w:spacing w:before="0" w:after="0"/>
        <w:ind w:left="0" w:right="0" w:firstLine="49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own 100% of the equity interest in Funding I and treat the indebtedness of Funding I as our leverage. Our Investment Adviser serves as collateral manager to Funding I under the Credit Facility.</w:t>
      </w:r>
      <w:r>
        <w:rPr>
          <w:rFonts w:ascii="Times New Roman" w:hAnsi="Times New Roman"/>
          <w:sz w:val="20"/>
        </w:rPr>
        <w:t xml:space="preserve"> </w:t>
      </w:r>
    </w:p>
    <w:p>
      <w:pPr>
        <w:pStyle w:val="TextBody"/>
        <w:bidi w:val="0"/>
        <w:spacing w:before="160" w:after="0"/>
        <w:ind w:left="0" w:right="0" w:firstLine="432"/>
        <w:jc w:val="both"/>
        <w:rPr>
          <w:rFonts w:ascii="Times New Roman" w:hAnsi="Times New Roman"/>
          <w:sz w:val="20"/>
        </w:rPr>
      </w:pPr>
      <w:r>
        <w:rPr>
          <w:rFonts w:ascii="Times New Roman;serif" w:hAnsi="Times New Roman;serif"/>
          <w:b w:val="false"/>
          <w:sz w:val="16"/>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160" w:after="0"/>
        <w:ind w:left="0" w:right="0" w:hanging="0"/>
        <w:jc w:val="both"/>
        <w:rPr>
          <w:rFonts w:ascii="Times New Roman;serif" w:hAnsi="Times New Roman;serif"/>
          <w:b w:val="false"/>
          <w:sz w:val="16"/>
        </w:rPr>
      </w:pPr>
      <w:r>
        <w:rPr>
          <w:rFonts w:ascii="Times New Roman;serif" w:hAnsi="Times New Roman;serif"/>
          <w:b w:val="false"/>
          <w:sz w:val="16"/>
        </w:rPr>
        <w:t>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pStyle w:val="TextBody"/>
        <w:bidi w:val="0"/>
        <w:spacing w:before="160" w:after="0"/>
        <w:ind w:left="0" w:right="0" w:hanging="0"/>
        <w:jc w:val="left"/>
        <w:rPr>
          <w:rFonts w:ascii="Times New Roman;serif" w:hAnsi="Times New Roman;serif"/>
          <w:b/>
          <w:i/>
          <w:sz w:val="16"/>
        </w:rPr>
      </w:pPr>
      <w:r>
        <w:rPr>
          <w:rFonts w:ascii="Times New Roman;serif" w:hAnsi="Times New Roman;serif"/>
          <w:b/>
          <w:i/>
          <w:sz w:val="16"/>
        </w:rPr>
        <w:t>2023 Notes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November 2017, we issued $138.6</w:t>
      </w:r>
      <w:r>
        <w:rPr>
          <w:rFonts w:ascii="Times New Roman" w:hAnsi="Times New Roman"/>
          <w:sz w:val="20"/>
        </w:rPr>
        <w:t xml:space="preserve"> </w:t>
      </w:r>
      <w:r>
        <w:rPr>
          <w:rFonts w:ascii="Times New Roman;serif" w:hAnsi="Times New Roman;serif"/>
          <w:b w:val="false"/>
          <w:sz w:val="16"/>
        </w:rPr>
        <w:t>million of our 2023 Notes of which $76.2</w:t>
      </w:r>
      <w:r>
        <w:rPr>
          <w:rFonts w:ascii="Times New Roman" w:hAnsi="Times New Roman"/>
          <w:sz w:val="20"/>
        </w:rPr>
        <w:t xml:space="preserve"> </w:t>
      </w:r>
      <w:r>
        <w:rPr>
          <w:rFonts w:ascii="Times New Roman;serif" w:hAnsi="Times New Roman;serif"/>
          <w:b w:val="false"/>
          <w:sz w:val="16"/>
        </w:rPr>
        <w:t>million and $97.0</w:t>
      </w:r>
      <w:r>
        <w:rPr>
          <w:rFonts w:ascii="Times New Roman" w:hAnsi="Times New Roman"/>
          <w:sz w:val="20"/>
        </w:rPr>
        <w:t xml:space="preserve"> </w:t>
      </w:r>
      <w:r>
        <w:rPr>
          <w:rFonts w:ascii="Times New Roman;serif" w:hAnsi="Times New Roman;serif"/>
          <w:b w:val="false"/>
          <w:sz w:val="16"/>
        </w:rPr>
        <w:t>million were outstanding as of June 30, 2023 and September 30, 2022, respectively. The 2023 Notes were issued pursuant to a deed of trust between the Company and Mishmeret Trust Company, Ltd., as trustee, in November 2017</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w:t>
      </w:r>
      <w:r>
        <w:rPr>
          <w:rFonts w:ascii="Times New Roman" w:hAnsi="Times New Roman"/>
          <w:sz w:val="20"/>
        </w:rPr>
        <w:t xml:space="preserve"> </w:t>
      </w:r>
      <w:r>
        <w:rPr>
          <w:rFonts w:ascii="Times New Roman;serif" w:hAnsi="Times New Roman;serif"/>
          <w:b w:val="false"/>
          <w:sz w:val="16"/>
        </w:rPr>
        <w:t>The principal on the 2023 Notes will be payable in four annual installments</w:t>
      </w:r>
      <w:r>
        <w:rPr>
          <w:rFonts w:ascii="Times New Roman" w:hAnsi="Times New Roman"/>
          <w:sz w:val="20"/>
        </w:rPr>
        <w:t xml:space="preserve"> </w:t>
      </w:r>
      <w:r>
        <w:rPr>
          <w:rFonts w:ascii="Times New Roman;serif" w:hAnsi="Times New Roman;serif"/>
          <w:b w:val="false"/>
          <w:sz w:val="16"/>
        </w:rPr>
        <w:t>as follows: 15% of the original principal amount on December 15, 2020, 15% of the original principal amount on December 15, 2021, 15% of the original principal amount on December 15, 2022 and 55% of the original principal amount on December 15, 2023.</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pStyle w:val="TextBody"/>
        <w:bidi w:val="0"/>
        <w:spacing w:before="160" w:after="0"/>
        <w:ind w:left="0" w:right="0" w:hanging="0"/>
        <w:jc w:val="both"/>
        <w:rPr>
          <w:rFonts w:ascii="Times New Roman;serif" w:hAnsi="Times New Roman;serif"/>
          <w:b/>
          <w:i/>
          <w:sz w:val="16"/>
        </w:rPr>
      </w:pPr>
      <w:r>
        <w:rPr>
          <w:rFonts w:ascii="Times New Roman;serif" w:hAnsi="Times New Roman;serif"/>
          <w:b/>
          <w:i/>
          <w:sz w:val="16"/>
        </w:rPr>
        <w:t>2026 Notes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March 2021 and in October 2021, we issued $100.0</w:t>
      </w:r>
      <w:r>
        <w:rPr>
          <w:rFonts w:ascii="Times New Roman" w:hAnsi="Times New Roman"/>
          <w:sz w:val="20"/>
        </w:rPr>
        <w:t xml:space="preserve"> </w:t>
      </w:r>
      <w:r>
        <w:rPr>
          <w:rFonts w:ascii="Times New Roman;serif" w:hAnsi="Times New Roman;serif"/>
          <w:b w:val="false"/>
          <w:sz w:val="16"/>
        </w:rPr>
        <w:t>million and $85.0</w:t>
      </w:r>
      <w:r>
        <w:rPr>
          <w:rFonts w:ascii="Times New Roman" w:hAnsi="Times New Roman"/>
          <w:sz w:val="20"/>
        </w:rPr>
        <w:t xml:space="preserve"> </w:t>
      </w:r>
      <w:r>
        <w:rPr>
          <w:rFonts w:ascii="Times New Roman;serif" w:hAnsi="Times New Roman;serif"/>
          <w:b w:val="false"/>
          <w:sz w:val="16"/>
        </w:rPr>
        <w:t>million, respectively, in aggregate principal amount of $185.0</w:t>
      </w:r>
      <w:r>
        <w:rPr>
          <w:rFonts w:ascii="Times New Roman" w:hAnsi="Times New Roman"/>
          <w:sz w:val="20"/>
        </w:rPr>
        <w:t xml:space="preserve"> </w:t>
      </w:r>
      <w:r>
        <w:rPr>
          <w:rFonts w:ascii="Times New Roman;serif" w:hAnsi="Times New Roman;serif"/>
          <w:b w:val="false"/>
          <w:sz w:val="16"/>
        </w:rPr>
        <w:t>million of our 2026 Notes at a public offering price per note of 99.4% and 101.5%, respectively. Interest on the 2026 Notes is paid semi-annually</w:t>
      </w:r>
      <w:r>
        <w:rPr>
          <w:rFonts w:ascii="Times New Roman;serif" w:hAnsi="Times New Roman;serif"/>
          <w:sz w:val="16"/>
        </w:rPr>
        <w:t xml:space="preserve"> </w:t>
      </w:r>
      <w:r>
        <w:rPr>
          <w:rFonts w:ascii="Times New Roman;serif" w:hAnsi="Times New Roman;serif"/>
          <w:b w:val="false"/>
          <w:sz w:val="16"/>
        </w:rPr>
        <w:t>on April 1 and October 1 of each year, at a rate of 4.25% per year, commencing October 1, 2021.</w:t>
      </w:r>
      <w:r>
        <w:rPr>
          <w:rFonts w:ascii="Times New Roman" w:hAnsi="Times New Roman"/>
          <w:sz w:val="20"/>
        </w:rPr>
        <w:t xml:space="preserve"> </w:t>
      </w:r>
      <w:r>
        <w:rPr>
          <w:rFonts w:ascii="Times New Roman;serif" w:hAnsi="Times New Roman;serif"/>
          <w:b w:val="false"/>
          <w:sz w:val="16"/>
        </w:rPr>
        <w:t>The 2026 Notes mature on April 1, 2026</w:t>
      </w:r>
      <w:r>
        <w:rPr>
          <w:rFonts w:ascii="Times New Roman" w:hAnsi="Times New Roman"/>
          <w:sz w:val="20"/>
        </w:rPr>
        <w:t xml:space="preserve"> </w:t>
      </w:r>
      <w:r>
        <w:rPr>
          <w:rFonts w:ascii="Times New Roman;serif" w:hAnsi="Times New Roman;serif"/>
          <w:b w:val="false"/>
          <w:sz w:val="16"/>
        </w:rPr>
        <w:t>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2031 Asset-Backed Debt</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September 2019, the Company completed the $301.4</w:t>
      </w:r>
      <w:r>
        <w:rPr>
          <w:rFonts w:ascii="Times New Roman" w:hAnsi="Times New Roman"/>
          <w:sz w:val="20"/>
        </w:rPr>
        <w:t xml:space="preserve"> </w:t>
      </w:r>
      <w:r>
        <w:rPr>
          <w:rFonts w:ascii="Times New Roman;serif" w:hAnsi="Times New Roman;serif"/>
          <w:b w:val="false"/>
          <w:sz w:val="16"/>
        </w:rPr>
        <w:t>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w:t>
      </w:r>
      <w:r>
        <w:rPr>
          <w:rFonts w:ascii="Times New Roman" w:hAnsi="Times New Roman"/>
          <w:sz w:val="20"/>
        </w:rPr>
        <w:t xml:space="preserve"> </w:t>
      </w:r>
      <w:r>
        <w:rPr>
          <w:rFonts w:ascii="Times New Roman;serif" w:hAnsi="Times New Roman;serif"/>
          <w:b w:val="false"/>
          <w:sz w:val="16"/>
        </w:rPr>
        <w:t>million Class A-1 Senior Secured Floating Rate Loans maturing 2031, which bear interest at the</w:t>
      </w:r>
      <w:r>
        <w:rPr>
          <w:rFonts w:ascii="Times New Roman" w:hAnsi="Times New Roman"/>
          <w:sz w:val="20"/>
        </w:rPr>
        <w:t xml:space="preserve"> </w:t>
      </w:r>
      <w:r>
        <w:rPr>
          <w:rFonts w:ascii="Times New Roman;serif" w:hAnsi="Times New Roman;serif"/>
          <w:b w:val="false"/>
          <w:sz w:val="16"/>
        </w:rPr>
        <w:t>three-month LIBOR plus 1.8%, (ii) $15.0</w:t>
      </w:r>
      <w:r>
        <w:rPr>
          <w:rFonts w:ascii="Times New Roman" w:hAnsi="Times New Roman"/>
          <w:sz w:val="20"/>
        </w:rPr>
        <w:t xml:space="preserve"> </w:t>
      </w:r>
      <w:r>
        <w:rPr>
          <w:rFonts w:ascii="Times New Roman;serif" w:hAnsi="Times New Roman;serif"/>
          <w:b w:val="false"/>
          <w:sz w:val="16"/>
        </w:rPr>
        <w:t>million Class A-2 Senior Secured Fixed Rate Notes due 2031, which bear interest at 3.7%, (iii) $14.0</w:t>
      </w:r>
      <w:r>
        <w:rPr>
          <w:rFonts w:ascii="Times New Roman" w:hAnsi="Times New Roman"/>
          <w:sz w:val="20"/>
        </w:rPr>
        <w:t xml:space="preserve"> </w:t>
      </w:r>
      <w:r>
        <w:rPr>
          <w:rFonts w:ascii="Times New Roman;serif" w:hAnsi="Times New Roman;serif"/>
          <w:b w:val="false"/>
          <w:sz w:val="16"/>
        </w:rPr>
        <w:t>million Class B-1 Senior Secured Floating Rate Notes due 2031, which bear interest at the three-month LIBOR plus 2.9%, (iv) $16.0</w:t>
      </w:r>
      <w:r>
        <w:rPr>
          <w:rFonts w:ascii="Times New Roman" w:hAnsi="Times New Roman"/>
          <w:sz w:val="20"/>
        </w:rPr>
        <w:t xml:space="preserve"> </w:t>
      </w:r>
      <w:r>
        <w:rPr>
          <w:rFonts w:ascii="Times New Roman;serif" w:hAnsi="Times New Roman;serif"/>
          <w:b w:val="false"/>
          <w:sz w:val="16"/>
        </w:rPr>
        <w:t>million Class B-2 Senior Secured Fixed Rate Notes due 2031, which bear interest at 4.3%, (v) $19.0</w:t>
      </w:r>
      <w:r>
        <w:rPr>
          <w:rFonts w:ascii="Times New Roman" w:hAnsi="Times New Roman"/>
          <w:sz w:val="20"/>
        </w:rPr>
        <w:t xml:space="preserve"> </w:t>
      </w:r>
      <w:r>
        <w:rPr>
          <w:rFonts w:ascii="Times New Roman;serif" w:hAnsi="Times New Roman;serif"/>
          <w:b w:val="false"/>
          <w:sz w:val="16"/>
        </w:rPr>
        <w:t>million Class C</w:t>
        <w:noBreakHyphen/>
        <w:t>1 Secured Deferrable Floating Rate Notes due 2031, which bear interest at the three-month LIBOR plus 4.0%, (vi) $8.0</w:t>
      </w:r>
      <w:r>
        <w:rPr>
          <w:rFonts w:ascii="Times New Roman" w:hAnsi="Times New Roman"/>
          <w:sz w:val="20"/>
        </w:rPr>
        <w:t xml:space="preserve"> </w:t>
      </w:r>
      <w:r>
        <w:rPr>
          <w:rFonts w:ascii="Times New Roman;serif" w:hAnsi="Times New Roman;serif"/>
          <w:b w:val="false"/>
          <w:sz w:val="16"/>
        </w:rPr>
        <w:t>million Class C-2 Secured Deferrable Fixed Rate Notes due 2031, which bear interest at 5.4%, and (vii) $18.0</w:t>
      </w:r>
      <w:r>
        <w:rPr>
          <w:rFonts w:ascii="Times New Roman" w:hAnsi="Times New Roman"/>
          <w:sz w:val="20"/>
        </w:rPr>
        <w:t xml:space="preserve"> </w:t>
      </w:r>
      <w:r>
        <w:rPr>
          <w:rFonts w:ascii="Times New Roman;serif" w:hAnsi="Times New Roman;serif"/>
          <w:b w:val="false"/>
          <w:sz w:val="16"/>
        </w:rPr>
        <w:t>million Class D Secured Deferrable Floating Rate Loans due 2031, which bear interest at the three-month LIBOR plus 4.8%</w:t>
      </w:r>
      <w:r>
        <w:rPr>
          <w:rFonts w:ascii="Times New Roman" w:hAnsi="Times New Roman"/>
          <w:sz w:val="20"/>
        </w:rPr>
        <w:t xml:space="preserve"> </w:t>
      </w:r>
      <w:r>
        <w:rPr>
          <w:rFonts w:ascii="Times New Roman;serif" w:hAnsi="Times New Roman;serif"/>
          <w:b w:val="false"/>
          <w:sz w:val="16"/>
        </w:rPr>
        <w:t>and (B) the borrowing of $77.5</w:t>
      </w:r>
      <w:r>
        <w:rPr>
          <w:rFonts w:ascii="Times New Roman" w:hAnsi="Times New Roman"/>
          <w:sz w:val="20"/>
        </w:rPr>
        <w:t xml:space="preserve"> </w:t>
      </w:r>
      <w:r>
        <w:rPr>
          <w:rFonts w:ascii="Times New Roman;serif" w:hAnsi="Times New Roman;serif"/>
          <w:b w:val="false"/>
          <w:sz w:val="16"/>
        </w:rPr>
        <w:t>million Class A</w:t>
        <w:noBreakHyphen/>
        <w:t>1 Senior Secured Floating Rate Notes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w:t>
      </w:r>
      <w:r>
        <w:rPr>
          <w:rFonts w:ascii="Times New Roman" w:hAnsi="Times New Roman"/>
          <w:sz w:val="20"/>
        </w:rPr>
        <w:t xml:space="preserve"> </w:t>
      </w:r>
      <w:r>
        <w:rPr>
          <w:rFonts w:ascii="Times New Roman;serif" w:hAnsi="Times New Roman;serif"/>
          <w:b w:val="false"/>
          <w:sz w:val="16"/>
        </w:rPr>
        <w:t>million at the closing of the Debt Securitization.</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2031 Asset-Backed Debt is included in the Consolidated Statement of Assets and Liabilities as debt of the Company and the Class D Secured Deferrable Floating Rate Notes and the Preferred Shares of the Securitization Issuer were eliminated in consolidation. As of both June 30, 2023 and September 30, 2022, the Company had $228.0</w:t>
      </w:r>
      <w:r>
        <w:rPr>
          <w:rFonts w:ascii="Times New Roman" w:hAnsi="Times New Roman"/>
          <w:sz w:val="20"/>
        </w:rPr>
        <w:t xml:space="preserve"> </w:t>
      </w:r>
      <w:r>
        <w:rPr>
          <w:rFonts w:ascii="Times New Roman;serif" w:hAnsi="Times New Roman;serif"/>
          <w:b w:val="false"/>
          <w:sz w:val="16"/>
        </w:rPr>
        <w:t>million of 2031 Asset-Backed Debt outstanding with a weighted average interest rate of 6.8% and 4.6%, respectively. As of June 30, 2023 and September 30, 2022, the unamortized fees on the 2031 Asset-Backed Debt were</w:t>
      </w:r>
      <w:r>
        <w:rPr>
          <w:rFonts w:ascii="Times New Roman" w:hAnsi="Times New Roman"/>
          <w:sz w:val="20"/>
        </w:rPr>
        <w:t xml:space="preserve"> </w:t>
      </w:r>
      <w:r>
        <w:rPr>
          <w:rFonts w:ascii="Times New Roman;serif" w:hAnsi="Times New Roman;serif"/>
          <w:b w:val="false"/>
          <w:sz w:val="16"/>
        </w:rPr>
        <w:t>$1.4</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$1.9</w:t>
      </w:r>
      <w:r>
        <w:rPr>
          <w:rFonts w:ascii="Times New Roman" w:hAnsi="Times New Roman"/>
          <w:sz w:val="20"/>
        </w:rPr>
        <w:t xml:space="preserve"> </w:t>
      </w:r>
      <w:r>
        <w:rPr>
          <w:rFonts w:ascii="Times New Roman;serif" w:hAnsi="Times New Roman;serif"/>
          <w:b w:val="false"/>
          <w:sz w:val="16"/>
        </w:rPr>
        <w:t>million,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r>
        <w:rPr>
          <w:rFonts w:ascii="Times New Roman" w:hAnsi="Times New Roman"/>
          <w:sz w:val="20"/>
        </w:rPr>
        <w:t xml:space="preserve"> </w:t>
      </w:r>
    </w:p>
    <w:p>
      <w:pPr>
        <w:pStyle w:val="TextBody"/>
        <w:bidi w:val="0"/>
        <w:spacing w:before="0" w:after="0"/>
        <w:ind w:left="0" w:right="0" w:firstLine="49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11. COMMITMENTS AND CONTINGENCIES</w:t>
      </w:r>
    </w:p>
    <w:p>
      <w:pPr>
        <w:pStyle w:val="TextBody"/>
        <w:bidi w:val="0"/>
        <w:spacing w:before="0" w:after="0"/>
        <w:ind w:left="0" w:right="0" w:firstLine="490"/>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2023 and September 30, 2022, we had $150.3</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$150.6</w:t>
      </w:r>
      <w:r>
        <w:rPr>
          <w:rFonts w:ascii="Times New Roman" w:hAnsi="Times New Roman"/>
          <w:sz w:val="20"/>
        </w:rPr>
        <w:t xml:space="preserve"> </w:t>
      </w:r>
      <w:r>
        <w:rPr>
          <w:rFonts w:ascii="Times New Roman;serif" w:hAnsi="Times New Roman;serif"/>
          <w:b w:val="false"/>
          <w:sz w:val="16"/>
        </w:rPr>
        <w:t>million, respectively, in commitments to fund investments. Additionally, as described in Note 4, the Company had unfunded commitments of zero</w:t>
      </w:r>
      <w:r>
        <w:rPr>
          <w:rFonts w:ascii="Times New Roman" w:hAnsi="Times New Roman"/>
          <w:sz w:val="20"/>
        </w:rPr>
        <w:t xml:space="preserve"> </w:t>
      </w:r>
      <w:r>
        <w:rPr>
          <w:rFonts w:ascii="Times New Roman;serif" w:hAnsi="Times New Roman;serif"/>
          <w:b w:val="false"/>
          <w:sz w:val="16"/>
        </w:rPr>
        <w:t>and $28.4</w:t>
      </w:r>
      <w:r>
        <w:rPr>
          <w:rFonts w:ascii="Times New Roman" w:hAnsi="Times New Roman"/>
          <w:sz w:val="20"/>
        </w:rPr>
        <w:t xml:space="preserve"> </w:t>
      </w:r>
      <w:r>
        <w:rPr>
          <w:rFonts w:ascii="Times New Roman;serif" w:hAnsi="Times New Roman;serif"/>
          <w:b w:val="false"/>
          <w:sz w:val="16"/>
        </w:rPr>
        <w:t>million to PSSL as of June 30, 2023 and September 30, 2022, respectively, that may be contributed primarily for the purpose of funding new investments approved by the PSSL board of directors or investment committee.</w:t>
      </w:r>
    </w:p>
    <w:p>
      <w:pPr>
        <w:pStyle w:val="TextBody"/>
        <w:bidi w:val="0"/>
        <w:spacing w:before="0" w:after="0"/>
        <w:ind w:left="0" w:right="0" w:firstLine="432"/>
        <w:jc w:val="left"/>
        <w:rPr/>
      </w:pPr>
      <w:r>
        <w:rPr/>
        <w:t> </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sz w:val="16"/>
        </w:rPr>
      </w:pPr>
      <w:r>
        <w:rPr>
          <w:rFonts w:ascii="Times New Roman;serif" w:hAnsi="Times New Roman;serif"/>
          <w:b/>
          <w:sz w:val="16"/>
        </w:rPr>
        <w:t>12. SUBSEQUENT EVENTS</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PENNANTPARK FLOATING RATE CAPITAL LTD. AND SUBSIDIARIES</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NOTES TO CONSOLIDATED FINANCIAL STATEMENTS-(Continued)</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p>
      <w:pPr>
        <w:pStyle w:val="TextBody"/>
        <w:bidi w:val="0"/>
        <w:spacing w:before="0" w:after="0"/>
        <w:ind w:left="0" w:right="0" w:hanging="0"/>
        <w:jc w:val="center"/>
        <w:rPr/>
      </w:pPr>
      <w:r>
        <w:rPr/>
        <w:t> </w:t>
      </w:r>
    </w:p>
    <w:p>
      <w:pPr>
        <w:pStyle w:val="TextBody"/>
        <w:bidi w:val="0"/>
        <w:spacing w:before="0" w:after="0"/>
        <w:ind w:left="0" w:right="0" w:firstLine="490"/>
        <w:jc w:val="left"/>
        <w:rPr/>
      </w:pPr>
      <w:r>
        <w:rPr/>
        <w:t> </w:t>
      </w:r>
    </w:p>
    <w:p>
      <w:pPr>
        <w:pStyle w:val="TextBody"/>
        <w:bidi w:val="0"/>
        <w:spacing w:before="0" w:after="0"/>
        <w:ind w:left="0" w:right="0" w:firstLine="432"/>
        <w:jc w:val="left"/>
        <w:rPr>
          <w:rFonts w:ascii="Times New Roman" w:hAnsi="Times New Roman"/>
          <w:sz w:val="20"/>
        </w:rPr>
      </w:pPr>
      <w:r>
        <w:rPr>
          <w:rFonts w:ascii="Times New Roman;serif" w:hAnsi="Times New Roman;serif"/>
          <w:b w:val="false"/>
          <w:sz w:val="16"/>
        </w:rPr>
        <w:t>Subsequent to June 30, 2023, we issued 3,197,403</w:t>
      </w:r>
      <w:r>
        <w:rPr>
          <w:rFonts w:ascii="Times New Roman" w:hAnsi="Times New Roman"/>
          <w:sz w:val="20"/>
        </w:rPr>
        <w:t xml:space="preserve"> </w:t>
      </w:r>
      <w:r>
        <w:rPr>
          <w:rFonts w:ascii="Times New Roman;serif" w:hAnsi="Times New Roman;serif"/>
          <w:b w:val="false"/>
          <w:sz w:val="16"/>
        </w:rPr>
        <w:t>shares of common stock through the ATM Program that were sold prior to the quarter end at an average price of $11.01</w:t>
      </w:r>
      <w:r>
        <w:rPr>
          <w:rFonts w:ascii="Times New Roman" w:hAnsi="Times New Roman"/>
          <w:sz w:val="20"/>
        </w:rPr>
        <w:t xml:space="preserve"> </w:t>
      </w:r>
      <w:r>
        <w:rPr>
          <w:rFonts w:ascii="Times New Roman;serif" w:hAnsi="Times New Roman;serif"/>
          <w:b w:val="false"/>
          <w:sz w:val="16"/>
        </w:rPr>
        <w:t>per share, raising $35.2</w:t>
      </w:r>
      <w:r>
        <w:rPr>
          <w:rFonts w:ascii="Times New Roman" w:hAnsi="Times New Roman"/>
          <w:sz w:val="20"/>
        </w:rPr>
        <w:t xml:space="preserve"> </w:t>
      </w:r>
      <w:r>
        <w:rPr>
          <w:rFonts w:ascii="Times New Roman;serif" w:hAnsi="Times New Roman;serif"/>
          <w:b w:val="false"/>
          <w:sz w:val="16"/>
        </w:rPr>
        <w:t>million of net proceeds after commissions to the sales agents and inclusive of proceeds from the Investment Adviser to ensure that all shares were sold at or above NAV.</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sz w:val="16"/>
        </w:rPr>
      </w:pPr>
      <w:r>
        <w:rPr>
          <w:rFonts w:ascii="Times New Roman;serif" w:hAnsi="Times New Roman;serif"/>
          <w:b w:val="false"/>
          <w:sz w:val="16"/>
        </w:rPr>
        <w:t>On July 31, 2023, the Credit Facility's commitment was increased by $20</w:t>
      </w:r>
      <w:r>
        <w:rPr>
          <w:rFonts w:ascii="Times New Roman;serif" w:hAnsi="Times New Roman;serif"/>
          <w:sz w:val="16"/>
        </w:rPr>
        <w:t xml:space="preserve"> </w:t>
      </w:r>
      <w:r>
        <w:rPr>
          <w:rFonts w:ascii="Times New Roman;serif" w:hAnsi="Times New Roman;serif"/>
          <w:b w:val="false"/>
          <w:sz w:val="16"/>
        </w:rPr>
        <w:t>million due to the inclusion of a new lender to the facility. The additional commitment increases the Credit Facility's total commitment amount to $386</w:t>
      </w:r>
      <w:r>
        <w:rPr>
          <w:rFonts w:ascii="Times New Roman;serif" w:hAnsi="Times New Roman;serif"/>
          <w:sz w:val="16"/>
        </w:rPr>
        <w:t xml:space="preserve"> </w:t>
      </w:r>
      <w:r>
        <w:rPr>
          <w:rFonts w:ascii="Times New Roman;serif" w:hAnsi="Times New Roman;serif"/>
          <w:b w:val="false"/>
          <w:sz w:val="16"/>
        </w:rPr>
        <w:t>million.</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bookmarkStart w:id="15" w:name="report_independent_registered_public_acc"/>
      <w:bookmarkEnd w:id="15"/>
      <w:r>
        <w:rPr>
          <w:rFonts w:ascii="Times New Roman;serif" w:hAnsi="Times New Roman;serif"/>
          <w:b/>
          <w:sz w:val="16"/>
        </w:rPr>
        <w:t>Report of Independent Registered Public Accounting Firma</w:t>
      </w:r>
    </w:p>
    <w:p>
      <w:pPr>
        <w:pStyle w:val="TextBody"/>
        <w:bidi w:val="0"/>
        <w:spacing w:before="0" w:after="0"/>
        <w:ind w:left="0" w:right="0" w:firstLine="490"/>
        <w:jc w:val="left"/>
        <w:rPr/>
      </w:pPr>
      <w:r>
        <w:rPr/>
        <w:t> </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 the Stockholders and Board of Directors of PennantPark Floating Rate Capital Ltd. and its Subsidiaries</w:t>
      </w:r>
    </w:p>
    <w:p>
      <w:pPr>
        <w:pStyle w:val="TextBody"/>
        <w:bidi w:val="0"/>
        <w:spacing w:before="0" w:after="0"/>
        <w:ind w:left="0" w:right="0" w:hanging="0"/>
        <w:jc w:val="left"/>
        <w:rPr>
          <w:rFonts w:ascii="Times New Roman" w:hAnsi="Times New Roman"/>
          <w:sz w:val="20"/>
        </w:rPr>
      </w:pPr>
      <w:r>
        <w:rPr>
          <w:rFonts w:ascii="Times New Roman;serif" w:hAnsi="Times New Roman;serif"/>
          <w:b/>
          <w:sz w:val="16"/>
        </w:rPr>
        <w:t>Results of Review of Interim Financial Statements</w:t>
        <w:br/>
        <w:br/>
      </w:r>
      <w:r>
        <w:rPr>
          <w:rFonts w:ascii="Times New Roman;serif" w:hAnsi="Times New Roman;serif"/>
          <w:b w:val="false"/>
          <w:sz w:val="16"/>
        </w:rPr>
        <w:t>We have reviewed the accompanying consolidated statement of assets and liabilities of PennantPark Floating Rate Capital Ltd. and its Subsidiaries (collectively referred to as the Company), including the consolidated schedule of investments, as of June 30, 2023, the related consolidated statements of operations and changes in net assets for the three-month and nine-month periods ended June 30, 2023 and 2022 and cash flows for the nine-month periods ended June, 2023 and 2022, and the related notes to</w:t>
        <w:br/>
        <w:t>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br/>
        <w:br/>
      </w:r>
      <w:r>
        <w:rPr>
          <w:rFonts w:ascii="Times New Roman" w:hAnsi="Times New Roman"/>
          <w:sz w:val="20"/>
        </w:rPr>
        <w:t> </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 have previously audited, in accordance with the standards of the Public Company Accounting Oversight Board (United States) (PCAOB), the consolidated statement of assets and liabilities of the Company, including the consolidated schedule of investments, as of September 30, 2022, and the related consolidated statements of operations, changes in net assets, and cash flows for the year then ended (not presented herein); and in our report dated November 17, 2022, we expressed an unqualified opinion on those consolidated financial statements. In our opinion, the information set forth in the accompanying consolidated statement of assets and liabilities, including the consolidated schedule of investments, as of September 30, 2022, is fairly stated, in all material respects, in relation to the consolidated statement of assets and liabilities, including the consolidated schedule of investments, from which it has been derived.</w:t>
      </w:r>
    </w:p>
    <w:p>
      <w:pPr>
        <w:pStyle w:val="TextBody"/>
        <w:bidi w:val="0"/>
        <w:spacing w:before="0" w:after="0"/>
        <w:ind w:left="0" w:right="0" w:hanging="0"/>
        <w:jc w:val="left"/>
        <w:rPr>
          <w:rFonts w:ascii="Times New Roman" w:hAnsi="Times New Roman"/>
          <w:sz w:val="20"/>
        </w:rPr>
      </w:pPr>
      <w:r>
        <w:rPr>
          <w:rFonts w:ascii="Times New Roman;serif" w:hAnsi="Times New Roman;serif"/>
          <w:b w:val="false"/>
          <w:sz w:val="16"/>
        </w:rPr>
        <w:br/>
        <w:br/>
      </w:r>
      <w:r>
        <w:rPr>
          <w:rFonts w:ascii="Times New Roman;serif" w:hAnsi="Times New Roman;serif"/>
          <w:b/>
          <w:sz w:val="16"/>
        </w:rPr>
        <w:t>Basis for Review Results</w:t>
      </w:r>
      <w:r>
        <w:rPr>
          <w:rFonts w:ascii="Times New Roman;serif" w:hAnsi="Times New Roman;serif"/>
          <w:b w:val="false"/>
          <w:sz w:val="16"/>
        </w:rPr>
        <w:br/>
        <w:b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RSM US LLP</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New York, New York</w:t>
      </w:r>
    </w:p>
    <w:p>
      <w:pPr>
        <w:pStyle w:val="TextBody"/>
        <w:bidi w:val="0"/>
        <w:spacing w:before="0" w:after="0"/>
        <w:ind w:left="0" w:right="0" w:hanging="0"/>
        <w:jc w:val="left"/>
        <w:rPr>
          <w:rFonts w:ascii="Times New Roman" w:hAnsi="Times New Roman"/>
          <w:sz w:val="20"/>
        </w:rPr>
      </w:pPr>
      <w:r>
        <w:rPr>
          <w:rFonts w:ascii="Times New Roman;serif" w:hAnsi="Times New Roman;serif"/>
          <w:b w:val="false"/>
          <w:sz w:val="16"/>
        </w:rPr>
        <w:t>August 9, 2023</w:t>
        <w:br/>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Awareness Letter of Independent Registered Public Accounting Firm</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 the Board of Directors and Stockholders of PennantPark Floating Rate Capital Ltd. and its Subsidiaries</w:t>
      </w:r>
    </w:p>
    <w:p>
      <w:pPr>
        <w:pStyle w:val="TextBody"/>
        <w:bidi w:val="0"/>
        <w:spacing w:before="0" w:after="0"/>
        <w:ind w:left="0" w:right="0" w:hanging="0"/>
        <w:jc w:val="both"/>
        <w:rPr>
          <w:rFonts w:ascii="Times New Roman" w:hAnsi="Times New Roman"/>
          <w:sz w:val="20"/>
        </w:rPr>
      </w:pPr>
      <w:r>
        <w:rPr>
          <w:rFonts w:ascii="Times New Roman;serif" w:hAnsi="Times New Roman;serif"/>
          <w:b w:val="false"/>
          <w:sz w:val="16"/>
        </w:rPr>
        <w:t>We have reviewed, in accordance with the standards of the Public Company Accounting Oversight Board (United States), the unaudited interim financial information of PennantPark Floating Rate Capital Ltd. for the periods ended June 30, 2023 and 2022, as indicated in our report dated August 9, 2023; because we did not perform an audit, we expressed no opinion on that information.</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We are aware that our report referred to above, which is included in your Quarterly Report on Form 10-Q for the quarter ended June 30, 2023, is incorporated by reference in Registration Statement No.333-268813 on Form N-2.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/s/ RSM US LLP</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New York, New York</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August 9, 2023</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bookmarkStart w:id="16" w:name="toc90073_10"/>
      <w:bookmarkEnd w:id="16"/>
      <w:r>
        <w:rPr>
          <w:rFonts w:ascii="Times New Roman;serif" w:hAnsi="Times New Roman;serif"/>
          <w:b/>
          <w:sz w:val="16"/>
        </w:rPr>
        <w:t>Item 2. MANAGEMENT’S DISCUSSION AND ANALYSIS OF</w:t>
      </w:r>
      <w:bookmarkStart w:id="17" w:name="item_2_managements_discussion_analysis_f"/>
      <w:bookmarkEnd w:id="17"/>
      <w:r>
        <w:rPr>
          <w:rFonts w:ascii="Times New Roman" w:hAnsi="Times New Roman"/>
          <w:sz w:val="20"/>
        </w:rPr>
        <w:t xml:space="preserve"> </w:t>
      </w:r>
      <w:r>
        <w:rPr>
          <w:rFonts w:ascii="Times New Roman;serif" w:hAnsi="Times New Roman;serif"/>
          <w:b/>
          <w:sz w:val="16"/>
        </w:rPr>
        <w:t>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FORWARD-LOOKING STATEMENTS</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pStyle w:val="TextBody"/>
        <w:pBdr/>
        <w:bidi w:val="0"/>
        <w:spacing w:before="0" w:after="0"/>
        <w:ind w:left="432" w:right="0" w:hanging="360"/>
        <w:jc w:val="both"/>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our future operating results;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our business prospects and the prospects of our prospective portfolio companies, including as a result of the pandemic caused by COVID-19 or any future worsening there of;</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dependence of our future success on the general economy and its impact on the industries in which we invest;</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impact of a protracted decline in the liquidity of credit markets on our business;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impact of investments that we expect to make;</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impact of fluctuations in interest rates and foreign exchange rates on our business and our portfolio companies;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our contractual arrangements and relationships with third parties;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valuation of our investments in portfolio companies, particularly those having no liquid trading market;</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ability of our prospective portfolio companies to achieve their objectives;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our expected financings and investments and ability to fund capital commitments to PSSL;</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adequacy of our cash resources and working capital;</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timing of cash flows, if any, from the operations of our prospective portfolio companies;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impact of price and volume fluctuations in the stock market;</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increasing levels of inflation, and its impact on us and our portfolio companies;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ability of our Investment Adviser to locate suitable investments for us and to monitor and administer our investments;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impact of future legislation and regulation on our business and our portfolio companies; and</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impact of the ongoing invasion of Ukraine by Russia, United Kingdom’s withdrawal from the European Union (commonly known as “Brexit”) and other world economic and political issues.</w:t>
      </w:r>
    </w:p>
    <w:p>
      <w:pPr>
        <w:pStyle w:val="TextBody"/>
        <w:bidi w:val="0"/>
        <w:spacing w:before="0" w:after="0"/>
        <w:ind w:left="72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following analysis of our financial condition and results of operations should be read in conjunction with our Consolidated Financial Statements and the related notes thereto contained elsewhere in this Report.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Overview</w:t>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Organization and Structure of PennantPark Floating Rate Capital Ltd.</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Revenues</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Expenses</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pStyle w:val="TextBody"/>
        <w:pBdr/>
        <w:bidi w:val="0"/>
        <w:spacing w:before="0" w:after="0"/>
        <w:ind w:left="432" w:right="0" w:hanging="36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cost of calculating our NAV, including the cost of any third-party valuation services;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the cost of effecting sales and repurchases of shares of our common stock and other securities;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fees payable to third parties relating to, or associated with, making investments, including fees and expenses associated with performing due diligence and reviews of prospective investments or complementary businesses;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expenses incurred by the Investment Adviser in performing due diligence and reviews of investments;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transfer agent and custodial fees;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fees and expenses associated with marketing efforts;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federal and state registration fees and any exchange listing fees;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federal, state, local and foreign taxes;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independent directors’ fees and expenses;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brokerage commissions;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fidelity bond, directors and officers, errors and omissions liability insurance and other insurance premiums;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direct costs such as printing, mailing, long distance telephone and staff;</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fees and expenses associated with independent audits and outside legal costs;</w:t>
      </w:r>
    </w:p>
    <w:p>
      <w:pPr>
        <w:pStyle w:val="TextBody"/>
        <w:bidi w:val="0"/>
        <w:spacing w:before="0" w:after="0"/>
        <w:ind w:left="0" w:right="0" w:hanging="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costs associated with our reporting and compliance obligations under the 1940 Act and applicable federal and state securities laws; and</w:t>
      </w:r>
    </w:p>
    <w:p>
      <w:pPr>
        <w:pStyle w:val="TextBody"/>
        <w:pBdr/>
        <w:bidi w:val="0"/>
        <w:spacing w:before="0" w:after="0"/>
        <w:ind w:left="0" w:right="0" w:hanging="360"/>
        <w:jc w:val="left"/>
        <w:rPr/>
      </w:pPr>
      <w:r>
        <w:rPr/>
        <w:t> </w:t>
      </w:r>
    </w:p>
    <w:p>
      <w:pPr>
        <w:pStyle w:val="TextBody"/>
        <w:bidi w:val="0"/>
        <w:spacing w:before="0" w:after="0"/>
        <w:ind w:left="432" w:right="0" w:hanging="0"/>
        <w:jc w:val="left"/>
        <w:rPr/>
      </w:pPr>
      <w:r>
        <w:rPr/>
        <w:t>•</w:t>
      </w:r>
    </w:p>
    <w:p>
      <w:pPr>
        <w:pStyle w:val="TextBody"/>
        <w:bidi w:val="0"/>
        <w:jc w:val="left"/>
        <w:rPr>
          <w:rFonts w:ascii="Times New Roman;serif" w:hAnsi="Times New Roman;serif"/>
          <w:b w:val="false"/>
          <w:sz w:val="16"/>
        </w:rPr>
      </w:pPr>
      <w:r>
        <w:rPr>
          <w:rFonts w:ascii="Times New Roman;serif" w:hAnsi="Times New Roman;serif"/>
          <w:b w:val="false"/>
          <w:sz w:val="16"/>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pStyle w:val="TextBody"/>
        <w:pBdr/>
        <w:bidi w:val="0"/>
        <w:spacing w:before="0" w:after="0"/>
        <w:ind w:left="432" w:right="0" w:hanging="36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sz w:val="16"/>
        </w:rPr>
      </w:pPr>
      <w:r>
        <w:rPr>
          <w:rFonts w:ascii="Times New Roman;serif" w:hAnsi="Times New Roman;serif"/>
          <w:b/>
          <w:sz w:val="16"/>
        </w:rPr>
        <w:t>PORTFOLIO AND INVESTMENT ACTIVITY</w:t>
      </w:r>
    </w:p>
    <w:p>
      <w:pPr>
        <w:pStyle w:val="TextBody"/>
        <w:bidi w:val="0"/>
        <w:spacing w:before="120" w:after="120"/>
        <w:ind w:left="0" w:right="0" w:hanging="0"/>
        <w:jc w:val="both"/>
        <w:rPr>
          <w:rFonts w:ascii="Times New Roman;serif" w:hAnsi="Times New Roman;serif"/>
          <w:b/>
          <w:sz w:val="16"/>
        </w:rPr>
      </w:pPr>
      <w:r>
        <w:rPr>
          <w:rFonts w:ascii="Times New Roman;serif" w:hAnsi="Times New Roman;serif"/>
          <w:b/>
          <w:sz w:val="16"/>
        </w:rPr>
        <w:t>PennantPark Floating Rate Capital Ltd.</w:t>
      </w:r>
    </w:p>
    <w:p>
      <w:pPr>
        <w:pStyle w:val="TextBody"/>
        <w:bidi w:val="0"/>
        <w:spacing w:before="160" w:after="0"/>
        <w:ind w:left="0" w:right="0" w:firstLine="432"/>
        <w:jc w:val="both"/>
        <w:rPr>
          <w:rFonts w:ascii="Times New Roman" w:hAnsi="Times New Roman"/>
          <w:sz w:val="20"/>
        </w:rPr>
      </w:pPr>
      <w:r>
        <w:rPr>
          <w:rFonts w:ascii="Times New Roman;serif" w:hAnsi="Times New Roman;serif"/>
          <w:b w:val="false"/>
          <w:sz w:val="16"/>
        </w:rPr>
        <w:t>As of June 30, 2023, our portfolio totaled $1,105.3 million, and consisted of $950.2 million of first lien secured debt (including $210.1 million in PSSL), $0.1 million of second lien secured debt and $154.9 million of preferred and common equity (including $47.9 million in PSSL). Our debt portfolio consisted of 100% variable-rate investments. As of June 30, 2023, we had three portfolio companies on non-accrual, representing 1% and zero percent of our overall portfolio on a cost and fair value basis, respectively. As of June 30, 2023, the portfolio had net unrealized depreciation of $35.2 million. Our overall portfolio consisted of 130 companies with an average investment size of $8.5 million and had a weighted average yield on debt investments of 12.4%, and was invested 86% in first lien secured debt (including 19% in PSSL), less than 1% in second lien secured debt and 14% in preferred and common equity (including 4% in PSSL). As of June 30, 2023, 99% of the investments held by PSSL were first lien secured debt.</w:t>
      </w:r>
      <w:r>
        <w:rPr>
          <w:rFonts w:ascii="Times New Roman" w:hAnsi="Times New Roman"/>
          <w:sz w:val="20"/>
        </w:rPr>
        <w:t xml:space="preserve"> </w:t>
      </w:r>
    </w:p>
    <w:p>
      <w:pPr>
        <w:pStyle w:val="TextBody"/>
        <w:bidi w:val="0"/>
        <w:spacing w:before="160" w:after="0"/>
        <w:ind w:left="0" w:right="0" w:firstLine="432"/>
        <w:jc w:val="both"/>
        <w:rPr>
          <w:rFonts w:ascii="Times New Roman;serif" w:hAnsi="Times New Roman;serif"/>
          <w:b w:val="false"/>
          <w:sz w:val="16"/>
        </w:rPr>
      </w:pPr>
      <w:r>
        <w:rPr>
          <w:rFonts w:ascii="Times New Roman;serif" w:hAnsi="Times New Roman;serif"/>
          <w:b w:val="false"/>
          <w:sz w:val="16"/>
        </w:rPr>
        <w:t>As of September 30, 2022, our portfolio totaled $1,164.3 million and consisted of $1,009.6 million of first lien secured debt (including $190.2 million in PSSL), $0.1 million of second lien secured debt and $154.5 million of preferred and common equity (including $49.4 million in PSSL). Our debt portfolio consisted of 100% variable-rate investments. As of September 30, 2022, we had two portfolio companies on non-accrual, representing 0.9% and zero percent of our overall portfolio on a cost and fair value basis, respectively. As of September 30, 2022, the portfolio had net unrealized depreciation of $13.1 million. Our overall portfolio consisted of 125 companies with an average investment size of $9.3 million, had a weighted average yield on debt investments of 10.0%, and was invested 87% in first lien secured debt (including 16% in PSSL), less than 1% in second lien secured debt and 13% in preferred and common equity (including 4% in PSSL). As of September 30, 2022, 99% of the investments held by PSSL were first lien secured debt.</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 the three months ended June 30, 2023, we invested $80.0 million in four new and 40 existing portfolio companies at a weighted average yield on debt investments of 12.5%. For the three months ended June 30, 2023, sales and repayments of investments totaled $132.4 million, including $75.3 million of sales to PSSL. For the nine months ended June 30, 2023, we invested $231.0 million in 13 new and 63 existing portfolio companies at a weighted average yield on debt investments of 12.1%. For the nine months ended June 30, 2023 sales and repayments of investments totaled $258.1 million, including $121.2 million of sales to PSSL.</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months ended June 30, 2022, we invested $104.8 million in six new and 39 existing portfolio companies at a weighted average yield on debt investments of 8.1%. For the three months ended June 30, 2022 sales and repayments of investments totaled $55.0 million, including $16.8 million of sales to PSSL. For the nine months ended June 30, 2022, we invested $553.1 million in 29 new and 53 existing portfolio companies at a weighted average yield on debt investments of 7.7%. Sales and repayments of investments for the nine months ended June 30, 2022 totaled $397.2 million, including $225.2 million of sales to PSSL.</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sz w:val="16"/>
        </w:rPr>
      </w:pPr>
      <w:r>
        <w:rPr>
          <w:rFonts w:ascii="Times New Roman;serif" w:hAnsi="Times New Roman;serif"/>
          <w:b/>
          <w:sz w:val="16"/>
        </w:rPr>
        <w:t>PennantPark Senior Secured Loan Fund I LLC</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 of June 30, 2023, PSSL’s portfolio totaled $805.2 million and consisted of 105 companies with an average investment size of $7.7 million and at a weighted average yield on debt investments of 12.0%. As of September 30, 2022, PSSL’s portfolio totaled $754.7 million, consisted of 95 companies with an average investment size of $8.0 million and at a weighted average yield on debt investments of 9.6%.</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months ended June 30, 2023, PSSL invested $77.8 million (including $75.3 million purchased from the Company) in six new and 15 existing portfolio companies at a weighted average yield on debt investments of 12.1%. Sales and repayments of investments for the three months ended June 30, 2023 totaled $40.8 million. For the nine months ended June 30, 2023, PSSL invested $138.3 million (including $121.2 million purchased from the Company) in 17 new and 22 existing portfolio companies at a weighted average yield on debt investments of 11.8%. For the nine months ended June 30, 2023 sales and repayments of investments totaled $78.8 million.</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months ended June 30, 2022, PSSL invested $31.5 million (including $16.8 million purchased from the Company) in four new and seven existing portfolio companies at a weighted average yield on debt investments of 8.8%. For the three months ended June 30, 2022 sales and repayments of investments totaled $13.5 million. For the nine months ended June 30, 2022, PSSL invested $228.6 million (including $225.2 million purchased from the Company) in 25 new and 12 existing portfolio companies at a weighted average yield on debt investments of 7.9%. For the nine months ended June 30, 2022, sales and repayments of investments totaled $69.2 million.</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sz w:val="16"/>
        </w:rPr>
      </w:pPr>
      <w:r>
        <w:rPr>
          <w:rFonts w:ascii="Times New Roman;serif" w:hAnsi="Times New Roman;serif"/>
          <w:b/>
          <w:sz w:val="16"/>
        </w:rPr>
        <w:t>At-the-Market Offering</w:t>
      </w:r>
    </w:p>
    <w:p>
      <w:pPr>
        <w:pStyle w:val="TextBody"/>
        <w:bidi w:val="0"/>
        <w:spacing w:before="0" w:after="0"/>
        <w:ind w:left="0" w:right="0" w:hanging="0"/>
        <w:jc w:val="both"/>
        <w:rPr/>
      </w:pPr>
      <w:r>
        <w:rPr/>
        <w:t> </w:t>
      </w:r>
    </w:p>
    <w:p>
      <w:pPr>
        <w:pStyle w:val="TextBody"/>
        <w:bidi w:val="0"/>
        <w:spacing w:before="0" w:after="0"/>
        <w:ind w:left="0" w:right="0" w:firstLine="504"/>
        <w:jc w:val="both"/>
        <w:rPr>
          <w:rFonts w:ascii="Times New Roman" w:hAnsi="Times New Roman"/>
          <w:sz w:val="20"/>
        </w:rPr>
      </w:pPr>
      <w:r>
        <w:rPr>
          <w:rFonts w:ascii="Times New Roman;serif" w:hAnsi="Times New Roman;serif"/>
          <w:b w:val="false"/>
          <w:sz w:val="16"/>
        </w:rPr>
        <w:t>On August 20, 2021, we entered into equity distribution agreements with each of JMP Securities LLC and Raymond James &amp; Associates, Inc., as the sales agents, in connection with the sale of shares of our common stock, with an aggregate offering of up to $75 million under an at-the-market offering (“ATM Program”). The equity distribution agreements provide that we may offer and sell shares of our common stock from time to time through a sales agent in amounts and at times to be determined by us. On May 5, 2022, we amended the equity distribution agreements to update references from NASDAQ to NYSE and reflect that the agents are now represented by Kirkland &amp; Ellis LLP. On March 27, 2023 we terminated the equity distribution agreements and entered into new equity distribution agreements with JMP Securities LLC, Raymond James &amp; Associates, Inc. and Truist Securities, Inc. (together, the "Equity Distribution Agreements"), as sales agents in connection with the sale of shares of our common stock, with an aggregate offering of up to $100 million under an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CRITICAL ACCOUNTING POLICIES AND ESTIMATES</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three months from those disclosed in our 2022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Investment Valuations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spacing w:before="0" w:after="0"/>
        <w:ind w:left="0" w:right="0" w:firstLine="432"/>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Our quarterly valuation process begins with each portfolio company or investment being initially valued by the investment professionals of our Investment Adviser responsible for the portfolio investment;</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r</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 xml:space="preserve">Preliminary valuation conclusions are then documented and discussed with the management of our Investment Adviser; </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(3)</w:t>
      </w:r>
    </w:p>
    <w:p>
      <w:pPr>
        <w:pStyle w:val="TextBody"/>
        <w:bidi w:val="0"/>
        <w:jc w:val="both"/>
        <w:rPr>
          <w:rFonts w:ascii="Times New Roman;serif" w:hAnsi="Times New Roman;serif"/>
          <w:b w:val="false"/>
          <w:sz w:val="16"/>
        </w:rPr>
      </w:pPr>
      <w:r>
        <w:rPr>
          <w:rFonts w:ascii="Times New Roman;serif" w:hAnsi="Times New Roman;serif"/>
          <w:b w:val="false"/>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(4)</w:t>
      </w:r>
    </w:p>
    <w:p>
      <w:pPr>
        <w:pStyle w:val="TextBody"/>
        <w:bidi w:val="0"/>
        <w:jc w:val="both"/>
        <w:rPr>
          <w:rFonts w:ascii="Times New Roman;serif" w:hAnsi="Times New Roman;serif"/>
          <w:b w:val="false"/>
          <w:sz w:val="16"/>
        </w:rPr>
      </w:pPr>
      <w:r>
        <w:rPr>
          <w:rFonts w:ascii="Times New Roman;serif" w:hAnsi="Times New Roman;serif"/>
          <w:b w:val="false"/>
          <w:sz w:val="16"/>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spacing w:before="0" w:after="0"/>
        <w:ind w:left="0" w:right="0" w:hanging="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(5)</w:t>
      </w:r>
    </w:p>
    <w:p>
      <w:pPr>
        <w:pStyle w:val="TextBody"/>
        <w:bidi w:val="0"/>
        <w:jc w:val="both"/>
        <w:rPr>
          <w:rFonts w:ascii="Times New Roman;serif" w:hAnsi="Times New Roman;serif"/>
          <w:b w:val="false"/>
          <w:sz w:val="16"/>
        </w:rPr>
      </w:pPr>
      <w:r>
        <w:rPr>
          <w:rFonts w:ascii="Times New Roman;serif" w:hAnsi="Times New Roman;serif"/>
          <w:b w:val="false"/>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ASC 820 classifies the inputs used to measure these fair values into the following hierarchies:</w:t>
      </w:r>
    </w:p>
    <w:p>
      <w:pPr>
        <w:pStyle w:val="TextBody"/>
        <w:bidi w:val="0"/>
        <w:spacing w:before="0" w:after="0"/>
        <w:ind w:left="0" w:right="115" w:firstLine="432"/>
        <w:jc w:val="both"/>
        <w:rPr/>
      </w:pPr>
      <w:r>
        <w:rPr/>
        <w:t> </w:t>
      </w:r>
    </w:p>
    <w:p>
      <w:pPr>
        <w:pStyle w:val="TextBody"/>
        <w:pBdr/>
        <w:bidi w:val="0"/>
        <w:spacing w:before="0" w:after="0"/>
        <w:ind w:left="432" w:right="0" w:hanging="331"/>
        <w:jc w:val="both"/>
        <w:rPr>
          <w:rFonts w:ascii="Times New Roman;serif" w:hAnsi="Times New Roman;serif"/>
          <w:b w:val="false"/>
          <w:sz w:val="16"/>
        </w:rPr>
      </w:pPr>
      <w:r>
        <w:rPr>
          <w:rFonts w:ascii="Times New Roman;serif" w:hAnsi="Times New Roman;serif"/>
          <w:b w:val="false"/>
          <w:sz w:val="16"/>
        </w:rPr>
        <w:t>Level 1: Inputs that are quoted prices (unadjusted) in active markets for identical assets or liabilities, accessible by us at the measurement date.</w:t>
      </w:r>
    </w:p>
    <w:p>
      <w:pPr>
        <w:pStyle w:val="TextBody"/>
        <w:pBdr/>
        <w:bidi w:val="0"/>
        <w:spacing w:before="0" w:after="0"/>
        <w:ind w:left="432" w:right="115" w:hanging="331"/>
        <w:jc w:val="both"/>
        <w:rPr/>
      </w:pPr>
      <w:r>
        <w:rPr/>
        <w:t> </w:t>
      </w:r>
    </w:p>
    <w:p>
      <w:pPr>
        <w:pStyle w:val="TextBody"/>
        <w:pBdr/>
        <w:bidi w:val="0"/>
        <w:spacing w:before="0" w:after="0"/>
        <w:ind w:left="432" w:right="0" w:hanging="331"/>
        <w:jc w:val="both"/>
        <w:rPr>
          <w:rFonts w:ascii="Times New Roman;serif" w:hAnsi="Times New Roman;serif"/>
          <w:b w:val="false"/>
          <w:sz w:val="16"/>
        </w:rPr>
      </w:pPr>
      <w:r>
        <w:rPr>
          <w:rFonts w:ascii="Times New Roman;serif" w:hAnsi="Times New Roman;serif"/>
          <w:b w:val="false"/>
          <w:sz w:val="16"/>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extBody"/>
        <w:pBdr/>
        <w:bidi w:val="0"/>
        <w:spacing w:before="0" w:after="0"/>
        <w:ind w:left="432" w:right="115" w:hanging="331"/>
        <w:jc w:val="both"/>
        <w:rPr/>
      </w:pPr>
      <w:r>
        <w:rPr/>
        <w:t> </w:t>
      </w:r>
    </w:p>
    <w:p>
      <w:pPr>
        <w:pStyle w:val="TextBody"/>
        <w:pBdr/>
        <w:bidi w:val="0"/>
        <w:spacing w:before="0" w:after="0"/>
        <w:ind w:left="432" w:right="0" w:hanging="331"/>
        <w:jc w:val="both"/>
        <w:rPr>
          <w:rFonts w:ascii="Times New Roman;serif" w:hAnsi="Times New Roman;serif"/>
          <w:b w:val="false"/>
          <w:sz w:val="16"/>
        </w:rPr>
      </w:pPr>
      <w:r>
        <w:rPr>
          <w:rFonts w:ascii="Times New Roman;serif" w:hAnsi="Times New Roman;serif"/>
          <w:b w:val="false"/>
          <w:sz w:val="16"/>
        </w:rPr>
        <w:t>Level 3: Inputs that are unobservable for an asset or liability because they are based on our own assumptions about how market participants would price the asset or liability.</w:t>
      </w:r>
    </w:p>
    <w:p>
      <w:pPr>
        <w:pStyle w:val="TextBody"/>
        <w:bidi w:val="0"/>
        <w:spacing w:before="0" w:after="0"/>
        <w:ind w:left="0" w:right="11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val="false"/>
          <w:sz w:val="16"/>
        </w:rPr>
        <w:t>Investment Adviser as the valuation designee at this time, we have adopted certain revisions to our valuation policies and procedures in order comply with the applicable requirements of Rule 2a-5 under the 1940 Act.</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and nine months ended June 30, 2023 and 2022,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the Credit Facility and the 2023 Notes had a net change in unrealized appreciation (depreciation) of $(5.8) million and $(4.8) million, respectively. For the three and nine months ended June 30, 2022, the Credit Facility and the 2023 Notes had a net change in unrealized appreciation (depreciation) of $(0.1) million and $(1.3) million, respectively. As of June 30, 2023 and September 30, 2022, the net unrealized appreciation (depreciation) on the Credit Facility as applicable, and the 2023 Notes totaled $2.6 million and $(1.5)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Revenue Recognition</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Net Realized Gains or Losses and Net Change in Unrealized Appreciation or Depreciation</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Foreign Currency Translation</w:t>
      </w:r>
    </w:p>
    <w:p>
      <w:pPr>
        <w:pStyle w:val="TextBody"/>
        <w:bidi w:val="0"/>
        <w:spacing w:before="0" w:after="0"/>
        <w:ind w:left="325"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books and records are maintained in U.S. dollars. Any foreign currency amounts are translated into U.S. dollars on the following basis:</w:t>
      </w:r>
    </w:p>
    <w:p>
      <w:pPr>
        <w:pStyle w:val="TextBody"/>
        <w:bidi w:val="0"/>
        <w:spacing w:before="0" w:after="0"/>
        <w:ind w:left="0" w:right="110" w:firstLine="81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Fair value of investment securities, other assets and liabilities – at the exchange rates prevailing at the end of the applicable period; and</w:t>
      </w:r>
    </w:p>
    <w:p>
      <w:pPr>
        <w:pStyle w:val="TextBody"/>
        <w:bidi w:val="0"/>
        <w:spacing w:before="0" w:after="0"/>
        <w:ind w:left="0" w:right="110" w:firstLine="810"/>
        <w:jc w:val="both"/>
        <w:rPr/>
      </w:pPr>
      <w:r>
        <w:rPr/>
        <w:t> </w:t>
      </w:r>
    </w:p>
    <w:p>
      <w:pPr>
        <w:pStyle w:val="TextBody"/>
        <w:bidi w:val="0"/>
        <w:spacing w:before="0" w:after="0"/>
        <w:ind w:left="432" w:right="0" w:hanging="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Purchases and sales of investment securities, income and expenses – at the exchange rates prevailing on the respective dates of such transactions.</w:t>
      </w:r>
    </w:p>
    <w:p>
      <w:pPr>
        <w:pStyle w:val="TextBody"/>
        <w:bidi w:val="0"/>
        <w:spacing w:before="0" w:after="0"/>
        <w:ind w:left="0" w:right="110" w:firstLine="81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i/>
          <w:sz w:val="16"/>
        </w:rPr>
        <w:t>Payment -in-kind, or PIK Interest</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Federal Income Taxes</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serif" w:hAnsi="Times New Roman;serif"/>
          <w:b w:val="false"/>
          <w:sz w:val="16"/>
          <w:u w:val="single"/>
        </w:rPr>
        <w:t>s</w:t>
      </w:r>
      <w:r>
        <w:rPr>
          <w:rFonts w:ascii="Times New Roman;serif" w:hAnsi="Times New Roman;serif"/>
          <w:b w:val="false"/>
          <w:sz w:val="16"/>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pStyle w:val="TextBody"/>
        <w:bidi w:val="0"/>
        <w:spacing w:before="0" w:after="0"/>
        <w:ind w:left="0" w:right="0" w:firstLine="432"/>
        <w:jc w:val="both"/>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 the three and nine months ended June 30, 2023, we recorded a provision for taxes on net investment income of $0.2 million and $0.8 million, respectively, pertaining to federal excise tax. For the three and nine months ended June 30, 2022, we recorded a provision for taxes on net investment income of $0.1 million and $0.3 million, respectively, pertaining to federal excise tax.</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Taxable Subsidiary (PFLT Investment Holdings, LLC, a second tier wholly-owned subsidiary of the Company), is subject to U.S. federal, state and local corporate income taxes. The income tax expense and related tax liabilities of the Taxable Subsidiary are reflected in the Company’s consolidated financial statements.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 the three and nine months ended June 30, 2023, the Company recognized a provision reduction for taxes of zero and $2.9 million, respectively, on unrealized appreciation (depreciation) on investments by the Taxable Subsidiary. For the three and nine months ended June 30, 2022 the Company recognized a provision for taxes of zero and $(5.3) million, respectively,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June 30, 2023 and September 30, 2022, $1.6 million and $4.6 million, respectively, was accrued as a deferred tax liability on the Consolidated Statements of Assets and Liabilities relating to unrealized gain on investments held by the Taxable Subsidiary. As of June 30, 2023 and September 30, 2022, $0.3 million and zero, respectively, was accrued as a provision for taxes on the Consolidated Statements of Operations relating to realized gain on investments held by the Taxable Subsidiary. During the three and nine months ended June 30, 2023, the Company paid $0.5 million and $0.5 million, respectively, in taxes on realized gains on the sale of investments held by the Taxable Subsidiary, resulting in a $1.2 million prepaid tax asset as of June 30, 2023 included under prepaid expenses and other assets in the Consolidated Statement of Assets and Liabilities.</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spacing w:before="0" w:after="0"/>
        <w:ind w:left="0" w:right="0" w:firstLine="54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sz w:val="16"/>
        </w:rPr>
      </w:pPr>
      <w:r>
        <w:rPr>
          <w:rFonts w:ascii="Times New Roman;serif" w:hAnsi="Times New Roman;serif"/>
          <w:b/>
          <w:sz w:val="16"/>
        </w:rPr>
        <w:t>RESULTS OF OPERATIONS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Set forth below are the results of operations for the three and nine months ended June 30, 2023 and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Investment Income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 the three and nine months ended June 30, 2023, investment income was $37.7 million and $103.6 million, respectively, which was attributable to $30.4 million and $88.6 million from first lien secured debt and $7.3 million and $15.0 million from other investments, respectively. For the three and nine months ended June 30, 2022, investment income was $25.7 million and $76.7 million, respectively, which was attributable to $21.1 million and $64.0 million from first lien secured debt and $4.6 million and $12.7 million from other investments, respectively. The increase in investment income compared to the same periods in the prior year was primarily due to the increase in the cost yield of our debt portfolio and a dividend related to our equity investment in Dominion Voting Systems.</w:t>
      </w:r>
    </w:p>
    <w:p>
      <w:pPr>
        <w:pStyle w:val="TextBody"/>
        <w:bidi w:val="0"/>
        <w:spacing w:before="0" w:after="0"/>
        <w:ind w:left="0" w:right="110" w:firstLine="432"/>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Expenses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 the three and nine months ended June 30, 2023, expenses totaled $19.2 million and $54.6 million, respectively and were comprised of: $10.0 million and $29.6 million of debt related interest and expenses, $2.8 million and $8.6 million of base management fees, $4.6 million and $12.2 million of performance-based incentive fees, $1.6 million and $3.3 million of general and administrative expenses and $0.2 million and $0.8 million of taxes. For the three and nine months ended June 30, 2022, expenses totaled $13.9 million and $40.8 million, respectively, and were comprised of: $7.4 and $20.7 million of debt related interest and expenses, $3.1 million and $8.9 million of base management fees, $2.6 million and $8.5 million of performance-based incentive fees, $0.8 million and $2.4 million of administrative expenses and $0.1 million and $0.3 million of taxes. The increase in expenses compared to the same periods in the prior year was primarily due to the increase in financing costs of our debt liabilities and an increase in performance-based incentive fees as a result of higher pre-incentive fee net investment income.</w:t>
      </w:r>
    </w:p>
    <w:p>
      <w:pPr>
        <w:pStyle w:val="TextBody"/>
        <w:bidi w:val="0"/>
        <w:spacing w:before="0" w:after="0"/>
        <w:ind w:left="0" w:right="115" w:firstLine="432"/>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Net Investment Income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net investment income totaled $18.5 million and $49.0 million or $0.36 and $1.02 per share, respectively. For the three and nine months ended June 30, 2022, net investment income totaled $11.8 million and $35.9 million, or $0.29 and $0.90 per share, respectively. The increase in net investment income was primarily due to an increase in investment income partially offset by an increase in expenses compared to the same period in the prior year.</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Net Realized Gains or Losses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net realized gains (losses) totaled $(6.1) million and $(13.8) million, respectively. For the three and nine months ended June 30, 2022, net realized gains (losses) totaled $0.7 million and $(11.6) million, respectively. The change in net realized gains (losses) compared to the same periods in the prior year was primarily due to changes in the market conditions of our investments and the values at which they were realized.</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Unrealized Appreciation or Depreciation on Investments, the Credit Facility and the 2023 Notes</w:t>
      </w:r>
    </w:p>
    <w:p>
      <w:pPr>
        <w:pStyle w:val="TextBody"/>
        <w:bidi w:val="0"/>
        <w:spacing w:before="0" w:after="0"/>
        <w:ind w:left="0" w:right="0" w:firstLine="432"/>
        <w:jc w:val="both"/>
        <w:rPr>
          <w:rFonts w:ascii="Times New Roman" w:hAnsi="Times New Roman"/>
          <w:sz w:val="20"/>
        </w:rPr>
      </w:pPr>
      <w:r>
        <w:rPr>
          <w:rFonts w:ascii="Times New Roman;serif" w:hAnsi="Times New Roman;serif"/>
          <w:b/>
          <w:i/>
          <w:sz w:val="16"/>
        </w:rPr>
        <w:br/>
        <w:br/>
      </w:r>
      <w:r>
        <w:rPr>
          <w:rFonts w:ascii="Times New Roman;serif" w:hAnsi="Times New Roman;serif"/>
          <w:b w:val="false"/>
          <w:sz w:val="16"/>
        </w:rPr>
        <w:t>For the three and nine months ended June 30, 2023, we reported net change in unrealized appreciation (depreciation) on investments of $(1.1) million and $(22.0) million, respectively. For the three and nine months ended June 30, 2022, we reported net change in unrealized appreciation (depreciation) on investments of $(17.7) million and $(3.7) million, respectively. As of June 30, 2023 and September 30, 2022, our net unrealized appreciation (depreciation) on investments totaled $(35.2) million and $(13.1) million, respectively. The net change in unrealized appreciation (depreciation) on our investments compared to the same period in the prior year was primarily due to the operating performance of the portfolio companies within our portfolio and changes in the capital market conditions of our investments.</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 xml:space="preserve">For the three and nine months ended June 30, 2023, our Credit Facility and the 2023 Notes had a net change in unrealized appreciation (depreciation) of $(5.8) million and $(4.8) million, respectively. For the three and nine months ended June 30, 2022, the Credit Facility and the 2023 Notes had a net change in unrealized appreciation (depreciation) of less than $(0.1) million and $(1.3) million, respectively. As of June 30, 2023 and September 30, 2022, the net unrealized appreciation (depreciation) on the Credit Facility and the 2023 Notes totaled $2.6 million and $(1.5) million, respectively. The net change in net unrealized appreciation or depreciation compared to the same periods in the prior year was primarily due to changes in the capital markets. </w:t>
      </w:r>
      <w:r>
        <w:rPr>
          <w:rFonts w:ascii="Times New Roman;serif" w:hAnsi="Times New Roman;serif"/>
          <w:b/>
          <w:i/>
          <w:sz w:val="16"/>
        </w:rPr>
        <w:br/>
        <w:br/>
      </w:r>
      <w:r>
        <w:rPr>
          <w:rFonts w:ascii="Times New Roman" w:hAnsi="Times New Roman"/>
          <w:sz w:val="20"/>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Net Increase (Decrease) in Net Assets Resulting from Operations</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three and nine months ended June 30, 2023, net increase (decrease) in net assets resulting from operations totaled $5.6 million and $11.2 million, or $0.11 and $0.23 per share, respectively. For the three and nine months ended June 30, 2022, net increase (decrease) in net assets resulting from operations totaled $(5.1) million and $16.6 million, or $(0.12) and $0.42 per share, respectively. The net increase or decrease from operations compared to the same periods in the prior year was primarily due to operating performance of our portfolio and changes in capital market conditions of our investments along with change in cost yield of our debt portfolio and costs of financing.</w:t>
      </w:r>
      <w:r>
        <w:rPr>
          <w:rFonts w:ascii="Times New Roman;serif" w:hAnsi="Times New Roman;serif"/>
          <w:b/>
          <w:i/>
          <w:sz w:val="16"/>
        </w:rPr>
        <w:br/>
        <w:br/>
      </w:r>
      <w:r>
        <w:rPr>
          <w:rFonts w:ascii="Times New Roman" w:hAnsi="Times New Roman"/>
          <w:sz w:val="20"/>
        </w:rPr>
        <w:t> </w:t>
      </w:r>
    </w:p>
    <w:p>
      <w:pPr>
        <w:pStyle w:val="TextBody"/>
        <w:bidi w:val="0"/>
        <w:spacing w:before="0" w:after="0"/>
        <w:ind w:left="0" w:right="0" w:hanging="0"/>
        <w:jc w:val="both"/>
        <w:rPr>
          <w:rFonts w:ascii="Times New Roman;serif" w:hAnsi="Times New Roman;serif"/>
          <w:b/>
          <w:sz w:val="16"/>
        </w:rPr>
      </w:pPr>
      <w:r>
        <w:rPr>
          <w:rFonts w:ascii="Times New Roman;serif" w:hAnsi="Times New Roman;serif"/>
          <w:b/>
          <w:sz w:val="16"/>
        </w:rPr>
        <w:t>LIQUIDITY AND CAPITAL RESOURCES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June 30, 2023, in accordance with the 1940 Act, with certain limited exceptions, we are only allowed to borrow amounts such that we are in compliance with a 150% asset coverage ratio requirement after such borrowing.</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2023 and September 30, 2022, our asset coverage ratio, as computed in accordance with the 1940 Act, was 210% and 178%,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For the nine months ended June 30, 2023 and 2022, the annualized weighted average cost of debt, inclusive of the fee on the undrawn commitment on the Credit Facility, amendment costs and debt issuance costs, was 6.1% and 3.7%, respectively. As of June 30, 2023 and September 30, 2022, we had $301.6 million and $196.3 million of unused borrowing capacity under the Credit Facility, as applicable, respectively, subject to leverage and borrowing base restrictions.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Funding I’s multi-currency Credit Facility with the Lenders was $366.0 million as of June 30, 2023 subject to satisfaction of certain conditions and regulatory restrictions that the 1940 Act imposes on us as a BDC, has an interest rate spread above SOFR (or an alternative risk-free floating interest rate index) of 236 basis points, a maturity date of August 2026 and a revolving period that ends in August 2024. As of June 30, 2023 and September 30, 2022, PennantPark Floating Rate Funding I, LLC, our wholly-owned subsidiary, borrowed $64.4 million and $169.7 million under the Credit Facility, respectively, and the weighted average interest rate, exclusive of the fee on undrawn commitments, was of 7.5% and 4.9%,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During the revolving period, the Credit Facility bears interest at SOFR (or an alternative risk-free floating interest rate index) plus 236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2023, we were in compliance with the covenants relating to our Credit Facility.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own 100% of the equity interest in Funding I and treat the indebtedness of Funding I as our leverage. Our Investment Adviser serves as collateral manager to Funding I under the Credit Facility.</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pStyle w:val="TextBody"/>
        <w:bidi w:val="0"/>
        <w:spacing w:before="0" w:after="0"/>
        <w:ind w:left="0" w:right="0" w:firstLine="432"/>
        <w:jc w:val="both"/>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November 2017, we issued $138.6 million of our 2023 Notes. The 2023 Notes were issued pursuant to a deed of trust between the Company and Mishmeret Trust Company, Ltd., as trustee, of which $76.2 million and $97.0 million was outstanding as of June 30, 2023 and September 30, 2022,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noBreakHyphen/>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noBreakHyphen/>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June 30, 2023 and September 30, 2022, the Company had $228.0 million of 2031 Asset-Backed Debt outstanding with a weighted average interest rate of 6.8% and 4.6%, respectively.</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On August 20, 2021, we entered into equity distribution agreements with each of JMP Securities LLC and Raymond James &amp; Associates, Inc., as the sales agents, in connection with the sale of shares of our common stock, with an aggregate offering of up to $75 million under an at-the-market offering (“ATM Program”). The equity distribution agreements provide that we may offer and sell shares of our common stock from time to time through a sales agent in amounts and at times to be determined by us. On May 5, 2022, we amended the equity distribution agreements to update references from NASDAQ to NYSE and reflect that the agents are now represented by Kirkland &amp; Ellis LLP. On March 27, 2023 we terminated the equity distribution agreements and entered into new equity distribution agreements with JMP Securities LLC, Raymond James &amp; Associates, Inc. and Truist Securities, Inc. (together, the "Equity Distribution Agreements"), as sales agents in connection with the sale of shares of our common stock, with an aggregate offering of up to $100 million under an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During the three months ended June 30, 2023, we issued 5,805,484 shares of common stock through the ATM Program at an average price of $11.03 per share, raising $64.1 million of net proceeds after commissions to the sales agents and inclusive of proceeds from the Investment Adviser to ensure that all shares were sold at or above NAV. In connection with the share issuance, we expensed $0.5 million of deferred offering costs incurred related to establishing the ATM Program to additional paid in capital.</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During the nine months ended June 30, 2023, we issued 5,891,661 shares of common stock through the ATM Program at an average price of $11.04 per share, raising $65.1 million of net proceeds after commissions to the sales agents and inclusive of proceeds from the Investment Adviser to ensure that all shares were sold at or above NAV.</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val="false"/>
          <w:sz w:val="16"/>
        </w:rPr>
        <w:t>equal to a percentage of the value of our average adjusted gross assets and (2) an incentive fee based on our performance.</w:t>
        <w:br/>
        <w:br/>
      </w:r>
      <w:r>
        <w:rPr>
          <w:rFonts w:ascii="Times New Roman" w:hAnsi="Times New Roman"/>
          <w:sz w:val="20"/>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Under our Administration Agreement, which was most recently reapproved by our board of directors, including a majority of our directors who are not interested persons of us, in February 2023,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br/>
        <w:br/>
      </w:r>
      <w:r>
        <w:rPr>
          <w:rFonts w:ascii="Times New Roman" w:hAnsi="Times New Roman"/>
          <w:sz w:val="20"/>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br/>
        <w:br/>
      </w:r>
      <w:r>
        <w:rPr>
          <w:rFonts w:ascii="Times New Roman" w:hAnsi="Times New Roman"/>
          <w:sz w:val="20"/>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 of June 30, 2023 and September 30, 2022, we had cash and cash equivalents of $59.1 million and $47.9 million, respectively, available for investing and general corporate purposes. We believe our liquidity and capital resources are sufficient to take advantage of market opportunities.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For the nine months ended June 30, 2023, our operating activities provided cash of $65.4 million and our financing activities used cash of $54.2 million. Our operating activities provided cash primarily realized from our investment activities and our financing activities used cash primarily due to repayments under our Credit Facility and principal repayment of our 2023 Notes, partially offset by proceeds from our equity offering.</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 xml:space="preserve">For the nine months ended June 30, 2022, our operating activities used cash of $111.6 million and our financing activities provided cash of $101.7 million. Our operating activities used cash primarily for our investment activities and our financing activities provided cash primarily due to the issuance of $85 million of our 2026 Add-on Notes borrowings under our Credit Facility. </w:t>
        <w:br/>
        <w:br/>
      </w:r>
      <w:r>
        <w:rPr>
          <w:rFonts w:ascii="Times New Roman" w:hAnsi="Times New Roman"/>
          <w:sz w:val="20"/>
        </w:rPr>
        <w:t> </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sz w:val="16"/>
        </w:rPr>
      </w:pPr>
      <w:r>
        <w:rPr>
          <w:rFonts w:ascii="Times New Roman;serif" w:hAnsi="Times New Roman;serif"/>
          <w:b/>
          <w:sz w:val="16"/>
        </w:rPr>
        <w:t>PennantPark Senior Secured Loan Fund I LLC</w:t>
      </w:r>
    </w:p>
    <w:p>
      <w:pPr>
        <w:pStyle w:val="TextBody"/>
        <w:bidi w:val="0"/>
        <w:spacing w:before="0" w:after="0"/>
        <w:ind w:left="0" w:right="0" w:hanging="0"/>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May 2017, we and Kemper formed PSSL, an unconsolidated joint venture. PSSL invests primarily in middle-market and other corporate debt securities consistent with our strategy. PSSL was formed as a Delaware limited liability company. As of June 30, 2023 and September 30, 2022, PSSL had total assets of $848.4 million and $796.8 million, respectively, and its investment portfolio consisted of debt investments in 105 and 95 portfolio companies, respectively. As of June 30, 2023, at fair value, the largest investment in a single portfolio company in PSSL was $17.7 million and the five largest investments totaled $83.7 million. As of September 30, 2022, at fair value, the largest investment in a single portfolio company in PSSL was $19.3 million and the five largest investments totaled $86.9 million. PSSL invests in portfolio companies in the same industries in which we may directly invest.</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and Kemper provide capital to PSSL in the form of first lien secured debt and equity interests. As of June 30, 2023 and September 30, 2022, we and Kemper owned 87.5% and 12.5%, respectively, of each of the outstanding first lien secured debt and equity interests. As of the same dates, our investment in PSSL consisted of first lien secured debt of $210.1 million (zero remaining unfunded) and $190.2 million (additional $19.9 million unfunded), respectively, and equity interests of $90.0 million (zero remaining unfunded) and $81.5 million (additional $8.5 million unfunded), respectively.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May 2022 PSSL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April 2023, PSSL completed a $297.8 million debt securitization in the form of a collateralized loan obligation, or the “2035 Asset-Backed Debt”. The 2035 Asset-Backed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Subordinated Notes CLO VI, LLC</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Below is a summary of PSSL’s portfolio at fair value:</w:t>
      </w:r>
    </w:p>
    <w:p>
      <w:pPr>
        <w:pStyle w:val="TextBody"/>
        <w:bidi w:val="0"/>
        <w:spacing w:before="0" w:after="0"/>
        <w:ind w:left="0" w:right="0" w:firstLine="432"/>
        <w:jc w:val="both"/>
        <w:rPr/>
      </w:pPr>
      <w:r>
        <w:rPr/>
        <w:t> </w:t>
      </w:r>
    </w:p>
    <w:tbl>
      <w:tblPr>
        <w:tblW w:w="7960" w:type="dxa"/>
        <w:jc w:val="left"/>
        <w:tblInd w:w="0" w:type="dxa"/>
        <w:tblLayout w:type="fixed"/>
        <w:tblCellMar>
          <w:top w:w="28" w:type="dxa"/>
          <w:left w:w="28" w:type="dxa"/>
          <w:bottom w:w="28" w:type="dxa"/>
          <w:right w:w="28" w:type="dxa"/>
        </w:tblCellMar>
      </w:tblPr>
      <w:tblGrid>
        <w:gridCol w:w="4471"/>
        <w:gridCol w:w="146"/>
        <w:gridCol w:w="248"/>
        <w:gridCol w:w="877"/>
        <w:gridCol w:w="241"/>
        <w:gridCol w:w="146"/>
        <w:gridCol w:w="341"/>
        <w:gridCol w:w="1204"/>
        <w:gridCol w:w="28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thousands)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805,217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754,722</w:t>
            </w:r>
          </w:p>
        </w:tc>
        <w:tc>
          <w:tcPr>
            <w:tcW w:w="286" w:type="dxa"/>
            <w:tcBorders/>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cost yield on income producing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Number of portfolio companies in PSSL</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286" w:type="dxa"/>
            <w:tcBorders/>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Largest portfolio company investment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17,697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19,250</w:t>
            </w:r>
          </w:p>
        </w:tc>
        <w:tc>
          <w:tcPr>
            <w:tcW w:w="286" w:type="dxa"/>
            <w:tcBorders/>
            <w:vAlign w:val="center"/>
          </w:tcPr>
          <w:p>
            <w:pPr>
              <w:pStyle w:val="TableContents"/>
              <w:bidi w:val="0"/>
              <w:spacing w:before="0" w:after="0"/>
              <w:ind w:left="0" w:right="0" w:hanging="0"/>
              <w:jc w:val="left"/>
              <w:rPr/>
            </w:pPr>
            <w:r>
              <w:rPr/>
              <w:t> </w:t>
            </w:r>
          </w:p>
        </w:tc>
      </w:tr>
      <w:tr>
        <w:trPr/>
        <w:tc>
          <w:tcPr>
            <w:tcW w:w="44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of five largest portfolio company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83,746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86,872</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Below is a listing of PSSL’s individual investments as of June 30, 2023 (Par and $ in thousands):</w:t>
      </w:r>
    </w:p>
    <w:p>
      <w:pPr>
        <w:pStyle w:val="TextBody"/>
        <w:bidi w:val="0"/>
        <w:spacing w:before="0" w:after="0"/>
        <w:ind w:left="0" w:right="0" w:firstLine="432"/>
        <w:jc w:val="left"/>
        <w:rPr/>
      </w:pPr>
      <w:r>
        <w:rPr/>
        <w:t> </w:t>
      </w:r>
    </w:p>
    <w:tbl>
      <w:tblPr>
        <w:tblW w:w="10205" w:type="dxa"/>
        <w:jc w:val="left"/>
        <w:tblInd w:w="0" w:type="dxa"/>
        <w:tblLayout w:type="fixed"/>
        <w:tblCellMar>
          <w:top w:w="28" w:type="dxa"/>
          <w:left w:w="28" w:type="dxa"/>
          <w:bottom w:w="28" w:type="dxa"/>
          <w:right w:w="28" w:type="dxa"/>
        </w:tblCellMar>
      </w:tblPr>
      <w:tblGrid>
        <w:gridCol w:w="2621"/>
        <w:gridCol w:w="146"/>
        <w:gridCol w:w="622"/>
        <w:gridCol w:w="146"/>
        <w:gridCol w:w="1979"/>
        <w:gridCol w:w="146"/>
        <w:gridCol w:w="183"/>
        <w:gridCol w:w="474"/>
        <w:gridCol w:w="211"/>
        <w:gridCol w:w="146"/>
        <w:gridCol w:w="684"/>
        <w:gridCol w:w="146"/>
        <w:gridCol w:w="166"/>
        <w:gridCol w:w="436"/>
        <w:gridCol w:w="146"/>
        <w:gridCol w:w="146"/>
        <w:gridCol w:w="166"/>
        <w:gridCol w:w="436"/>
        <w:gridCol w:w="146"/>
        <w:gridCol w:w="146"/>
        <w:gridCol w:w="198"/>
        <w:gridCol w:w="520"/>
        <w:gridCol w:w="195"/>
      </w:tblGrid>
      <w:tr>
        <w:trPr/>
        <w:tc>
          <w:tcPr>
            <w:tcW w:w="2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- 1,464.6%</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8"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12,370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7/24/2025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&amp; Publishing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4,945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Holdings Inc (fka MeritDirect) March 2023 Lot</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&amp; Publishing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7/21/2027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2,176</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9,221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3/7/2028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8,865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9/17/2024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14,792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9/26/2029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Automotive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5/16/2024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13,728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Cadence Aerospace,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2.00%)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8"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6/14/2028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9,612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6,769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4/10/2025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Challenger Performance Optimization,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8"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7/13/2027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3,672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14,602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Electro Rent Corporation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3/15/2027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ETE Intermediate II, LLC - Term Loan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5/29/2029</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6/17/2028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13,909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3/16/2026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3,549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8/10/2027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4,876</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1,528</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12/7/2023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16,371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SOFR+685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6,106</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Integrative Nutrition,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8/27/2025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5,862</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3,851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17,697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2/18/2027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14,033</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14,971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2/3/2026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11,905</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1/31/2030</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Industries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SOFR+665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Loving Tan Intermediate II,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5/28/2028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7,350</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Lucky Bucks, LLC </w:t>
            </w:r>
            <w:r>
              <w:rPr>
                <w:rFonts w:ascii="Times New Roman;serif" w:hAnsi="Times New Roman;serif"/>
                <w:b w:val="false"/>
                <w:sz w:val="8"/>
              </w:rPr>
              <w:t>(4)</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7/20/2027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 Gaming and Leisure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 - OpCo DIP Loans</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10/20/2023</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 Gaming and Leisure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SOFR+1000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2,259</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 - Super Priority First Lien Term Loan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 - Super Priority First Lien Unfunded Term Loan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65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11,501</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4/16/2027</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7,277</w:t>
            </w:r>
          </w:p>
        </w:tc>
        <w:tc>
          <w:tcPr>
            <w:tcW w:w="195" w:type="dxa"/>
            <w:tcBorders/>
            <w:vAlign w:val="center"/>
          </w:tcPr>
          <w:p>
            <w:pPr>
              <w:pStyle w:val="TableContents"/>
              <w:bidi w:val="0"/>
              <w:spacing w:before="0" w:after="0"/>
              <w:ind w:left="0" w:right="0" w:hanging="0"/>
              <w:jc w:val="left"/>
              <w:rPr/>
            </w:pPr>
            <w:r>
              <w:rPr/>
              <w:t> </w:t>
            </w:r>
          </w:p>
        </w:tc>
      </w:tr>
      <w:tr>
        <w:trPr/>
        <w:tc>
          <w:tcPr>
            <w:tcW w:w="262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7/25/2028</w:t>
            </w:r>
          </w:p>
        </w:tc>
        <w:tc>
          <w:tcPr>
            <w:tcW w:w="146" w:type="dxa"/>
            <w:tcBorders/>
            <w:vAlign w:val="center"/>
          </w:tcPr>
          <w:p>
            <w:pPr>
              <w:pStyle w:val="TableContents"/>
              <w:bidi w:val="0"/>
              <w:spacing w:before="0" w:after="0"/>
              <w:ind w:left="0" w:right="0" w:hanging="0"/>
              <w:jc w:val="left"/>
              <w:rPr/>
            </w:pPr>
            <w:r>
              <w:rPr/>
              <w:t> </w:t>
            </w:r>
          </w:p>
        </w:tc>
        <w:tc>
          <w:tcPr>
            <w:tcW w:w="197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6,260</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9000" w:hanging="0"/>
        <w:jc w:val="left"/>
        <w:rPr/>
      </w:pPr>
      <w:r>
        <w:rPr/>
        <w:t> </w:t>
      </w:r>
    </w:p>
    <w:p>
      <w:pPr>
        <w:pStyle w:val="TextBody"/>
        <w:bidi w:val="0"/>
        <w:spacing w:before="0" w:after="0"/>
        <w:ind w:left="0" w:right="9000" w:hanging="0"/>
        <w:jc w:val="left"/>
        <w:rPr/>
      </w:pPr>
      <w:r>
        <w:rPr/>
        <w:t> </w:t>
      </w:r>
    </w:p>
    <w:p>
      <w:pPr>
        <w:pStyle w:val="TextBody"/>
        <w:bidi w:val="0"/>
        <w:spacing w:before="0" w:after="0"/>
        <w:ind w:left="0" w:right="90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54"/>
        <w:gridCol w:w="146"/>
        <w:gridCol w:w="181"/>
        <w:gridCol w:w="433"/>
        <w:gridCol w:w="146"/>
        <w:gridCol w:w="146"/>
        <w:gridCol w:w="1791"/>
        <w:gridCol w:w="146"/>
        <w:gridCol w:w="177"/>
        <w:gridCol w:w="459"/>
        <w:gridCol w:w="211"/>
        <w:gridCol w:w="146"/>
        <w:gridCol w:w="170"/>
        <w:gridCol w:w="406"/>
        <w:gridCol w:w="146"/>
        <w:gridCol w:w="146"/>
        <w:gridCol w:w="166"/>
        <w:gridCol w:w="436"/>
        <w:gridCol w:w="146"/>
        <w:gridCol w:w="146"/>
        <w:gridCol w:w="166"/>
        <w:gridCol w:w="496"/>
        <w:gridCol w:w="146"/>
        <w:gridCol w:w="146"/>
        <w:gridCol w:w="175"/>
        <w:gridCol w:w="574"/>
        <w:gridCol w:w="204"/>
      </w:tblGrid>
      <w:tr>
        <w:trPr/>
        <w:tc>
          <w:tcPr>
            <w:tcW w:w="2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Mission Critical Electronics,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3/28/2024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9/28/2027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&amp; Childcare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10,631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 - Term Loan</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5/9/2029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Milani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15,895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Acquisitions,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Finance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Output Services Group, Inc. </w:t>
            </w:r>
            <w:r>
              <w:rPr>
                <w:rFonts w:ascii="Times New Roman;serif" w:hAnsi="Times New Roman;serif"/>
                <w:b w:val="false"/>
                <w:sz w:val="8"/>
              </w:rPr>
              <w:t>(4)</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Peaquod Merger Sub,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SOFR+640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PH Beauty Holdings III,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7,638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6,824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5/8/2026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7/6/2028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2/28/2028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4,692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9,475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5,133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0.50%)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6/13/2029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4,011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9,030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Summit Behavioral Healthcare,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14,494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Team Services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14,385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 (New Issue)</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13,555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16,774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6/15/2026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6,768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SOFR+635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Junior Revolving Credit Facility</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Walker Edison Furniture Company LLC - DDTL - Unfunded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10,354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823,714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802,474</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Securities - 0.4%</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MPE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 Common Equity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2,437</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Securities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- 1,469.6%</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827,107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805,217</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- 69.3%</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37,943</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—1,329.0%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865,050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843,161</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(1,229.0)%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(788,371</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54,790</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9000" w:hanging="0"/>
        <w:jc w:val="left"/>
        <w:rPr/>
      </w:pPr>
      <w:r>
        <w:rPr/>
        <w:t> </w:t>
      </w:r>
    </w:p>
    <w:p>
      <w:pPr>
        <w:pStyle w:val="TextBody"/>
        <w:pBdr>
          <w:bottom w:val="single" w:sz="4" w:space="1" w:color="000000"/>
        </w:pBdr>
        <w:bidi w:val="0"/>
        <w:spacing w:before="0" w:after="0"/>
        <w:ind w:left="0" w:right="9000" w:hanging="0"/>
        <w:jc w:val="left"/>
        <w:rPr/>
      </w:pPr>
      <w:r>
        <w:rPr/>
        <w:t> </w:t>
      </w:r>
    </w:p>
    <w:p>
      <w:pPr>
        <w:pStyle w:val="TextBody"/>
        <w:bidi w:val="0"/>
        <w:spacing w:before="4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Valued based on PSSL’s accounting policy.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(3)</w:t>
      </w:r>
    </w:p>
    <w:p>
      <w:pPr>
        <w:pStyle w:val="TextBody"/>
        <w:bidi w:val="0"/>
        <w:jc w:val="left"/>
        <w:rPr>
          <w:rFonts w:ascii="Times New Roman;serif" w:hAnsi="Times New Roman;serif"/>
          <w:b w:val="false"/>
          <w:sz w:val="12"/>
        </w:rPr>
      </w:pPr>
      <w:r>
        <w:rPr>
          <w:rFonts w:ascii="Times New Roman;serif" w:hAnsi="Times New Roman;serif"/>
          <w:b w:val="false"/>
          <w:sz w:val="12"/>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Below is a listing of PSSL’s individual investments as of September 30, 2022 ($ in thousands):</w:t>
      </w:r>
    </w:p>
    <w:tbl>
      <w:tblPr>
        <w:tblW w:w="10205" w:type="dxa"/>
        <w:jc w:val="left"/>
        <w:tblInd w:w="0" w:type="dxa"/>
        <w:tblLayout w:type="fixed"/>
        <w:tblCellMar>
          <w:top w:w="28" w:type="dxa"/>
          <w:left w:w="28" w:type="dxa"/>
          <w:bottom w:w="28" w:type="dxa"/>
          <w:right w:w="28" w:type="dxa"/>
        </w:tblCellMar>
      </w:tblPr>
      <w:tblGrid>
        <w:gridCol w:w="2666"/>
        <w:gridCol w:w="146"/>
        <w:gridCol w:w="621"/>
        <w:gridCol w:w="146"/>
        <w:gridCol w:w="1909"/>
        <w:gridCol w:w="146"/>
        <w:gridCol w:w="193"/>
        <w:gridCol w:w="498"/>
        <w:gridCol w:w="211"/>
        <w:gridCol w:w="146"/>
        <w:gridCol w:w="679"/>
        <w:gridCol w:w="146"/>
        <w:gridCol w:w="166"/>
        <w:gridCol w:w="436"/>
        <w:gridCol w:w="146"/>
        <w:gridCol w:w="146"/>
        <w:gridCol w:w="166"/>
        <w:gridCol w:w="436"/>
        <w:gridCol w:w="146"/>
        <w:gridCol w:w="146"/>
        <w:gridCol w:w="197"/>
        <w:gridCol w:w="519"/>
        <w:gridCol w:w="194"/>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- 1,330.4%</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6" w:type="dxa"/>
            <w:gridSpan w:val="2"/>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5/6/2026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7/24/2025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5,042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Advertising, Printing &amp; Publishing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7/21/2027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8,211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3/7/2028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4,583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7/1/2029</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9/17/2024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14,956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By Light Professional IT Services,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5/16/2024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High Tech Industries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L+662</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Cadence Aerospace,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11/14/2023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L+325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12,288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11.31%)</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5/13/2028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4/10/2025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Challenger Performance Optimization,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8,993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7/13/2027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Commercial Services &amp;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Products and Packaging Company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Douglas Sewer Intermediate,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7,248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14,693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and Packaging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Restaurants and Leisure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4,738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3/15/2027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6/17/2028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9,528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3/16/2026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Financial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Trading Companies &amp; 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9,502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5,230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12/7/2023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Integrative Nutrition,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8/27/2025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5,906</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16,494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2/18/2027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14,068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10,335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2.00%)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2/3/2026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Providers and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Lucky Bucks,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 Gaming and Leisure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2,425</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 - Super Priority First Lien Term Loan</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Marketplace Events, LLC - Super Priority First Lien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Marketplace Events,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9/30/2026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4/16/2027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Internet Software and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7/25/2028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Mission Critical Electronics,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3/28/2024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9/28/2027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Distributors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&amp; Childcare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Milani Group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6/6/2024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OIS Management Services,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Equipment and Supplies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14,160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Output Services Group,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3/27/2024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3,890</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4,827</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PH Beauty Holdings III,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9/29/2025</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7,674</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11/9/2027</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Textiles, Apparel and Luxury Goods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Plant Health Intermediate,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10/19/2022</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1,562</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5/8/2026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2,309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7/6/2028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11,138</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4,729</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2/28/2028</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Air Freight and Logistics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4,751</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1/29/2026</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Products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4,753</w:t>
            </w:r>
          </w:p>
        </w:tc>
        <w:tc>
          <w:tcPr>
            <w:tcW w:w="194"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9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11,291</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8200" w:hanging="0"/>
        <w:jc w:val="left"/>
        <w:rPr/>
      </w:pPr>
      <w:r>
        <w:rPr/>
        <w:t> </w:t>
      </w:r>
    </w:p>
    <w:p>
      <w:pPr>
        <w:pStyle w:val="TextBody"/>
        <w:bidi w:val="0"/>
        <w:spacing w:before="0" w:after="0"/>
        <w:ind w:left="0" w:right="8200" w:hanging="0"/>
        <w:jc w:val="left"/>
        <w:rPr/>
      </w:pPr>
      <w:r>
        <w:rPr/>
        <w:t> </w:t>
      </w:r>
    </w:p>
    <w:p>
      <w:pPr>
        <w:pStyle w:val="TextBody"/>
        <w:pBdr>
          <w:bottom w:val="single" w:sz="4" w:space="1" w:color="000000"/>
        </w:pBdr>
        <w:bidi w:val="0"/>
        <w:spacing w:before="0" w:after="0"/>
        <w:ind w:left="0" w:right="820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8200" w:hanging="0"/>
        <w:jc w:val="left"/>
        <w:rPr/>
      </w:pPr>
      <w:r>
        <w:rPr/>
        <w:t> </w:t>
      </w:r>
    </w:p>
    <w:p>
      <w:pPr>
        <w:pStyle w:val="TextBody"/>
        <w:bidi w:val="0"/>
        <w:spacing w:before="0" w:after="0"/>
        <w:ind w:left="0" w:right="8200" w:hanging="0"/>
        <w:jc w:val="left"/>
        <w:rPr/>
      </w:pPr>
      <w:r>
        <w:rPr/>
        <w:t> </w:t>
      </w:r>
    </w:p>
    <w:p>
      <w:pPr>
        <w:pStyle w:val="TextBody"/>
        <w:pBdr>
          <w:bottom w:val="single" w:sz="4" w:space="1" w:color="000000"/>
        </w:pBdr>
        <w:bidi w:val="0"/>
        <w:spacing w:before="0" w:after="0"/>
        <w:ind w:left="0" w:right="820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54"/>
        <w:gridCol w:w="146"/>
        <w:gridCol w:w="181"/>
        <w:gridCol w:w="433"/>
        <w:gridCol w:w="146"/>
        <w:gridCol w:w="146"/>
        <w:gridCol w:w="1791"/>
        <w:gridCol w:w="146"/>
        <w:gridCol w:w="177"/>
        <w:gridCol w:w="459"/>
        <w:gridCol w:w="211"/>
        <w:gridCol w:w="146"/>
        <w:gridCol w:w="170"/>
        <w:gridCol w:w="406"/>
        <w:gridCol w:w="146"/>
        <w:gridCol w:w="146"/>
        <w:gridCol w:w="166"/>
        <w:gridCol w:w="436"/>
        <w:gridCol w:w="146"/>
        <w:gridCol w:w="146"/>
        <w:gridCol w:w="166"/>
        <w:gridCol w:w="496"/>
        <w:gridCol w:w="146"/>
        <w:gridCol w:w="146"/>
        <w:gridCol w:w="175"/>
        <w:gridCol w:w="574"/>
        <w:gridCol w:w="204"/>
      </w:tblGrid>
      <w:tr>
        <w:trPr/>
        <w:tc>
          <w:tcPr>
            <w:tcW w:w="2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w:t>
              <w:br/>
              <w:t> Above</w:t>
              <w:br/>
              <w:t xml:space="preserve"> 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5,187</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11,551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0.50%)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Smile Brands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and Pharmaceuticals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5,511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Technology</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Building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8,985</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14,649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5,603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Professional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1,724</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Infosoft Group,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9/16/2024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Broadcasting and Subscription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12,859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Construction and Engineering</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5,550</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Non-Durable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8,482</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14,578</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Diversified Consumer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5,441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 (New Issue)</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IT Services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14,446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Capital Equipment</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17,129</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 Housewares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Wholesale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8,473</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3.0%)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 Equipment, Instruments, and Components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8,261</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Automobiles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16,536</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767,316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751,628</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 - 5.2%</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9/29/2024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Goods: Durable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Equity Securities - 0.3%</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New MPE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 Diversified and Production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45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Equity Securities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- 1,335.9%</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770,280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754,722</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97" w:type="dxa"/>
            <w:gridSpan w:val="7"/>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- 59.7%</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33,705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33,705</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—1,395.6%</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804,005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788,427</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(1,295.6)%</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(731,931</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5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56,496</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6"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9" w:type="dxa"/>
            <w:gridSpan w:val="2"/>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ind w:left="0" w:right="8200" w:hanging="0"/>
        <w:jc w:val="left"/>
        <w:rPr/>
      </w:pPr>
      <w:r>
        <w:rPr/>
        <w:t> </w:t>
      </w:r>
    </w:p>
    <w:p>
      <w:pPr>
        <w:pStyle w:val="TextBody"/>
        <w:bidi w:val="0"/>
        <w:spacing w:before="4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Valued based on PSSL’s accounting policy.</w:t>
      </w:r>
    </w:p>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(3)</w:t>
      </w:r>
    </w:p>
    <w:p>
      <w:pPr>
        <w:pStyle w:val="TextBody"/>
        <w:bidi w:val="0"/>
        <w:jc w:val="left"/>
        <w:rPr>
          <w:rFonts w:ascii="Times New Roman;serif" w:hAnsi="Times New Roman;serif"/>
          <w:b w:val="false"/>
          <w:sz w:val="12"/>
        </w:rPr>
      </w:pPr>
      <w:r>
        <w:rPr>
          <w:rFonts w:ascii="Times New Roman;serif" w:hAnsi="Times New Roman;serif"/>
          <w:b w:val="false"/>
          <w:sz w:val="12"/>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160" w:after="0"/>
        <w:ind w:left="0" w:right="0" w:firstLine="432"/>
        <w:jc w:val="left"/>
        <w:rPr>
          <w:rFonts w:ascii="Times New Roman;serif" w:hAnsi="Times New Roman;serif"/>
          <w:b w:val="false"/>
          <w:sz w:val="16"/>
        </w:rPr>
      </w:pPr>
      <w:r>
        <w:rPr>
          <w:rFonts w:ascii="Times New Roman;serif" w:hAnsi="Times New Roman;serif"/>
          <w:b w:val="false"/>
          <w:sz w:val="16"/>
        </w:rPr>
        <w:t>Below are the consolidated statements of assets and liabilities for PSSL ($ in thousands):</w:t>
      </w:r>
    </w:p>
    <w:tbl>
      <w:tblPr>
        <w:tblW w:w="9906" w:type="dxa"/>
        <w:jc w:val="left"/>
        <w:tblInd w:w="0" w:type="dxa"/>
        <w:tblLayout w:type="fixed"/>
        <w:tblCellMar>
          <w:top w:w="28" w:type="dxa"/>
          <w:left w:w="28" w:type="dxa"/>
          <w:bottom w:w="28" w:type="dxa"/>
          <w:right w:w="28" w:type="dxa"/>
        </w:tblCellMar>
      </w:tblPr>
      <w:tblGrid>
        <w:gridCol w:w="5761"/>
        <w:gridCol w:w="196"/>
        <w:gridCol w:w="196"/>
        <w:gridCol w:w="929"/>
        <w:gridCol w:w="146"/>
        <w:gridCol w:w="146"/>
        <w:gridCol w:w="196"/>
        <w:gridCol w:w="268"/>
        <w:gridCol w:w="1277"/>
        <w:gridCol w:w="791"/>
      </w:tblGrid>
      <w:tr>
        <w:trPr/>
        <w:tc>
          <w:tcPr>
            <w:tcW w:w="5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 </w:t>
            </w:r>
          </w:p>
        </w:tc>
        <w:tc>
          <w:tcPr>
            <w:tcW w:w="1545"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 (amortized cost—$827,107 and $770,280, respectively)</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805,217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754,722</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(cost—$37,943 and $33,725, respectively)</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33,705</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3,025</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 sold</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3,637</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assets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796,811</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9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259,500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2032 Asset-backed debt, net (par—$246,000)</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243,365</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2035 Asset-backed debt, net (par—$246,000)</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payable to members</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217,350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10,414</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notes to members</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4,719</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Credit facility and asset backed debt</w:t>
            </w:r>
          </w:p>
        </w:tc>
        <w:tc>
          <w:tcPr>
            <w:tcW w:w="19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12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3,817</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Accrued expenses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793,650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740,315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Commitments and contingencies</w:t>
            </w:r>
            <w:r>
              <w:rPr>
                <w:rFonts w:ascii="Times New Roman;serif" w:hAnsi="Times New Roman;serif"/>
                <w:b w:val="false"/>
                <w:sz w:val="11"/>
              </w:rPr>
              <w:t>(1)</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righ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Members' 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54,790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56,496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 and members' equity</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848,440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796,811</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pBdr/>
        <w:bidi w:val="0"/>
        <w:spacing w:before="0" w:after="0"/>
        <w:ind w:left="0" w:right="0" w:hanging="360"/>
        <w:jc w:val="left"/>
        <w:rPr>
          <w:rFonts w:ascii="Times New Roman" w:hAnsi="Times New Roman"/>
          <w:sz w:val="20"/>
        </w:rPr>
      </w:pPr>
      <w:r>
        <w:rPr>
          <w:rFonts w:ascii="Times New Roman;serif" w:hAnsi="Times New Roman;serif"/>
          <w:b/>
          <w:sz w:val="8"/>
        </w:rPr>
        <w:t>(1)</w:t>
      </w:r>
      <w:r>
        <w:rPr>
          <w:rFonts w:ascii="Times New Roman" w:hAnsi="Times New Roman"/>
          <w:sz w:val="20"/>
        </w:rPr>
        <w:t xml:space="preserve"> </w:t>
      </w:r>
      <w:r>
        <w:rPr>
          <w:rFonts w:ascii="Times New Roman;serif" w:hAnsi="Times New Roman;serif"/>
          <w:b w:val="false"/>
          <w:sz w:val="12"/>
        </w:rPr>
        <w:t>As of June 30, 2023 and September 30, 2022, PSSL had unfunded commitments to fund investments of $2.0 million and $2.5 million, respectively.</w:t>
      </w:r>
    </w:p>
    <w:p>
      <w:pPr>
        <w:pStyle w:val="TextBody"/>
        <w:bidi w:val="0"/>
        <w:spacing w:before="0" w:after="0"/>
        <w:ind w:left="0" w:right="0" w:hanging="0"/>
        <w:jc w:val="left"/>
        <w:rPr/>
      </w:pPr>
      <w:r>
        <w:rPr/>
        <w:t> </w:t>
      </w:r>
    </w:p>
    <w:p>
      <w:pPr>
        <w:pStyle w:val="TextBody"/>
        <w:bidi w:val="0"/>
        <w:spacing w:before="160" w:after="0"/>
        <w:ind w:left="0" w:right="0" w:firstLine="432"/>
        <w:jc w:val="left"/>
        <w:rPr>
          <w:rFonts w:ascii="Times New Roman;serif" w:hAnsi="Times New Roman;serif"/>
          <w:b w:val="false"/>
          <w:sz w:val="16"/>
        </w:rPr>
      </w:pPr>
      <w:r>
        <w:rPr>
          <w:rFonts w:ascii="Times New Roman;serif" w:hAnsi="Times New Roman;serif"/>
          <w:b w:val="false"/>
          <w:sz w:val="16"/>
        </w:rPr>
        <w:t>Below are the consolidated statements of operations for PSSL ($ in thousands):</w:t>
      </w:r>
    </w:p>
    <w:tbl>
      <w:tblPr>
        <w:tblW w:w="10205" w:type="dxa"/>
        <w:jc w:val="left"/>
        <w:tblInd w:w="0" w:type="dxa"/>
        <w:tblLayout w:type="fixed"/>
        <w:tblCellMar>
          <w:top w:w="28" w:type="dxa"/>
          <w:left w:w="28" w:type="dxa"/>
          <w:bottom w:w="28" w:type="dxa"/>
          <w:right w:w="28" w:type="dxa"/>
        </w:tblCellMar>
      </w:tblPr>
      <w:tblGrid>
        <w:gridCol w:w="5112"/>
        <w:gridCol w:w="146"/>
        <w:gridCol w:w="204"/>
        <w:gridCol w:w="627"/>
        <w:gridCol w:w="173"/>
        <w:gridCol w:w="152"/>
        <w:gridCol w:w="152"/>
        <w:gridCol w:w="204"/>
        <w:gridCol w:w="627"/>
        <w:gridCol w:w="166"/>
        <w:gridCol w:w="146"/>
        <w:gridCol w:w="201"/>
        <w:gridCol w:w="679"/>
        <w:gridCol w:w="170"/>
        <w:gridCol w:w="149"/>
        <w:gridCol w:w="201"/>
        <w:gridCol w:w="679"/>
        <w:gridCol w:w="417"/>
      </w:tblGrid>
      <w:tr>
        <w:trPr/>
        <w:tc>
          <w:tcPr>
            <w:tcW w:w="5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gridSpan w:val="2"/>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83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0" w:type="dxa"/>
            <w:gridSpan w:val="2"/>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880" w:type="dxa"/>
            <w:gridSpan w:val="2"/>
            <w:tcBorders/>
            <w:vAlign w:val="center"/>
          </w:tcPr>
          <w:p>
            <w:pPr>
              <w:pStyle w:val="TableContents"/>
              <w:bidi w:val="0"/>
              <w:spacing w:before="0" w:after="0"/>
              <w:ind w:left="0" w:right="0" w:hanging="0"/>
              <w:jc w:val="center"/>
              <w:rPr/>
            </w:pPr>
            <w:r>
              <w:rPr/>
              <w:t> </w:t>
            </w:r>
          </w:p>
        </w:tc>
        <w:tc>
          <w:tcPr>
            <w:tcW w:w="417" w:type="dxa"/>
            <w:tcBorders/>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39" w:type="dxa"/>
            <w:gridSpan w:val="7"/>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417" w:type="dxa"/>
            <w:tcBorders/>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righ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23,373</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2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64,282</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36,467</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930</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1,084</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23,746</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65,212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37,551</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and expense on credit facility and asset-backed debt</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12,094</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30,413</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11,514</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 on notes to members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7,986</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22,159</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11,704</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Administration fees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529</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1,553</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417" w:type="dxa"/>
            <w:tcBorders/>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867</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20,802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54,898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24,985</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2,944</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10,314</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12,566</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 and 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hanging="0"/>
              <w:jc w:val="righ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Investments</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(5,852</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(14,956</w:t>
            </w:r>
          </w:p>
        </w:tc>
        <w:tc>
          <w:tcPr>
            <w:tcW w:w="417"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left"/>
              <w:rPr/>
            </w:pPr>
            <w:r>
              <w:rPr/>
              <w:t> </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right"/>
              <w:rPr/>
            </w:pPr>
            <w:r>
              <w:rPr/>
              <w:t> </w:t>
            </w:r>
          </w:p>
        </w:tc>
        <w:tc>
          <w:tcPr>
            <w:tcW w:w="417" w:type="dxa"/>
            <w:tcBorders/>
            <w:vAlign w:val="center"/>
          </w:tcPr>
          <w:p>
            <w:pPr>
              <w:pStyle w:val="TableContents"/>
              <w:bidi w:val="0"/>
              <w:spacing w:before="0" w:after="0"/>
              <w:ind w:left="0" w:right="0" w:firstLine="200"/>
              <w:jc w:val="righ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(6,308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6,325</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change in unrealized appreciation (depreciation) on investments and 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(6,308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6,325</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112"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realized and unrealized gain (loss) from investments and credit facility foreign currency translation</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(4,349</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(12,170</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(8,631</w:t>
            </w:r>
          </w:p>
        </w:tc>
        <w:tc>
          <w:tcPr>
            <w:tcW w:w="4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12"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members' equity resulting from operations</w:t>
            </w:r>
          </w:p>
        </w:tc>
        <w:tc>
          <w:tcPr>
            <w:tcW w:w="146" w:type="dxa"/>
            <w:tcBorders/>
            <w:vAlign w:val="center"/>
          </w:tcPr>
          <w:p>
            <w:pPr>
              <w:pStyle w:val="TableContents"/>
              <w:bidi w:val="0"/>
              <w:spacing w:before="0" w:after="0"/>
              <w:ind w:left="0" w:right="0" w:hanging="0"/>
              <w:jc w:val="righ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(1,405</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2" w:type="dxa"/>
            <w:tcBorders/>
            <w:vAlign w:val="center"/>
          </w:tcPr>
          <w:p>
            <w:pPr>
              <w:pStyle w:val="TableContents"/>
              <w:bidi w:val="0"/>
              <w:spacing w:before="0" w:after="0"/>
              <w:ind w:left="0" w:right="0" w:hanging="0"/>
              <w:jc w:val="right"/>
              <w:rPr/>
            </w:pPr>
            <w:r>
              <w:rPr/>
              <w:t> </w:t>
            </w:r>
          </w:p>
        </w:tc>
        <w:tc>
          <w:tcPr>
            <w:tcW w:w="152" w:type="dxa"/>
            <w:tcBorders/>
            <w:vAlign w:val="center"/>
          </w:tcPr>
          <w:p>
            <w:pPr>
              <w:pStyle w:val="TableContents"/>
              <w:bidi w:val="0"/>
              <w:spacing w:before="0" w:after="0"/>
              <w:ind w:left="0" w:right="0" w:hanging="0"/>
              <w:jc w:val="righ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(1,856</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 w:type="dxa"/>
            <w:tcBorders/>
            <w:vAlign w:val="center"/>
          </w:tcPr>
          <w:p>
            <w:pPr>
              <w:pStyle w:val="TableContents"/>
              <w:bidi w:val="0"/>
              <w:spacing w:before="0" w:after="0"/>
              <w:ind w:left="0" w:right="0" w:hanging="0"/>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3,935</w:t>
            </w:r>
          </w:p>
        </w:tc>
        <w:tc>
          <w:tcPr>
            <w:tcW w:w="4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b w:val="false"/>
          <w:sz w:val="12"/>
        </w:rPr>
      </w:pPr>
      <w:r>
        <w:rPr>
          <w:rFonts w:ascii="Times New Roman" w:hAnsi="Times New Roman"/>
          <w:b w:val="false"/>
          <w:sz w:val="12"/>
        </w:rPr>
        <w:t>(1)</w:t>
      </w:r>
    </w:p>
    <w:p>
      <w:pPr>
        <w:pStyle w:val="TextBody"/>
        <w:bidi w:val="0"/>
        <w:jc w:val="left"/>
        <w:rPr>
          <w:rFonts w:ascii="Times New Roman;serif" w:hAnsi="Times New Roman;serif"/>
          <w:b w:val="false"/>
          <w:sz w:val="12"/>
        </w:rPr>
      </w:pPr>
      <w:r>
        <w:rPr>
          <w:rFonts w:ascii="Times New Roman;serif" w:hAnsi="Times New Roman;serif"/>
          <w:b w:val="false"/>
          <w:sz w:val="12"/>
        </w:rPr>
        <w:t>Currently, no management or incentive fees are payable by PSSL. If any fees were to be charged, they would be separately disclosed in the Statements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i/>
          <w:sz w:val="16"/>
        </w:rPr>
      </w:pPr>
      <w:r>
        <w:rPr>
          <w:rFonts w:ascii="Times New Roman;serif" w:hAnsi="Times New Roman;serif"/>
          <w:b/>
          <w:i/>
          <w:sz w:val="16"/>
        </w:rPr>
        <w:t>Off-Balance Sheet Arrangements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currently engage in no off-balance sheet arrangements other than our funding requirements for the unfunded investments described above.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i/>
          <w:sz w:val="16"/>
        </w:rPr>
        <w:t>Distributions</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r>
        <w:rPr>
          <w:rFonts w:ascii="Times New Roman" w:hAnsi="Times New Roman"/>
          <w:sz w:val="20"/>
        </w:rPr>
        <w:t xml:space="preserve"> </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During the three and nine months ended June 30, 2023, we declared distributions of $0.3025 and $0.8775 per share for total distributions of $15.4 million and $42.4 million, respectively. For the three and nine months ended June 30, 2022, we declared distributions of $0.285 and $0.855 per share for total distributions of $11.8 million and $34.1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intend to continue to make monthly distributions to our stockholders. Our monthly distributions, if any, are determined by our board of directors quarterly.</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pStyle w:val="TextBody"/>
        <w:bidi w:val="0"/>
        <w:spacing w:before="0" w:after="0"/>
        <w:ind w:left="0" w:right="0" w:firstLine="432"/>
        <w:jc w:val="both"/>
        <w:rPr/>
      </w:pPr>
      <w:r>
        <w:rPr/>
        <w:t> </w:t>
      </w:r>
    </w:p>
    <w:p>
      <w:pPr>
        <w:pStyle w:val="TextBody"/>
        <w:bidi w:val="0"/>
        <w:spacing w:before="0" w:after="0"/>
        <w:ind w:left="0" w:right="0" w:hanging="0"/>
        <w:jc w:val="both"/>
        <w:rPr>
          <w:rFonts w:ascii="Times New Roman;serif" w:hAnsi="Times New Roman;serif"/>
          <w:b/>
          <w:i/>
          <w:sz w:val="16"/>
        </w:rPr>
      </w:pPr>
      <w:r>
        <w:rPr>
          <w:rFonts w:ascii="Times New Roman;serif" w:hAnsi="Times New Roman;serif"/>
          <w:b/>
          <w:i/>
          <w:sz w:val="16"/>
        </w:rPr>
        <w:t>Recent Accounting Pronouncements</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r>
        <w:rPr>
          <w:rFonts w:ascii="Times New Roman;serif" w:hAnsi="Times New Roman;serif"/>
          <w:b/>
          <w:sz w:val="16"/>
        </w:rPr>
        <w:t>RECENT DEVELOPMENTS</w:t>
      </w:r>
    </w:p>
    <w:p>
      <w:pPr>
        <w:pStyle w:val="TextBody"/>
        <w:bidi w:val="0"/>
        <w:spacing w:before="0" w:after="0"/>
        <w:ind w:left="0" w:right="0" w:hanging="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Subsequent to June 30, 2023, we issued 3,197,403 shares of common stock through the ATM Program that were sold prior to the quarter end at an average price of $11.01 per share, raising $35.2 million of net proceeds after commissions to the sales agents and inclusive of proceeds from the Investment Adviser to ensure that all shares were sold at or above NAV.</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On July 31, 2023, the Credit Facility's commitment was increased by $20 million due to the inclusion of a new lender to the facility. The additional commitment increases the Credit Facility's total commitment amount to $386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bookmarkStart w:id="18" w:name="item_3_quantitative_qualitative_disclosu"/>
      <w:bookmarkEnd w:id="18"/>
      <w:r>
        <w:rPr>
          <w:rFonts w:ascii="Times New Roman;serif" w:hAnsi="Times New Roman;serif"/>
          <w:b/>
          <w:sz w:val="16"/>
        </w:rPr>
        <w:t>Item 3. Quantitative and Qualitative Disclosures About Market Risk</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are subject to financial market risks, including changes in interest rates. As of June 30, 2023, our debt portfolio consisted of 100.0%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pStyle w:val="TextBody"/>
        <w:bidi w:val="0"/>
        <w:spacing w:before="0" w:after="0"/>
        <w:ind w:left="0" w:right="0" w:firstLine="432"/>
        <w:jc w:val="both"/>
        <w:rPr/>
      </w:pPr>
      <w:r>
        <w:rPr/>
        <w:t> </w:t>
      </w:r>
    </w:p>
    <w:tbl>
      <w:tblPr>
        <w:tblW w:w="6730" w:type="dxa"/>
        <w:jc w:val="left"/>
        <w:tblInd w:w="0" w:type="dxa"/>
        <w:tblLayout w:type="fixed"/>
        <w:tblCellMar>
          <w:top w:w="28" w:type="dxa"/>
          <w:left w:w="28" w:type="dxa"/>
          <w:bottom w:w="28" w:type="dxa"/>
          <w:right w:w="28" w:type="dxa"/>
        </w:tblCellMar>
      </w:tblPr>
      <w:tblGrid>
        <w:gridCol w:w="1906"/>
        <w:gridCol w:w="146"/>
        <w:gridCol w:w="516"/>
        <w:gridCol w:w="1584"/>
        <w:gridCol w:w="166"/>
        <w:gridCol w:w="146"/>
        <w:gridCol w:w="595"/>
        <w:gridCol w:w="1460"/>
        <w:gridCol w:w="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Interest Rates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Change in Interest Income, </w:t>
              <w:br/>
              <w:t>Net of Interest Expense</w:t>
              <w:b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Interest Income,</w:t>
              <w:br/>
              <w:t>Net of Interest</w:t>
              <w:br/>
              <w:t>Expense Per Share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Down 1%</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1%</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0.13</w:t>
            </w:r>
          </w:p>
        </w:tc>
        <w:tc>
          <w:tcPr>
            <w:tcW w:w="21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2%</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0.26</w:t>
            </w:r>
          </w:p>
        </w:tc>
        <w:tc>
          <w:tcPr>
            <w:tcW w:w="21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3%</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0.39</w:t>
            </w:r>
          </w:p>
        </w:tc>
        <w:tc>
          <w:tcPr>
            <w:tcW w:w="21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4%</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0.52</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pStyle w:val="TextBody"/>
        <w:bidi w:val="0"/>
        <w:spacing w:before="0" w:after="0"/>
        <w:ind w:left="0" w:right="0" w:firstLine="432"/>
        <w:jc w:val="both"/>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pStyle w:val="TextBody"/>
        <w:bidi w:val="0"/>
        <w:spacing w:before="0" w:after="0"/>
        <w:ind w:left="0" w:right="0" w:hanging="0"/>
        <w:jc w:val="left"/>
        <w:rPr>
          <w:rFonts w:ascii="Times New Roman;serif" w:hAnsi="Times New Roman;serif"/>
          <w:b/>
          <w:sz w:val="16"/>
        </w:rPr>
      </w:pPr>
      <w:bookmarkStart w:id="19" w:name="item_4_controls_and_proc"/>
      <w:bookmarkEnd w:id="19"/>
      <w:r>
        <w:rPr>
          <w:rFonts w:ascii="Times New Roman;serif" w:hAnsi="Times New Roman;serif"/>
          <w:b/>
          <w:sz w:val="16"/>
        </w:rPr>
        <w:t>Item 4. Controls and Procedures</w:t>
      </w:r>
    </w:p>
    <w:p>
      <w:pPr>
        <w:pStyle w:val="TextBody"/>
        <w:bidi w:val="0"/>
        <w:spacing w:before="0" w:after="0"/>
        <w:ind w:left="0" w:right="0" w:firstLine="432"/>
        <w:jc w:val="left"/>
        <w:rPr/>
      </w:pPr>
      <w:r>
        <w:rPr/>
        <w:t> </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As of the period covered by this Report, we, including our Chief Executive Officer and Chief Financial Officer, evaluated the effectiveness of the design and operation of our disclosure controls and procedures (as defined in Rule 13a-15(e) under the Exchange Act). As disclosed in our Annual Report on Form 10-K for the fiscal year ended September 30, 2022, a material weakness was previously identified in connection with our internal control over financial reporting relating to procedures ensuring the timely transmission of portfolio company financial information to our independent valuation service providers. We have taken steps to remediate this material weakness, which steps have included (i) enhancing existing controls to ensure the timely transmission of all relevant portfolio company financial information to our independent service providers and (ii) enhancing policies and procedures to demonstrate a commitment to improving our overall control environment.</w:t>
      </w:r>
    </w:p>
    <w:p>
      <w:pPr>
        <w:pStyle w:val="TextBody"/>
        <w:bidi w:val="0"/>
        <w:spacing w:before="0" w:after="0"/>
        <w:ind w:left="0" w:right="0" w:firstLine="432"/>
        <w:jc w:val="both"/>
        <w:rPr>
          <w:rFonts w:ascii="Times New Roman;serif" w:hAnsi="Times New Roman;serif"/>
          <w:b w:val="false"/>
          <w:sz w:val="16"/>
        </w:rPr>
      </w:pPr>
      <w:r>
        <w:rPr>
          <w:rFonts w:ascii="Times New Roman;serif" w:hAnsi="Times New Roman;serif"/>
          <w:b w:val="false"/>
          <w:sz w:val="16"/>
        </w:rPr>
        <w:t>Taking the above efforts into consideration, our management, including the Chief Executive Officer and Chief Financial Officer, concluded that our disclosure controls and procedures for the quarter ended June 30, 2023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bidi w:val="0"/>
        <w:spacing w:before="0" w:after="0"/>
        <w:ind w:left="0" w:right="0" w:firstLine="432"/>
        <w:jc w:val="both"/>
        <w:rPr>
          <w:rFonts w:ascii="Times New Roman" w:hAnsi="Times New Roman"/>
          <w:sz w:val="20"/>
        </w:rPr>
      </w:pPr>
      <w:r>
        <w:rPr>
          <w:rFonts w:ascii="Times New Roman;serif" w:hAnsi="Times New Roman;serif"/>
          <w:b w:val="false"/>
          <w:sz w:val="16"/>
        </w:rPr>
        <w:t>Other than disclosed in this Item 4, there have been no changes in our internal control over financial reporting that occurred during the quarter ended June 30,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bookmarkStart w:id="20" w:name="part_ii_or_information"/>
      <w:bookmarkEnd w:id="20"/>
      <w:r>
        <w:rPr>
          <w:rFonts w:ascii="Times New Roman;serif" w:hAnsi="Times New Roman;serif"/>
          <w:b/>
          <w:sz w:val="16"/>
        </w:rPr>
        <w:t>PART II – OTHER INFORMATION</w:t>
      </w:r>
    </w:p>
    <w:p>
      <w:pPr>
        <w:pStyle w:val="TextBody"/>
        <w:bidi w:val="0"/>
        <w:spacing w:before="160" w:after="0"/>
        <w:ind w:left="0" w:right="0" w:hanging="0"/>
        <w:jc w:val="left"/>
        <w:rPr>
          <w:rFonts w:ascii="Times New Roman" w:hAnsi="Times New Roman"/>
          <w:sz w:val="20"/>
        </w:rPr>
      </w:pPr>
      <w:bookmarkStart w:id="21" w:name="toc90073_14"/>
      <w:bookmarkStart w:id="22" w:name="item_1_3_5"/>
      <w:bookmarkEnd w:id="21"/>
      <w:bookmarkEnd w:id="22"/>
      <w:r>
        <w:rPr>
          <w:rFonts w:ascii="Times New Roman;serif" w:hAnsi="Times New Roman;serif"/>
          <w:b/>
          <w:sz w:val="16"/>
        </w:rPr>
        <w:t>Item 1. Legal</w:t>
      </w:r>
      <w:bookmarkStart w:id="23" w:name="item_1_legal_proceedings"/>
      <w:bookmarkEnd w:id="23"/>
      <w:r>
        <w:rPr>
          <w:rFonts w:ascii="Times New Roman" w:hAnsi="Times New Roman"/>
          <w:sz w:val="20"/>
        </w:rPr>
        <w:t xml:space="preserve"> </w:t>
      </w:r>
      <w:r>
        <w:rPr>
          <w:rFonts w:ascii="Times New Roman;serif" w:hAnsi="Times New Roman;serif"/>
          <w:b/>
          <w:sz w:val="16"/>
        </w:rPr>
        <w:t>Proceedings</w:t>
      </w:r>
    </w:p>
    <w:p>
      <w:pPr>
        <w:pStyle w:val="TextBody"/>
        <w:bidi w:val="0"/>
        <w:spacing w:before="0" w:after="0"/>
        <w:ind w:left="0" w:right="115" w:firstLine="72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pStyle w:val="TextBody"/>
        <w:bidi w:val="0"/>
        <w:spacing w:before="160" w:after="0"/>
        <w:ind w:left="0" w:right="0" w:hanging="0"/>
        <w:jc w:val="left"/>
        <w:rPr>
          <w:rFonts w:ascii="Times New Roman" w:hAnsi="Times New Roman"/>
          <w:sz w:val="20"/>
        </w:rPr>
      </w:pPr>
      <w:bookmarkStart w:id="24" w:name="item_1_3_6"/>
      <w:bookmarkStart w:id="25" w:name="toc90073_15"/>
      <w:bookmarkEnd w:id="24"/>
      <w:bookmarkEnd w:id="25"/>
      <w:r>
        <w:rPr>
          <w:rFonts w:ascii="Times New Roman;serif" w:hAnsi="Times New Roman;serif"/>
          <w:b/>
          <w:sz w:val="16"/>
        </w:rPr>
        <w:t>Item 1A. R</w:t>
      </w:r>
      <w:bookmarkStart w:id="26" w:name="item_1a_risk_factors"/>
      <w:bookmarkEnd w:id="26"/>
      <w:r>
        <w:rPr>
          <w:rFonts w:ascii="Times New Roman;serif" w:hAnsi="Times New Roman;serif"/>
          <w:b/>
          <w:sz w:val="16"/>
        </w:rPr>
        <w:t>isk Factors</w:t>
      </w:r>
      <w:r>
        <w:rPr>
          <w:rFonts w:ascii="Times New Roman" w:hAnsi="Times New Roman"/>
          <w:sz w:val="20"/>
        </w:rPr>
        <w:t xml:space="preserve"> </w:t>
      </w:r>
    </w:p>
    <w:p>
      <w:pPr>
        <w:pStyle w:val="TextBody"/>
        <w:bidi w:val="0"/>
        <w:spacing w:before="0" w:after="0"/>
        <w:ind w:left="0" w:right="115" w:firstLine="720"/>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In addition to the other information set forth in this Report, you should consider carefully the factors discussed below, as well as in Part I “Item 1A. Risk Factors” in our Annual Report on Form 10-K for the fiscal year ended September 30, 2022 filed on November 17, 2022,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i/>
          <w:sz w:val="16"/>
        </w:rPr>
      </w:pPr>
      <w:r>
        <w:rPr>
          <w:rFonts w:ascii="Times New Roman;serif" w:hAnsi="Times New Roman;serif"/>
          <w:b/>
          <w:i/>
          <w:sz w:val="16"/>
        </w:rPr>
        <w:t>We and our portfolio companies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pStyle w:val="TextBody"/>
        <w:bidi w:val="0"/>
        <w:spacing w:before="0" w:after="0"/>
        <w:ind w:left="0" w:right="0" w:firstLine="389"/>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Our cash is held in accounts at U.S. banking institutions that we believe are of high quality. Cash held by us and by our portfolio companies in non-interest-bearing and interest-bearing operating accounts may exceed the Federal Deposit Insurance Corporation (“FDIC”) insurance limits. If such banking institutions were to fail, we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portfolio companies’ business, financial condition, results of operations, or prospects.</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Although we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or our portfolio companies, the financial institutions with which we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portfolio companies have financial or business relationships, but could also include factors involving financial markets or the financial services industry generally.</w:t>
        <w:br/>
        <w:br/>
        <w:br/>
        <w:b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or our portfolio companies to acquire financing on acceptable terms or at all.</w:t>
      </w:r>
    </w:p>
    <w:p>
      <w:pPr>
        <w:pStyle w:val="TextBody"/>
        <w:bidi w:val="0"/>
        <w:spacing w:before="0" w:after="0"/>
        <w:ind w:left="0" w:right="0" w:firstLine="432"/>
        <w:jc w:val="left"/>
        <w:rPr>
          <w:rFonts w:ascii="Times New Roman" w:hAnsi="Times New Roman"/>
          <w:sz w:val="20"/>
        </w:rPr>
      </w:pPr>
      <w:r>
        <w:rPr>
          <w:rFonts w:ascii="Times New Roman;serif" w:hAnsi="Times New Roman;serif"/>
          <w:b w:val="false"/>
          <w:sz w:val="16"/>
        </w:rPr>
        <w:br/>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16"/>
        </w:rPr>
      </w:pPr>
      <w:bookmarkStart w:id="27" w:name="item_2_unregistered_sales_equity_securit"/>
      <w:bookmarkEnd w:id="27"/>
      <w:r>
        <w:rPr>
          <w:rFonts w:ascii="Times New Roman;serif" w:hAnsi="Times New Roman;serif"/>
          <w:b/>
          <w:sz w:val="16"/>
        </w:rPr>
        <w:t>Item 2. Unregistered Sales of Equity Securities and Use of Proceeds</w:t>
      </w:r>
    </w:p>
    <w:p>
      <w:pPr>
        <w:pStyle w:val="TextBody"/>
        <w:bidi w:val="0"/>
        <w:spacing w:before="0" w:after="0"/>
        <w:ind w:left="0" w:right="0" w:firstLine="389"/>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None.</w:t>
      </w:r>
    </w:p>
    <w:p>
      <w:pPr>
        <w:pStyle w:val="TextBody"/>
        <w:bidi w:val="0"/>
        <w:spacing w:before="160" w:after="0"/>
        <w:ind w:left="0" w:right="0" w:hanging="0"/>
        <w:jc w:val="left"/>
        <w:rPr>
          <w:rFonts w:ascii="Times New Roman" w:hAnsi="Times New Roman"/>
          <w:sz w:val="20"/>
        </w:rPr>
      </w:pPr>
      <w:bookmarkStart w:id="28" w:name="toc90073_17"/>
      <w:bookmarkStart w:id="29" w:name="item_1_3_8"/>
      <w:bookmarkEnd w:id="28"/>
      <w:bookmarkEnd w:id="29"/>
      <w:r>
        <w:rPr>
          <w:rFonts w:ascii="Times New Roman;serif" w:hAnsi="Times New Roman;serif"/>
          <w:b/>
          <w:sz w:val="16"/>
        </w:rPr>
        <w:t>Item 3. Defaults Upo</w:t>
      </w:r>
      <w:bookmarkStart w:id="30" w:name="item_3_defaults_upon_senior_securities"/>
      <w:bookmarkEnd w:id="30"/>
      <w:r>
        <w:rPr>
          <w:rFonts w:ascii="Times New Roman;serif" w:hAnsi="Times New Roman;serif"/>
          <w:b/>
          <w:sz w:val="16"/>
        </w:rPr>
        <w:t>n Senior Securities</w:t>
      </w:r>
    </w:p>
    <w:p>
      <w:pPr>
        <w:pStyle w:val="TextBody"/>
        <w:bidi w:val="0"/>
        <w:spacing w:before="0" w:after="0"/>
        <w:ind w:left="0" w:right="0" w:firstLine="389"/>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None.</w:t>
      </w:r>
    </w:p>
    <w:p>
      <w:pPr>
        <w:pStyle w:val="TextBody"/>
        <w:bidi w:val="0"/>
        <w:spacing w:before="160" w:after="0"/>
        <w:ind w:left="0" w:right="0" w:hanging="0"/>
        <w:jc w:val="left"/>
        <w:rPr>
          <w:rFonts w:ascii="Times New Roman" w:hAnsi="Times New Roman"/>
          <w:sz w:val="20"/>
        </w:rPr>
      </w:pPr>
      <w:bookmarkStart w:id="31" w:name="item_1_3_9"/>
      <w:bookmarkStart w:id="32" w:name="toc90073_18"/>
      <w:bookmarkEnd w:id="31"/>
      <w:bookmarkEnd w:id="32"/>
      <w:r>
        <w:rPr>
          <w:rFonts w:ascii="Times New Roman;serif" w:hAnsi="Times New Roman;serif"/>
          <w:b/>
          <w:sz w:val="16"/>
        </w:rPr>
        <w:t>Item 4. Mine Saf</w:t>
      </w:r>
      <w:bookmarkStart w:id="33" w:name="item_4_mine_safety_disclosures"/>
      <w:bookmarkEnd w:id="33"/>
      <w:r>
        <w:rPr>
          <w:rFonts w:ascii="Times New Roman;serif" w:hAnsi="Times New Roman;serif"/>
          <w:b/>
          <w:sz w:val="16"/>
        </w:rPr>
        <w:t>ety Disclosures</w:t>
      </w:r>
    </w:p>
    <w:p>
      <w:pPr>
        <w:pStyle w:val="TextBody"/>
        <w:bidi w:val="0"/>
        <w:spacing w:before="0" w:after="0"/>
        <w:ind w:left="0" w:right="0" w:firstLine="389"/>
        <w:jc w:val="left"/>
        <w:rPr/>
      </w:pPr>
      <w:r>
        <w:rPr/>
        <w:t> </w:t>
      </w:r>
    </w:p>
    <w:p>
      <w:pPr>
        <w:pStyle w:val="TextBody"/>
        <w:bidi w:val="0"/>
        <w:spacing w:before="0" w:after="0"/>
        <w:ind w:left="0" w:right="0" w:firstLine="432"/>
        <w:jc w:val="left"/>
        <w:rPr>
          <w:rFonts w:ascii="Times New Roman;serif" w:hAnsi="Times New Roman;serif"/>
          <w:b w:val="false"/>
          <w:sz w:val="16"/>
        </w:rPr>
      </w:pPr>
      <w:r>
        <w:rPr>
          <w:rFonts w:ascii="Times New Roman;serif" w:hAnsi="Times New Roman;serif"/>
          <w:b w:val="false"/>
          <w:sz w:val="16"/>
        </w:rPr>
        <w:t>Not applicable.</w:t>
      </w:r>
    </w:p>
    <w:p>
      <w:pPr>
        <w:pStyle w:val="TextBody"/>
        <w:bidi w:val="0"/>
        <w:spacing w:before="160" w:after="0"/>
        <w:ind w:left="0" w:right="0" w:hanging="0"/>
        <w:jc w:val="left"/>
        <w:rPr>
          <w:rFonts w:ascii="Times New Roman" w:hAnsi="Times New Roman"/>
          <w:sz w:val="20"/>
        </w:rPr>
      </w:pPr>
      <w:bookmarkStart w:id="34" w:name="toc90073_19"/>
      <w:bookmarkEnd w:id="34"/>
      <w:r>
        <w:rPr>
          <w:rFonts w:ascii="Times New Roman;serif" w:hAnsi="Times New Roman;serif"/>
          <w:b/>
          <w:sz w:val="16"/>
        </w:rPr>
        <w:t>Item 5. Other</w:t>
      </w:r>
      <w:bookmarkStart w:id="35" w:name="item_5_or_information"/>
      <w:bookmarkEnd w:id="35"/>
      <w:r>
        <w:rPr>
          <w:rFonts w:ascii="Times New Roman" w:hAnsi="Times New Roman"/>
          <w:sz w:val="20"/>
        </w:rPr>
        <w:t xml:space="preserve"> </w:t>
      </w:r>
      <w:r>
        <w:rPr>
          <w:rFonts w:ascii="Times New Roman;serif" w:hAnsi="Times New Roman;serif"/>
          <w:b/>
          <w:sz w:val="16"/>
        </w:rPr>
        <w:t>Information</w:t>
      </w:r>
    </w:p>
    <w:p>
      <w:pPr>
        <w:pStyle w:val="TextBody"/>
        <w:bidi w:val="0"/>
        <w:spacing w:before="0" w:after="0"/>
        <w:ind w:left="0" w:right="0" w:firstLine="432"/>
        <w:jc w:val="left"/>
        <w:rPr/>
      </w:pPr>
      <w:bookmarkStart w:id="36" w:name="toc90073_20"/>
      <w:bookmarkEnd w:id="36"/>
      <w:r>
        <w:rPr/>
        <w:t> </w:t>
      </w:r>
    </w:p>
    <w:p>
      <w:pPr>
        <w:pStyle w:val="TextBody"/>
        <w:bidi w:val="0"/>
        <w:spacing w:before="0" w:after="0"/>
        <w:ind w:left="0" w:right="0" w:firstLine="432"/>
        <w:jc w:val="left"/>
        <w:rPr>
          <w:rFonts w:ascii="Times New Roman;serif" w:hAnsi="Times New Roman;serif"/>
          <w:b/>
          <w:sz w:val="16"/>
        </w:rPr>
      </w:pPr>
      <w:r>
        <w:rPr>
          <w:rFonts w:ascii="Times New Roman;serif" w:hAnsi="Times New Roman;serif"/>
          <w:b/>
          <w:sz w:val="16"/>
        </w:rPr>
        <w:t>10b5-1 Disclosure</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 w:hAnsi="Times New Roman"/>
          <w:sz w:val="20"/>
        </w:rPr>
      </w:pPr>
      <w:r>
        <w:rPr>
          <w:rFonts w:ascii="Times New Roman;serif" w:hAnsi="Times New Roman;serif"/>
          <w:b w:val="false"/>
          <w:sz w:val="16"/>
        </w:rPr>
        <w:t>None of the officers or directors of the Company have adopted</w:t>
      </w:r>
      <w:r>
        <w:rPr>
          <w:rFonts w:ascii="Times New Roman" w:hAnsi="Times New Roman"/>
          <w:sz w:val="20"/>
        </w:rPr>
        <w:t xml:space="preserve"> </w:t>
      </w:r>
      <w:r>
        <w:rPr>
          <w:rFonts w:ascii="Times New Roman;serif" w:hAnsi="Times New Roman;serif"/>
          <w:b w:val="false"/>
          <w:sz w:val="16"/>
        </w:rPr>
        <w:t>or terminated</w:t>
      </w:r>
      <w:r>
        <w:rPr>
          <w:rFonts w:ascii="Times New Roman" w:hAnsi="Times New Roman"/>
          <w:sz w:val="20"/>
        </w:rPr>
        <w:t xml:space="preserve"> </w:t>
      </w:r>
      <w:r>
        <w:rPr>
          <w:rFonts w:ascii="Times New Roman;serif" w:hAnsi="Times New Roman;serif"/>
          <w:b w:val="false"/>
          <w:sz w:val="16"/>
        </w:rPr>
        <w:t>any Rule 10b5-1 trading arrangements applicable to them (if any) or the Company.</w:t>
      </w:r>
    </w:p>
    <w:p>
      <w:pPr>
        <w:pStyle w:val="TextBody"/>
        <w:bidi w:val="0"/>
        <w:spacing w:before="0" w:after="0"/>
        <w:ind w:left="0" w:right="0" w:firstLine="432"/>
        <w:jc w:val="left"/>
        <w:rPr/>
      </w:pPr>
      <w:r>
        <w:rPr/>
        <w:t> </w:t>
      </w:r>
    </w:p>
    <w:p>
      <w:pPr>
        <w:pStyle w:val="TextBody"/>
        <w:bidi w:val="0"/>
        <w:spacing w:before="0" w:after="0"/>
        <w:ind w:left="0" w:right="0" w:firstLine="432"/>
        <w:jc w:val="left"/>
        <w:rPr/>
      </w:pPr>
      <w:r>
        <w:rPr/>
        <w:t> </w:t>
      </w:r>
    </w:p>
    <w:p>
      <w:pPr>
        <w:pStyle w:val="TextBody"/>
        <w:bidi w:val="0"/>
        <w:spacing w:before="0" w:after="0"/>
        <w:ind w:left="0" w:right="0" w:firstLine="432"/>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bookmarkStart w:id="37" w:name="item_6_exhibits"/>
      <w:bookmarkEnd w:id="37"/>
      <w:r>
        <w:rPr>
          <w:rFonts w:ascii="Times New Roman;serif" w:hAnsi="Times New Roman;serif"/>
          <w:b/>
          <w:sz w:val="16"/>
        </w:rPr>
        <w:t>Item 6.</w:t>
      </w:r>
      <w:r>
        <w:rPr>
          <w:rFonts w:ascii="Times New Roman" w:hAnsi="Times New Roman"/>
          <w:sz w:val="20"/>
        </w:rPr>
        <w:t xml:space="preserve"> </w:t>
      </w:r>
      <w:r>
        <w:rPr>
          <w:rFonts w:ascii="Times New Roman;serif" w:hAnsi="Times New Roman;serif"/>
          <w:b/>
          <w:sz w:val="16"/>
        </w:rPr>
        <w:t>Exhibits</w:t>
      </w:r>
      <w:r>
        <w:rPr>
          <w:rFonts w:ascii="Times New Roman" w:hAnsi="Times New Roman"/>
          <w:sz w:val="20"/>
        </w:rPr>
        <w:t xml:space="preserve"> </w:t>
      </w:r>
    </w:p>
    <w:p>
      <w:pPr>
        <w:pStyle w:val="TextBody"/>
        <w:bidi w:val="0"/>
        <w:spacing w:before="160" w:after="0"/>
        <w:ind w:left="0" w:right="0" w:firstLine="432"/>
        <w:jc w:val="left"/>
        <w:rPr>
          <w:rFonts w:ascii="Times New Roman;serif" w:hAnsi="Times New Roman;serif"/>
          <w:b w:val="false"/>
          <w:sz w:val="16"/>
        </w:rPr>
      </w:pPr>
      <w:r>
        <w:rPr>
          <w:rFonts w:ascii="Times New Roman;serif" w:hAnsi="Times New Roman;serif"/>
          <w:b w:val="false"/>
          <w:sz w:val="16"/>
        </w:rPr>
        <w:t>Unless specifically indicated otherwise, the following exhibits are incorporated by reference to exhibits previously filed with the SEC:</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667"/>
        <w:gridCol w:w="9538"/>
      </w:tblGrid>
      <w:tr>
        <w:trPr/>
        <w:tc>
          <w:tcPr>
            <w:tcW w:w="667" w:type="dxa"/>
            <w:tcBorders/>
            <w:vAlign w:val="center"/>
          </w:tcPr>
          <w:p>
            <w:pPr>
              <w:pStyle w:val="TableContents"/>
              <w:bidi w:val="0"/>
              <w:spacing w:before="0" w:after="283"/>
              <w:jc w:val="left"/>
              <w:rPr>
                <w:sz w:val="4"/>
                <w:szCs w:val="4"/>
              </w:rPr>
            </w:pPr>
            <w:r>
              <w:rPr>
                <w:sz w:val="4"/>
                <w:szCs w:val="4"/>
              </w:rPr>
            </w:r>
          </w:p>
        </w:tc>
        <w:tc>
          <w:tcPr>
            <w:tcW w:w="9538" w:type="dxa"/>
            <w:tcBorders/>
            <w:vAlign w:val="center"/>
          </w:tcPr>
          <w:p>
            <w:pPr>
              <w:pStyle w:val="TableContents"/>
              <w:bidi w:val="0"/>
              <w:spacing w:before="0" w:after="283"/>
              <w:jc w:val="left"/>
              <w:rPr>
                <w:sz w:val="4"/>
                <w:szCs w:val="4"/>
              </w:rPr>
            </w:pPr>
            <w:r>
              <w:rPr>
                <w:sz w:val="4"/>
                <w:szCs w:val="4"/>
              </w:rPr>
            </w:r>
          </w:p>
        </w:tc>
      </w:tr>
      <w:tr>
        <w:trPr/>
        <w:tc>
          <w:tcPr>
            <w:tcW w:w="667"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3.1</w:t>
            </w:r>
          </w:p>
        </w:tc>
        <w:tc>
          <w:tcPr>
            <w:tcW w:w="9538"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16"/>
                  <w:u w:val="single"/>
                </w:rPr>
                <w:t>Articles of Amendment and Restatement of the Registrant (Incorporated by reference to Exhibit 99(A) to the Registrant's Pre-Effective Amendment No. 3 to the Registration Statement on Form N-2 (File No. 333-170243), filed on March 29, 2011).</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3.2</w:t>
            </w:r>
          </w:p>
        </w:tc>
        <w:tc>
          <w:tcPr>
            <w:tcW w:w="9538"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16"/>
                  <w:u w:val="single"/>
                </w:rPr>
                <w:t>Second Amended and Restated Bylaws of the Registrant (Incorporated by reference to Exhibit 3.2 to the Registrant's Quarterly Report on Form 10-Q (File No. 814-00891), filed on May 11, 2020).</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4.1</w:t>
            </w:r>
          </w:p>
        </w:tc>
        <w:tc>
          <w:tcPr>
            <w:tcW w:w="9538"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16"/>
                  <w:u w:val="single"/>
                </w:rPr>
                <w:t>Form of Share Certificate (Incorporated by reference to Exhibit 99(D) to the Registrant's Pre-Effective Amendment No. 5 to the Registration Statement on Form N-2 (File No. 333-170243), filed on April 5, 2011).</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31.1*</w:t>
            </w:r>
          </w:p>
        </w:tc>
        <w:tc>
          <w:tcPr>
            <w:tcW w:w="9538" w:type="dxa"/>
            <w:tcBorders/>
            <w:vAlign w:val="center"/>
          </w:tcPr>
          <w:p>
            <w:pPr>
              <w:pStyle w:val="TableContents"/>
              <w:bidi w:val="0"/>
              <w:spacing w:before="0" w:after="0"/>
              <w:ind w:left="0" w:right="0" w:hanging="0"/>
              <w:jc w:val="left"/>
              <w:rPr/>
            </w:pPr>
            <w:hyperlink w:anchor="pflt-ex31_1.htm">
              <w:r>
                <w:rPr>
                  <w:rStyle w:val="InternetLink"/>
                  <w:rFonts w:ascii="Times New Roman;serif" w:hAnsi="Times New Roman;serif"/>
                  <w:b w:val="false"/>
                  <w:sz w:val="16"/>
                  <w:u w:val="single"/>
                </w:rPr>
                <w:t>Certification of Chief Executive Officer pursuant to Rule 13a-14 of the Securities Exchange Act of 1934, as amended.</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31.2*</w:t>
            </w:r>
          </w:p>
        </w:tc>
        <w:tc>
          <w:tcPr>
            <w:tcW w:w="9538" w:type="dxa"/>
            <w:tcBorders/>
            <w:vAlign w:val="center"/>
          </w:tcPr>
          <w:p>
            <w:pPr>
              <w:pStyle w:val="TableContents"/>
              <w:bidi w:val="0"/>
              <w:spacing w:before="0" w:after="0"/>
              <w:ind w:left="0" w:right="0" w:hanging="0"/>
              <w:jc w:val="left"/>
              <w:rPr/>
            </w:pPr>
            <w:hyperlink w:anchor="pflt-ex31_2.htm">
              <w:r>
                <w:rPr>
                  <w:rStyle w:val="InternetLink"/>
                  <w:rFonts w:ascii="Times New Roman;serif" w:hAnsi="Times New Roman;serif"/>
                  <w:b w:val="false"/>
                  <w:sz w:val="16"/>
                  <w:u w:val="single"/>
                </w:rPr>
                <w:t>Certification of Chief Financial Officer pursuant to Rule 13a-14 of the Securities Exchange Act of 1934, as amended.</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32.1*</w:t>
            </w:r>
          </w:p>
        </w:tc>
        <w:tc>
          <w:tcPr>
            <w:tcW w:w="9538" w:type="dxa"/>
            <w:tcBorders/>
            <w:vAlign w:val="center"/>
          </w:tcPr>
          <w:p>
            <w:pPr>
              <w:pStyle w:val="TableContents"/>
              <w:bidi w:val="0"/>
              <w:spacing w:before="0" w:after="0"/>
              <w:ind w:left="0" w:right="0" w:hanging="0"/>
              <w:jc w:val="left"/>
              <w:rPr/>
            </w:pPr>
            <w:hyperlink w:anchor="pflt-ex32_1.htm">
              <w:r>
                <w:rPr>
                  <w:rStyle w:val="InternetLink"/>
                  <w:rFonts w:ascii="Times New Roman;serif" w:hAnsi="Times New Roman;serif"/>
                  <w:b w:val="false"/>
                  <w:sz w:val="16"/>
                  <w:u w:val="single"/>
                </w:rPr>
                <w:t>Certification of Chief Executive Officer pursuant to section 906 of The Sarbanes-Oxley Act of 2002.</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32.2*</w:t>
            </w:r>
          </w:p>
        </w:tc>
        <w:tc>
          <w:tcPr>
            <w:tcW w:w="9538" w:type="dxa"/>
            <w:tcBorders/>
            <w:vAlign w:val="center"/>
          </w:tcPr>
          <w:p>
            <w:pPr>
              <w:pStyle w:val="TableContents"/>
              <w:bidi w:val="0"/>
              <w:spacing w:before="0" w:after="0"/>
              <w:ind w:left="0" w:right="0" w:hanging="0"/>
              <w:jc w:val="left"/>
              <w:rPr/>
            </w:pPr>
            <w:hyperlink w:anchor="pflt-ex32_2.htm">
              <w:r>
                <w:rPr>
                  <w:rStyle w:val="InternetLink"/>
                  <w:rFonts w:ascii="Times New Roman;serif" w:hAnsi="Times New Roman;serif"/>
                  <w:b w:val="false"/>
                  <w:sz w:val="16"/>
                  <w:u w:val="single"/>
                </w:rPr>
                <w:t>Certification of Chief Financial Officer pursuant to section 906 of The Sarbanes-Oxley Act of 2002.</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99.1</w:t>
            </w:r>
          </w:p>
        </w:tc>
        <w:tc>
          <w:tcPr>
            <w:tcW w:w="9538"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16"/>
                  <w:u w:val="single"/>
                </w:rPr>
                <w:t>Privacy Policy of the Registrant (Incorporated by reference to Exhibit 99.1 to the Registrant’s Annual Report on Form 10-K (File No. 814-00891), filed on November 17, 2011).</w:t>
              </w:r>
            </w:hyperlink>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101.INS*</w:t>
            </w:r>
          </w:p>
        </w:tc>
        <w:tc>
          <w:tcPr>
            <w:tcW w:w="9538"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Inline XBRL Instance Document</w:t>
            </w:r>
            <w:r>
              <w:rPr>
                <w:rFonts w:ascii="Times New Roman" w:hAnsi="Times New Roman"/>
                <w:sz w:val="16"/>
              </w:rPr>
              <w:t xml:space="preserve"> </w:t>
            </w:r>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101.SCH*</w:t>
            </w:r>
          </w:p>
        </w:tc>
        <w:tc>
          <w:tcPr>
            <w:tcW w:w="95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Schema</w:t>
            </w:r>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101.CAL*</w:t>
            </w:r>
          </w:p>
        </w:tc>
        <w:tc>
          <w:tcPr>
            <w:tcW w:w="95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Calculation Linkbase Document</w:t>
            </w:r>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101.DEF*</w:t>
            </w:r>
          </w:p>
        </w:tc>
        <w:tc>
          <w:tcPr>
            <w:tcW w:w="95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Definition Linkbase Document</w:t>
            </w:r>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101.LAB*</w:t>
            </w:r>
          </w:p>
        </w:tc>
        <w:tc>
          <w:tcPr>
            <w:tcW w:w="95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Label Linkbase Document</w:t>
            </w:r>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101.PRE*</w:t>
            </w:r>
          </w:p>
        </w:tc>
        <w:tc>
          <w:tcPr>
            <w:tcW w:w="95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Presentation Linkbase Document</w:t>
            </w:r>
          </w:p>
        </w:tc>
      </w:tr>
      <w:tr>
        <w:trPr/>
        <w:tc>
          <w:tcPr>
            <w:tcW w:w="667" w:type="dxa"/>
            <w:tcBorders/>
            <w:vAlign w:val="center"/>
          </w:tcPr>
          <w:p>
            <w:pPr>
              <w:pStyle w:val="TableContents"/>
              <w:bidi w:val="0"/>
              <w:spacing w:before="0" w:after="0"/>
              <w:ind w:left="0" w:right="0" w:hanging="0"/>
              <w:jc w:val="left"/>
              <w:rPr/>
            </w:pPr>
            <w:r>
              <w:rPr/>
              <w:t> </w:t>
            </w:r>
          </w:p>
        </w:tc>
        <w:tc>
          <w:tcPr>
            <w:tcW w:w="9538" w:type="dxa"/>
            <w:tcBorders/>
            <w:vAlign w:val="center"/>
          </w:tcPr>
          <w:p>
            <w:pPr>
              <w:pStyle w:val="TableContents"/>
              <w:bidi w:val="0"/>
              <w:spacing w:before="0" w:after="0"/>
              <w:ind w:left="0" w:right="0" w:hanging="0"/>
              <w:jc w:val="left"/>
              <w:rPr/>
            </w:pPr>
            <w:r>
              <w:rPr/>
              <w:t> </w:t>
            </w:r>
          </w:p>
        </w:tc>
      </w:tr>
      <w:tr>
        <w:trPr/>
        <w:tc>
          <w:tcPr>
            <w:tcW w:w="66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104</w:t>
            </w:r>
          </w:p>
        </w:tc>
        <w:tc>
          <w:tcPr>
            <w:tcW w:w="95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Cover Page Interactive Data File (formatted as inline XBRL and contained in Exhibit 101)</w:t>
            </w:r>
          </w:p>
        </w:tc>
      </w:tr>
    </w:tbl>
    <w:p>
      <w:pPr>
        <w:pStyle w:val="TextBody"/>
        <w:pBdr>
          <w:bottom w:val="single" w:sz="4" w:space="1" w:color="000000"/>
        </w:pBdr>
        <w:bidi w:val="0"/>
        <w:spacing w:before="0" w:after="0"/>
        <w:ind w:left="0" w:right="8200" w:hanging="0"/>
        <w:jc w:val="left"/>
        <w:rPr/>
      </w:pPr>
      <w:r>
        <w:rPr/>
        <w:t> </w:t>
      </w:r>
    </w:p>
    <w:p>
      <w:pPr>
        <w:pStyle w:val="TextBody"/>
        <w:bidi w:val="0"/>
        <w:spacing w:before="40" w:after="0"/>
        <w:ind w:left="0" w:right="0" w:hanging="0"/>
        <w:jc w:val="left"/>
        <w:rPr>
          <w:rFonts w:ascii="Times New Roman;serif" w:hAnsi="Times New Roman;serif"/>
          <w:b w:val="false"/>
          <w:sz w:val="16"/>
        </w:rPr>
      </w:pPr>
      <w:r>
        <w:rPr>
          <w:rFonts w:ascii="Times New Roman;serif" w:hAnsi="Times New Roman;serif"/>
          <w:b w:val="false"/>
          <w:sz w:val="16"/>
        </w:rPr>
        <w:t>* Filed herewith.</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bookmarkStart w:id="38" w:name="signatures"/>
      <w:bookmarkEnd w:id="38"/>
      <w:r>
        <w:rPr>
          <w:rFonts w:ascii="Times New Roman;serif" w:hAnsi="Times New Roman;serif"/>
          <w:b/>
          <w:sz w:val="16"/>
        </w:rPr>
        <w:t>SIGNATURES</w:t>
      </w:r>
    </w:p>
    <w:p>
      <w:pPr>
        <w:pStyle w:val="TextBody"/>
        <w:bidi w:val="0"/>
        <w:spacing w:before="320" w:after="0"/>
        <w:ind w:left="0" w:right="0" w:firstLine="432"/>
        <w:jc w:val="left"/>
        <w:rPr>
          <w:rFonts w:ascii="Times New Roman;serif" w:hAnsi="Times New Roman;serif"/>
          <w:b w:val="false"/>
          <w:sz w:val="16"/>
        </w:rPr>
      </w:pPr>
      <w:r>
        <w:rPr>
          <w:rFonts w:ascii="Times New Roman;serif" w:hAnsi="Times New Roman;serif"/>
          <w:b w:val="false"/>
          <w:sz w:val="16"/>
        </w:rPr>
        <w:t>Pursuant to the requirements of the Securities Exchange Act of 1934, the registrant has duly caused this Report on Form 10-Q to be signed on its behalf by the undersigned, thereunto duly authorized.</w:t>
      </w:r>
    </w:p>
    <w:tbl>
      <w:tblPr>
        <w:tblW w:w="6974" w:type="dxa"/>
        <w:jc w:val="left"/>
        <w:tblInd w:w="0" w:type="dxa"/>
        <w:tblLayout w:type="fixed"/>
        <w:tblCellMar>
          <w:top w:w="28" w:type="dxa"/>
          <w:left w:w="28" w:type="dxa"/>
          <w:bottom w:w="28" w:type="dxa"/>
          <w:right w:w="28" w:type="dxa"/>
        </w:tblCellMar>
      </w:tblPr>
      <w:tblGrid>
        <w:gridCol w:w="1606"/>
        <w:gridCol w:w="146"/>
        <w:gridCol w:w="391"/>
        <w:gridCol w:w="483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5368" w:type="dxa"/>
            <w:gridSpan w:val="3"/>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22" w:type="dxa"/>
            <w:gridSpan w:val="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PENNANTPARK FLOATING RATE CAPITAL LTD.</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222" w:type="dxa"/>
            <w:gridSpan w:val="2"/>
            <w:tcBorders/>
            <w:vAlign w:val="center"/>
          </w:tcPr>
          <w:p>
            <w:pPr>
              <w:pStyle w:val="TableContents"/>
              <w:bidi w:val="0"/>
              <w:spacing w:before="0" w:after="0"/>
              <w:ind w:left="0" w:right="0" w:hanging="0"/>
              <w:jc w:val="left"/>
              <w:rPr/>
            </w:pPr>
            <w:r>
              <w:rPr/>
              <w:t> </w:t>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 August 9, 2023</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By:</w:t>
            </w:r>
          </w:p>
        </w:tc>
        <w:tc>
          <w:tcPr>
            <w:tcW w:w="4831" w:type="dxa"/>
            <w:tcBorders/>
            <w:vAlign w:val="center"/>
          </w:tcPr>
          <w:p>
            <w:pPr>
              <w:pStyle w:val="TableContents"/>
              <w:pBdr>
                <w:bottom w:val="single" w:sz="6" w:space="1" w:color="000000"/>
              </w:pBdr>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 Arthur H. Penn</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Arthur H. Penn</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Executive Officer and Chairman of the Board of Directors</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Executive Officer)</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22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6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 August 9,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9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By:</w:t>
            </w:r>
            <w:r>
              <w:rPr>
                <w:rFonts w:ascii="Times New Roman" w:hAnsi="Times New Roman"/>
                <w:sz w:val="16"/>
              </w:rPr>
              <w:t xml:space="preserve"> </w:t>
            </w:r>
          </w:p>
        </w:tc>
        <w:tc>
          <w:tcPr>
            <w:tcW w:w="4831" w:type="dxa"/>
            <w:tcBorders/>
            <w:vAlign w:val="center"/>
          </w:tcPr>
          <w:p>
            <w:pPr>
              <w:pStyle w:val="TableContents"/>
              <w:pBdr>
                <w:bottom w:val="single" w:sz="6" w:space="1" w:color="000000"/>
              </w:pBdr>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 Richard T. Allorto, Jr.</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Richard T. Allorto, Jr.</w:t>
            </w:r>
          </w:p>
        </w:tc>
      </w:tr>
      <w:tr>
        <w:trPr/>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 and Treasurer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Financial and Accounting Officer)</w:t>
            </w:r>
          </w:p>
        </w:tc>
      </w:tr>
    </w:tbl>
    <w:p>
      <w:pPr>
        <w:pStyle w:val="TextBody"/>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serif" w:hAnsi="Times New Roman;serif"/>
          <w:b/>
          <w:sz w:val="16"/>
        </w:rPr>
      </w:pPr>
      <w:bookmarkStart w:id="39" w:name="pflt-ex31_1.htm"/>
      <w:bookmarkStart w:id="40" w:name="kspfltex31_1"/>
      <w:bookmarkEnd w:id="39"/>
      <w:bookmarkEnd w:id="40"/>
      <w:r>
        <w:rPr>
          <w:rFonts w:ascii="Times New Roman;serif" w:hAnsi="Times New Roman;serif"/>
          <w:b/>
          <w:sz w:val="16"/>
        </w:rPr>
        <w:t>EXHIBIT 31.1</w:t>
      </w:r>
      <w:r>
        <w:br w:type="page"/>
      </w:r>
    </w:p>
    <w:p>
      <w:pPr>
        <w:pStyle w:val="TextBody"/>
        <w:bidi w:val="0"/>
        <w:spacing w:before="0" w:after="0"/>
        <w:ind w:left="3033" w:right="3018"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CERTIFICATION PURSUANT TO SECTION 302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CHIEF EXECUTIVE OFFICER CERTIFICATION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 Arthur H. Penn, Chief Executive Officer of PennantPark Floating Rate Capital, Ltd., certify that:</w:t>
      </w:r>
    </w:p>
    <w:p>
      <w:pPr>
        <w:pStyle w:val="TextBody"/>
        <w:bidi w:val="0"/>
        <w:spacing w:before="0" w:after="0"/>
        <w:ind w:left="0" w:right="0" w:hanging="0"/>
        <w:jc w:val="left"/>
        <w:rPr/>
      </w:pPr>
      <w:r>
        <w:rPr/>
        <w:t> </w:t>
      </w:r>
    </w:p>
    <w:p>
      <w:pPr>
        <w:pStyle w:val="TextBody"/>
        <w:bidi w:val="0"/>
        <w:spacing w:before="0" w:after="0"/>
        <w:ind w:left="0" w:right="0" w:firstLine="450"/>
        <w:jc w:val="left"/>
        <w:rPr>
          <w:rFonts w:ascii="Times New Roman;serif" w:hAnsi="Times New Roman;serif"/>
          <w:b w:val="false"/>
          <w:sz w:val="16"/>
        </w:rPr>
      </w:pPr>
      <w:r>
        <w:rPr>
          <w:rFonts w:ascii="Times New Roman;serif" w:hAnsi="Times New Roman;serif"/>
          <w:b w:val="false"/>
          <w:sz w:val="16"/>
        </w:rPr>
        <w:t>1. I have reviewed this Report on Form 10-Q of PennantPark Floating Rate Capital, Ltd.;</w:t>
      </w:r>
    </w:p>
    <w:p>
      <w:pPr>
        <w:pStyle w:val="TextBody"/>
        <w:bidi w:val="0"/>
        <w:spacing w:before="0" w:after="0"/>
        <w:ind w:left="0" w:right="0" w:hanging="0"/>
        <w:jc w:val="left"/>
        <w:rPr/>
      </w:pPr>
      <w:r>
        <w:rPr/>
        <w:t> </w:t>
      </w:r>
    </w:p>
    <w:p>
      <w:pPr>
        <w:pStyle w:val="TextBody"/>
        <w:bidi w:val="0"/>
        <w:spacing w:before="0" w:after="0"/>
        <w:ind w:left="0" w:right="348" w:firstLine="450"/>
        <w:jc w:val="left"/>
        <w:rPr>
          <w:rFonts w:ascii="Times New Roman;serif" w:hAnsi="Times New Roman;serif"/>
          <w:b w:val="false"/>
          <w:sz w:val="16"/>
        </w:rPr>
      </w:pPr>
      <w:r>
        <w:rPr>
          <w:rFonts w:ascii="Times New Roman;serif" w:hAnsi="Times New Roman;serif"/>
          <w:b w:val="false"/>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193" w:firstLine="450"/>
        <w:jc w:val="left"/>
        <w:rPr>
          <w:rFonts w:ascii="Times New Roman;serif" w:hAnsi="Times New Roman;serif"/>
          <w:b w:val="false"/>
          <w:sz w:val="16"/>
        </w:rPr>
      </w:pPr>
      <w:r>
        <w:rPr>
          <w:rFonts w:ascii="Times New Roman;serif" w:hAnsi="Times New Roman;serif"/>
          <w:b w:val="false"/>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firstLine="450"/>
        <w:jc w:val="left"/>
        <w:rPr>
          <w:rFonts w:ascii="Times New Roman;serif" w:hAnsi="Times New Roman;serif"/>
          <w:b w:val="false"/>
          <w:sz w:val="16"/>
        </w:rPr>
      </w:pPr>
      <w:r>
        <w:rPr>
          <w:rFonts w:ascii="Times New Roman;serif" w:hAnsi="Times New Roman;serif"/>
          <w:b w:val="false"/>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0" w:right="452" w:firstLine="720"/>
        <w:jc w:val="both"/>
        <w:rPr>
          <w:rFonts w:ascii="Times New Roman" w:hAnsi="Times New Roman"/>
          <w:sz w:val="20"/>
        </w:rPr>
      </w:pPr>
      <w:r>
        <w:rPr>
          <w:rFonts w:ascii="Times New Roman;serif" w:hAnsi="Times New Roman;serif"/>
          <w:b w:val="false"/>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511" w:firstLine="720"/>
        <w:jc w:val="left"/>
        <w:rPr>
          <w:rFonts w:ascii="Times New Roman" w:hAnsi="Times New Roman"/>
          <w:sz w:val="20"/>
        </w:rPr>
      </w:pPr>
      <w:r>
        <w:rPr>
          <w:rFonts w:ascii="Times New Roman;serif" w:hAnsi="Times New Roman;serif"/>
          <w:b w:val="false"/>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61" w:firstLine="720"/>
        <w:jc w:val="left"/>
        <w:rPr>
          <w:rFonts w:ascii="Times New Roman;serif" w:hAnsi="Times New Roman;serif"/>
          <w:b w:val="false"/>
          <w:sz w:val="16"/>
        </w:rPr>
      </w:pPr>
      <w:r>
        <w:rPr>
          <w:rFonts w:ascii="Times New Roman;serif" w:hAnsi="Times New Roman;serif"/>
          <w:b w:val="false"/>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0" w:right="316" w:firstLine="720"/>
        <w:jc w:val="left"/>
        <w:rPr>
          <w:rFonts w:ascii="Times New Roman;serif" w:hAnsi="Times New Roman;serif"/>
          <w:b w:val="false"/>
          <w:sz w:val="16"/>
        </w:rPr>
      </w:pPr>
      <w:r>
        <w:rPr>
          <w:rFonts w:ascii="Times New Roman;serif" w:hAnsi="Times New Roman;serif"/>
          <w:b w:val="false"/>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201" w:firstLine="450"/>
        <w:jc w:val="left"/>
        <w:rPr>
          <w:rFonts w:ascii="Times New Roman;serif" w:hAnsi="Times New Roman;serif"/>
          <w:b w:val="false"/>
          <w:sz w:val="16"/>
        </w:rPr>
      </w:pPr>
      <w:r>
        <w:rPr>
          <w:rFonts w:ascii="Times New Roman;serif" w:hAnsi="Times New Roman;serif"/>
          <w:b w:val="false"/>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0" w:right="71" w:firstLine="720"/>
        <w:jc w:val="left"/>
        <w:rPr>
          <w:rFonts w:ascii="Times New Roman;serif" w:hAnsi="Times New Roman;serif"/>
          <w:b w:val="false"/>
          <w:sz w:val="16"/>
        </w:rPr>
      </w:pPr>
      <w:r>
        <w:rPr>
          <w:rFonts w:ascii="Times New Roman;serif" w:hAnsi="Times New Roman;serif"/>
          <w:b w:val="false"/>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0" w:right="385" w:firstLine="720"/>
        <w:jc w:val="left"/>
        <w:rPr>
          <w:rFonts w:ascii="Times New Roman;serif" w:hAnsi="Times New Roman;serif"/>
          <w:b w:val="false"/>
          <w:sz w:val="16"/>
        </w:rPr>
      </w:pPr>
      <w:r>
        <w:rPr>
          <w:rFonts w:ascii="Times New Roman;serif" w:hAnsi="Times New Roman;serif"/>
          <w:b w:val="false"/>
          <w:sz w:val="16"/>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Dated: August 9, 2023</w:t>
      </w:r>
    </w:p>
    <w:p>
      <w:pPr>
        <w:pStyle w:val="TextBody"/>
        <w:bidi w:val="0"/>
        <w:spacing w:before="0" w:after="0"/>
        <w:ind w:left="0" w:right="0" w:hanging="0"/>
        <w:jc w:val="left"/>
        <w:rPr/>
      </w:pPr>
      <w:r>
        <w:rPr/>
        <w:t> </w:t>
      </w:r>
    </w:p>
    <w:tbl>
      <w:tblPr>
        <w:tblW w:w="2372" w:type="dxa"/>
        <w:jc w:val="left"/>
        <w:tblInd w:w="0" w:type="dxa"/>
        <w:tblLayout w:type="fixed"/>
        <w:tblCellMar>
          <w:top w:w="28" w:type="dxa"/>
          <w:left w:w="28" w:type="dxa"/>
          <w:bottom w:w="28" w:type="dxa"/>
          <w:right w:w="28" w:type="dxa"/>
        </w:tblCellMar>
      </w:tblPr>
      <w:tblGrid>
        <w:gridCol w:w="571"/>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3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serif" w:hAnsi="Times New Roman;serif"/>
          <w:b/>
          <w:sz w:val="16"/>
        </w:rPr>
      </w:pPr>
      <w:bookmarkStart w:id="41" w:name="pflt-ex31_2.htm"/>
      <w:bookmarkStart w:id="42" w:name="kspfltex31_2"/>
      <w:bookmarkEnd w:id="41"/>
      <w:bookmarkEnd w:id="42"/>
      <w:r>
        <w:rPr>
          <w:rFonts w:ascii="Times New Roman;serif" w:hAnsi="Times New Roman;serif"/>
          <w:b/>
          <w:sz w:val="16"/>
        </w:rPr>
        <w:t>EXHIBIT 31.2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CERTIFICATION PURSUANT TO SECTION 302</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 CERTIFICATION</w:t>
      </w:r>
    </w:p>
    <w:p>
      <w:pPr>
        <w:pStyle w:val="TextBody"/>
        <w:bidi w:val="0"/>
        <w:spacing w:before="0" w:after="0"/>
        <w:ind w:left="0" w:right="414" w:hanging="0"/>
        <w:jc w:val="left"/>
        <w:rPr/>
      </w:pPr>
      <w:r>
        <w:rPr/>
        <w:t> </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 Richard T. Allorto, Jr., Chief Financial Officer of PennantPark Floating Rate Capital, Ltd., certify that:</w:t>
      </w:r>
    </w:p>
    <w:p>
      <w:pPr>
        <w:pStyle w:val="TextBody"/>
        <w:bidi w:val="0"/>
        <w:spacing w:before="0" w:after="0"/>
        <w:ind w:left="0" w:right="0" w:hanging="0"/>
        <w:jc w:val="left"/>
        <w:rPr/>
      </w:pPr>
      <w:r>
        <w:rPr/>
        <w:t> </w:t>
      </w:r>
    </w:p>
    <w:p>
      <w:pPr>
        <w:pStyle w:val="TextBody"/>
        <w:bidi w:val="0"/>
        <w:spacing w:before="0" w:after="0"/>
        <w:ind w:left="0" w:right="0" w:firstLine="450"/>
        <w:jc w:val="left"/>
        <w:rPr>
          <w:rFonts w:ascii="Times New Roman;serif" w:hAnsi="Times New Roman;serif"/>
          <w:b w:val="false"/>
          <w:sz w:val="16"/>
        </w:rPr>
      </w:pPr>
      <w:r>
        <w:rPr>
          <w:rFonts w:ascii="Times New Roman;serif" w:hAnsi="Times New Roman;serif"/>
          <w:b w:val="false"/>
          <w:sz w:val="16"/>
        </w:rPr>
        <w:t>1. I have reviewed this Report on Form 10-Q of PennantPark Floating Rate Capital, Ltd.;</w:t>
      </w:r>
    </w:p>
    <w:p>
      <w:pPr>
        <w:pStyle w:val="TextBody"/>
        <w:bidi w:val="0"/>
        <w:spacing w:before="0" w:after="0"/>
        <w:ind w:left="0" w:right="0" w:hanging="0"/>
        <w:jc w:val="left"/>
        <w:rPr/>
      </w:pPr>
      <w:r>
        <w:rPr/>
        <w:t> </w:t>
      </w:r>
    </w:p>
    <w:p>
      <w:pPr>
        <w:pStyle w:val="TextBody"/>
        <w:bidi w:val="0"/>
        <w:spacing w:before="0" w:after="0"/>
        <w:ind w:left="0" w:right="348" w:firstLine="450"/>
        <w:jc w:val="left"/>
        <w:rPr>
          <w:rFonts w:ascii="Times New Roman;serif" w:hAnsi="Times New Roman;serif"/>
          <w:b w:val="false"/>
          <w:sz w:val="16"/>
        </w:rPr>
      </w:pPr>
      <w:r>
        <w:rPr>
          <w:rFonts w:ascii="Times New Roman;serif" w:hAnsi="Times New Roman;serif"/>
          <w:b w:val="false"/>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193" w:firstLine="450"/>
        <w:jc w:val="left"/>
        <w:rPr>
          <w:rFonts w:ascii="Times New Roman;serif" w:hAnsi="Times New Roman;serif"/>
          <w:b w:val="false"/>
          <w:sz w:val="16"/>
        </w:rPr>
      </w:pPr>
      <w:r>
        <w:rPr>
          <w:rFonts w:ascii="Times New Roman;serif" w:hAnsi="Times New Roman;serif"/>
          <w:b w:val="false"/>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346" w:firstLine="450"/>
        <w:jc w:val="left"/>
        <w:rPr>
          <w:rFonts w:ascii="Times New Roman;serif" w:hAnsi="Times New Roman;serif"/>
          <w:b w:val="false"/>
          <w:sz w:val="16"/>
        </w:rPr>
      </w:pPr>
      <w:r>
        <w:rPr>
          <w:rFonts w:ascii="Times New Roman;serif" w:hAnsi="Times New Roman;serif"/>
          <w:b w:val="false"/>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0" w:right="452" w:firstLine="720"/>
        <w:jc w:val="both"/>
        <w:rPr>
          <w:rFonts w:ascii="Times New Roman" w:hAnsi="Times New Roman"/>
          <w:sz w:val="20"/>
        </w:rPr>
      </w:pPr>
      <w:r>
        <w:rPr>
          <w:rFonts w:ascii="Times New Roman;serif" w:hAnsi="Times New Roman;serif"/>
          <w:b w:val="false"/>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511" w:firstLine="720"/>
        <w:jc w:val="left"/>
        <w:rPr>
          <w:rFonts w:ascii="Times New Roman" w:hAnsi="Times New Roman"/>
          <w:sz w:val="20"/>
        </w:rPr>
      </w:pPr>
      <w:r>
        <w:rPr>
          <w:rFonts w:ascii="Times New Roman;serif" w:hAnsi="Times New Roman;serif"/>
          <w:b w:val="false"/>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61" w:firstLine="720"/>
        <w:jc w:val="left"/>
        <w:rPr>
          <w:rFonts w:ascii="Times New Roman;serif" w:hAnsi="Times New Roman;serif"/>
          <w:b w:val="false"/>
          <w:sz w:val="16"/>
        </w:rPr>
      </w:pPr>
      <w:r>
        <w:rPr>
          <w:rFonts w:ascii="Times New Roman;serif" w:hAnsi="Times New Roman;serif"/>
          <w:b w:val="false"/>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0" w:right="316" w:firstLine="720"/>
        <w:jc w:val="left"/>
        <w:rPr>
          <w:rFonts w:ascii="Times New Roman;serif" w:hAnsi="Times New Roman;serif"/>
          <w:b w:val="false"/>
          <w:sz w:val="16"/>
        </w:rPr>
      </w:pPr>
      <w:r>
        <w:rPr>
          <w:rFonts w:ascii="Times New Roman;serif" w:hAnsi="Times New Roman;serif"/>
          <w:b w:val="false"/>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201" w:firstLine="450"/>
        <w:jc w:val="left"/>
        <w:rPr>
          <w:rFonts w:ascii="Times New Roman;serif" w:hAnsi="Times New Roman;serif"/>
          <w:b w:val="false"/>
          <w:sz w:val="16"/>
        </w:rPr>
      </w:pPr>
      <w:r>
        <w:rPr>
          <w:rFonts w:ascii="Times New Roman;serif" w:hAnsi="Times New Roman;serif"/>
          <w:b w:val="false"/>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0" w:right="71" w:firstLine="720"/>
        <w:jc w:val="left"/>
        <w:rPr>
          <w:rFonts w:ascii="Times New Roman;serif" w:hAnsi="Times New Roman;serif"/>
          <w:b w:val="false"/>
          <w:sz w:val="16"/>
        </w:rPr>
      </w:pPr>
      <w:r>
        <w:rPr>
          <w:rFonts w:ascii="Times New Roman;serif" w:hAnsi="Times New Roman;serif"/>
          <w:b w:val="false"/>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0" w:right="385" w:firstLine="720"/>
        <w:jc w:val="left"/>
        <w:rPr>
          <w:rFonts w:ascii="Times New Roman;serif" w:hAnsi="Times New Roman;serif"/>
          <w:b w:val="false"/>
          <w:sz w:val="16"/>
        </w:rPr>
      </w:pPr>
      <w:r>
        <w:rPr>
          <w:rFonts w:ascii="Times New Roman;serif" w:hAnsi="Times New Roman;serif"/>
          <w:b w:val="false"/>
          <w:sz w:val="16"/>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Dated: August 9, 2023</w:t>
      </w:r>
    </w:p>
    <w:p>
      <w:pPr>
        <w:pStyle w:val="TextBody"/>
        <w:bidi w:val="0"/>
        <w:spacing w:before="0" w:after="0"/>
        <w:ind w:left="0" w:right="0" w:hanging="0"/>
        <w:jc w:val="left"/>
        <w:rPr/>
      </w:pPr>
      <w:r>
        <w:rPr/>
        <w:t> </w:t>
      </w:r>
    </w:p>
    <w:tbl>
      <w:tblPr>
        <w:tblW w:w="2312" w:type="dxa"/>
        <w:jc w:val="left"/>
        <w:tblInd w:w="0" w:type="dxa"/>
        <w:tblLayout w:type="fixed"/>
        <w:tblCellMar>
          <w:top w:w="28" w:type="dxa"/>
          <w:left w:w="28" w:type="dxa"/>
          <w:bottom w:w="28" w:type="dxa"/>
          <w:right w:w="28" w:type="dxa"/>
        </w:tblCellMar>
      </w:tblPr>
      <w:tblGrid>
        <w:gridCol w:w="571"/>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serif" w:hAnsi="Times New Roman;serif"/>
          <w:b/>
          <w:sz w:val="16"/>
        </w:rPr>
      </w:pPr>
      <w:bookmarkStart w:id="43" w:name="pflt-ex32_1.htm"/>
      <w:bookmarkStart w:id="44" w:name="kspfltex32_1"/>
      <w:bookmarkEnd w:id="43"/>
      <w:bookmarkEnd w:id="44"/>
      <w:r>
        <w:rPr>
          <w:rFonts w:ascii="Times New Roman;serif" w:hAnsi="Times New Roman;serif"/>
          <w:b/>
          <w:sz w:val="16"/>
        </w:rPr>
        <w:t>EXHIBIT 32.1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16"/>
        </w:rPr>
        <w:t>CERTIFICATION OF CHIEF EXECUTIVE OFFICER</w:t>
      </w:r>
      <w:r>
        <w:rPr>
          <w:rFonts w:ascii="Times New Roman" w:hAnsi="Times New Roman"/>
          <w:sz w:val="20"/>
        </w:rPr>
        <w:t xml:space="preserve">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PURSUANT TO</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SECTION 906 OF THE SARBANES-OXLEY ACT OF 2002 (18 U.S.C. 1350)</w:t>
      </w:r>
    </w:p>
    <w:p>
      <w:pPr>
        <w:pStyle w:val="TextBody"/>
        <w:bidi w:val="0"/>
        <w:spacing w:before="0" w:after="0"/>
        <w:ind w:left="0" w:right="0" w:hanging="0"/>
        <w:jc w:val="left"/>
        <w:rPr/>
      </w:pPr>
      <w:r>
        <w:rPr/>
        <w:t> </w:t>
      </w:r>
    </w:p>
    <w:p>
      <w:pPr>
        <w:pStyle w:val="TextBody"/>
        <w:bidi w:val="0"/>
        <w:spacing w:before="0" w:after="0"/>
        <w:ind w:left="0" w:right="0" w:firstLine="470"/>
        <w:jc w:val="both"/>
        <w:rPr>
          <w:rFonts w:ascii="Times New Roman;serif" w:hAnsi="Times New Roman;serif"/>
          <w:b w:val="false"/>
          <w:sz w:val="16"/>
        </w:rPr>
      </w:pPr>
      <w:r>
        <w:rPr>
          <w:rFonts w:ascii="Times New Roman;serif" w:hAnsi="Times New Roman;serif"/>
          <w:b w:val="false"/>
          <w:sz w:val="16"/>
        </w:rPr>
        <w:t>In connection with this Report on Form 10-Q for the three and nine months ended June 30, 2023 (the “Report”) of PennantPark Floating Rate Capital, Ltd. (the “Registrant”), as filed with the Securities and Exchange Commission on the date hereof, I, Arthur H. Penn, Chief Executive Officer of the Registrant, hereby certify, to the best of my knowledge, that:</w:t>
      </w:r>
    </w:p>
    <w:p>
      <w:pPr>
        <w:pStyle w:val="TextBody"/>
        <w:bidi w:val="0"/>
        <w:spacing w:before="0" w:after="0"/>
        <w:ind w:left="0" w:right="0" w:hanging="0"/>
        <w:jc w:val="left"/>
        <w:rPr/>
      </w:pPr>
      <w:r>
        <w:rPr/>
        <w:t> </w:t>
      </w:r>
    </w:p>
    <w:p>
      <w:pPr>
        <w:pStyle w:val="TextBody"/>
        <w:bidi w:val="0"/>
        <w:spacing w:before="0" w:after="0"/>
        <w:ind w:left="0" w:right="0" w:firstLine="470"/>
        <w:jc w:val="left"/>
        <w:rPr>
          <w:rFonts w:ascii="Times New Roman;serif" w:hAnsi="Times New Roman;serif"/>
          <w:b w:val="false"/>
          <w:sz w:val="16"/>
        </w:rPr>
      </w:pPr>
      <w:r>
        <w:rPr>
          <w:rFonts w:ascii="Times New Roman;serif" w:hAnsi="Times New Roman;serif"/>
          <w:b w:val="false"/>
          <w:sz w:val="16"/>
        </w:rPr>
        <w:t>(1) The Report fully complies with the requirements of Section 13(a) or 15(d) of the Securities Exchange Act of 1934, as amended; and</w:t>
      </w:r>
    </w:p>
    <w:p>
      <w:pPr>
        <w:pStyle w:val="TextBody"/>
        <w:bidi w:val="0"/>
        <w:spacing w:before="0" w:after="0"/>
        <w:ind w:left="0" w:right="0" w:firstLine="470"/>
        <w:jc w:val="left"/>
        <w:rPr/>
      </w:pPr>
      <w:r>
        <w:rPr/>
        <w:t> </w:t>
      </w:r>
    </w:p>
    <w:p>
      <w:pPr>
        <w:pStyle w:val="TextBody"/>
        <w:bidi w:val="0"/>
        <w:spacing w:before="0" w:after="0"/>
        <w:ind w:left="0" w:right="0" w:firstLine="470"/>
        <w:jc w:val="left"/>
        <w:rPr>
          <w:rFonts w:ascii="Times New Roman;serif" w:hAnsi="Times New Roman;serif"/>
          <w:b w:val="false"/>
          <w:sz w:val="16"/>
        </w:rPr>
      </w:pPr>
      <w:r>
        <w:rPr>
          <w:rFonts w:ascii="Times New Roman;serif" w:hAnsi="Times New Roman;serif"/>
          <w:b w:val="false"/>
          <w:sz w:val="16"/>
        </w:rPr>
        <w:t>(2) The information contained in the Report fairly presents, in all material respects, the financial condition and results of operations of the Registrant.</w:t>
      </w:r>
    </w:p>
    <w:p>
      <w:pPr>
        <w:pStyle w:val="TextBody"/>
        <w:bidi w:val="0"/>
        <w:spacing w:before="0" w:after="0"/>
        <w:ind w:left="0" w:right="0" w:hanging="0"/>
        <w:jc w:val="left"/>
        <w:rPr/>
      </w:pPr>
      <w:r>
        <w:rPr/>
        <w:t> </w:t>
      </w:r>
    </w:p>
    <w:tbl>
      <w:tblPr>
        <w:tblW w:w="2518" w:type="dxa"/>
        <w:jc w:val="left"/>
        <w:tblInd w:w="0" w:type="dxa"/>
        <w:tblLayout w:type="fixed"/>
        <w:tblCellMar>
          <w:top w:w="28" w:type="dxa"/>
          <w:left w:w="28" w:type="dxa"/>
          <w:bottom w:w="28" w:type="dxa"/>
          <w:right w:w="28" w:type="dxa"/>
        </w:tblCellMar>
      </w:tblPr>
      <w:tblGrid>
        <w:gridCol w:w="571"/>
        <w:gridCol w:w="146"/>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August 9, 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serif" w:hAnsi="Times New Roman;serif"/>
          <w:b/>
          <w:sz w:val="16"/>
        </w:rPr>
      </w:pPr>
      <w:bookmarkStart w:id="45" w:name="pflt-ex32_2.htm"/>
      <w:bookmarkStart w:id="46" w:name="kspfltex32_2"/>
      <w:bookmarkEnd w:id="45"/>
      <w:bookmarkEnd w:id="46"/>
      <w:r>
        <w:rPr>
          <w:rFonts w:ascii="Times New Roman;serif" w:hAnsi="Times New Roman;serif"/>
          <w:b/>
          <w:sz w:val="16"/>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CERTIFICATION OF CHIEF FINANCIAL OFFICER</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PURSUANT TO</w:t>
      </w:r>
    </w:p>
    <w:p>
      <w:pPr>
        <w:pStyle w:val="TextBody"/>
        <w:bidi w:val="0"/>
        <w:spacing w:before="0" w:after="0"/>
        <w:ind w:left="0" w:right="0" w:hanging="0"/>
        <w:jc w:val="center"/>
        <w:rPr>
          <w:rFonts w:ascii="Times New Roman;serif" w:hAnsi="Times New Roman;serif"/>
          <w:b/>
          <w:sz w:val="16"/>
        </w:rPr>
      </w:pPr>
      <w:r>
        <w:rPr>
          <w:rFonts w:ascii="Times New Roman;serif" w:hAnsi="Times New Roman;serif"/>
          <w:b/>
          <w:sz w:val="16"/>
        </w:rPr>
        <w:t>SECTION 906 OF THE SARBANES-OXLEY ACT OF 2002 (18 U.S.C. 1350)</w:t>
      </w:r>
    </w:p>
    <w:p>
      <w:pPr>
        <w:pStyle w:val="TextBody"/>
        <w:bidi w:val="0"/>
        <w:spacing w:before="0" w:after="0"/>
        <w:ind w:left="0" w:right="0" w:firstLine="461"/>
        <w:jc w:val="both"/>
        <w:rPr/>
      </w:pPr>
      <w:r>
        <w:rPr/>
        <w:t> </w:t>
      </w:r>
    </w:p>
    <w:p>
      <w:pPr>
        <w:pStyle w:val="TextBody"/>
        <w:bidi w:val="0"/>
        <w:spacing w:before="0" w:after="0"/>
        <w:ind w:left="0" w:right="0" w:firstLine="470"/>
        <w:jc w:val="both"/>
        <w:rPr>
          <w:rFonts w:ascii="Times New Roman;serif" w:hAnsi="Times New Roman;serif"/>
          <w:b w:val="false"/>
          <w:sz w:val="16"/>
        </w:rPr>
      </w:pPr>
      <w:r>
        <w:rPr>
          <w:rFonts w:ascii="Times New Roman;serif" w:hAnsi="Times New Roman;serif"/>
          <w:b w:val="false"/>
          <w:sz w:val="16"/>
        </w:rPr>
        <w:t>In connection with this Report on Form 10-Q for the three and nine months ended June 30, 2023 (the “Report”) of PennantPark Floating Rate Capital, Ltd. (the “Registrant”), as filed with the Securities and Exchange Commission on the date hereof, I, Richard T. Allorto, Jr., Chief Financial Officer of the Registrant, hereby certify, to the best of my knowledge, that:</w:t>
      </w:r>
    </w:p>
    <w:p>
      <w:pPr>
        <w:pStyle w:val="TextBody"/>
        <w:bidi w:val="0"/>
        <w:spacing w:before="0" w:after="0"/>
        <w:ind w:left="0" w:right="0" w:firstLine="470"/>
        <w:jc w:val="left"/>
        <w:rPr>
          <w:rFonts w:ascii="Times New Roman;serif" w:hAnsi="Times New Roman;serif"/>
          <w:b w:val="false"/>
          <w:sz w:val="16"/>
        </w:rPr>
      </w:pPr>
      <w:r>
        <w:rPr>
          <w:rFonts w:ascii="Times New Roman;serif" w:hAnsi="Times New Roman;serif"/>
          <w:b w:val="false"/>
          <w:sz w:val="16"/>
        </w:rPr>
        <w:t>(1) The Report fully complies with the requirements of Section 13(a) or 15(d) of the Securities Exchange Act of 1934, as amended; and</w:t>
      </w:r>
    </w:p>
    <w:p>
      <w:pPr>
        <w:pStyle w:val="TextBody"/>
        <w:bidi w:val="0"/>
        <w:spacing w:before="0" w:after="0"/>
        <w:ind w:left="0" w:right="0" w:firstLine="470"/>
        <w:jc w:val="left"/>
        <w:rPr/>
      </w:pPr>
      <w:r>
        <w:rPr/>
        <w:t> </w:t>
      </w:r>
    </w:p>
    <w:p>
      <w:pPr>
        <w:pStyle w:val="TextBody"/>
        <w:bidi w:val="0"/>
        <w:spacing w:before="0" w:after="0"/>
        <w:ind w:left="0" w:right="0" w:firstLine="470"/>
        <w:jc w:val="left"/>
        <w:rPr>
          <w:rFonts w:ascii="Times New Roman;serif" w:hAnsi="Times New Roman;serif"/>
          <w:b w:val="false"/>
          <w:sz w:val="16"/>
        </w:rPr>
      </w:pPr>
      <w:r>
        <w:rPr>
          <w:rFonts w:ascii="Times New Roman;serif" w:hAnsi="Times New Roman;serif"/>
          <w:b w:val="false"/>
          <w:sz w:val="16"/>
        </w:rPr>
        <w:t>(2) The information contained in the Report fairly presents, in all material respects, the financial condition and results of operations of the Registrant.</w:t>
      </w:r>
    </w:p>
    <w:p>
      <w:pPr>
        <w:pStyle w:val="TextBody"/>
        <w:bidi w:val="0"/>
        <w:spacing w:before="0" w:after="0"/>
        <w:ind w:left="109" w:right="0" w:hanging="0"/>
        <w:jc w:val="left"/>
        <w:rPr/>
      </w:pPr>
      <w:r>
        <w:rPr/>
        <w:t> </w:t>
      </w:r>
    </w:p>
    <w:tbl>
      <w:tblPr>
        <w:tblW w:w="2458" w:type="dxa"/>
        <w:jc w:val="left"/>
        <w:tblInd w:w="0" w:type="dxa"/>
        <w:tblLayout w:type="fixed"/>
        <w:tblCellMar>
          <w:top w:w="28" w:type="dxa"/>
          <w:left w:w="28" w:type="dxa"/>
          <w:bottom w:w="28" w:type="dxa"/>
          <w:right w:w="28" w:type="dxa"/>
        </w:tblCellMar>
      </w:tblPr>
      <w:tblGrid>
        <w:gridCol w:w="571"/>
        <w:gridCol w:w="146"/>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August 9, 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4619/000119312511080862/dex99a.htm" TargetMode="External"/><Relationship Id="rId3" Type="http://schemas.openxmlformats.org/officeDocument/2006/relationships/hyperlink" Target="https://www.sec.gov/Archives/edgar/data/1504619/000156459020024167/pflt-ex32_144.htm" TargetMode="External"/><Relationship Id="rId4" Type="http://schemas.openxmlformats.org/officeDocument/2006/relationships/hyperlink" Target="https://www.sec.gov/Archives/edgar/data/1504619/000119312511088977/dex99d.htm" TargetMode="External"/><Relationship Id="rId5" Type="http://schemas.openxmlformats.org/officeDocument/2006/relationships/hyperlink" Target="https://www.sec.gov/Archives/edgar/data/1504619/000150461911000050/pfltprivacypolicy093020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50406</Words>
  <Characters>279077</Characters>
  <CharactersWithSpaces>342375</CharactersWithSpaces>
  <Paragraphs>36846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