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(Mark One)</w:t>
      </w:r>
    </w:p>
    <w:p>
      <w:pPr>
        <w:spacing w:after="0" w:line="14" w:lineRule="exact"/>
        <w:rPr>
          <w:sz w:val="24"/>
          <w:szCs w:val="24"/>
          <w:color w:val="auto"/>
        </w:rPr>
      </w:pPr>
    </w:p>
    <w:p>
      <w:pPr>
        <w:ind w:left="3460" w:right="1840" w:hanging="3439"/>
        <w:spacing w:after="0" w:line="405" w:lineRule="auto"/>
        <w:tabs>
          <w:tab w:leader="none" w:pos="26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2" w:lineRule="exact"/>
        <w:rPr>
          <w:sz w:val="24"/>
          <w:szCs w:val="24"/>
          <w:color w:val="auto"/>
        </w:rPr>
      </w:pPr>
    </w:p>
    <w:p>
      <w:pPr>
        <w:ind w:left="260" w:hanging="239"/>
        <w:spacing w:after="0"/>
        <w:tabs>
          <w:tab w:leader="none" w:pos="2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ind w:left="348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c>
          <w:tcPr>
            <w:tcW w:w="0" w:type="dxa"/>
            <w:vAlign w:val="bottom"/>
          </w:tcPr>
          <w:p>
            <w:pPr>
              <w:spacing w:after="0"/>
              <w:rPr>
                <w:sz w:val="1"/>
                <w:szCs w:val="1"/>
                <w:color w:val="auto"/>
              </w:rPr>
            </w:pPr>
          </w:p>
        </w:tc>
      </w:tr>
      <w:tr>
        <w:trPr>
          <w:trHeight w:val="372"/>
        </w:trPr>
        <w:tc>
          <w:tcPr>
            <w:tcW w:w="7400" w:type="dxa"/>
            <w:vAlign w:val="bottom"/>
            <w:gridSpan w:val="2"/>
          </w:tcPr>
          <w:p>
            <w:pPr>
              <w:jc w:val="center"/>
              <w:ind w:left="3741"/>
              <w:spacing w:after="0"/>
              <w:rPr>
                <w:sz w:val="20"/>
                <w:szCs w:val="20"/>
                <w:color w:val="auto"/>
              </w:rPr>
            </w:pPr>
            <w:r>
              <w:rPr>
                <w:rFonts w:ascii="Times New Roman" w:cs="Times New Roman" w:eastAsia="Times New Roman" w:hAnsi="Times New Roman"/>
                <w:sz w:val="18"/>
                <w:szCs w:val="18"/>
                <w:b w:val="1"/>
                <w:bCs w:val="1"/>
                <w:color w:val="auto"/>
              </w:rPr>
              <w:t>COMMISSION FILE NUMBER: 814-00891</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860" w:type="dxa"/>
            <w:vAlign w:val="bottom"/>
            <w:tcBorders>
              <w:bottom w:val="single" w:sz="8" w:color="auto"/>
            </w:tcBorders>
          </w:tcPr>
          <w:p>
            <w:pPr>
              <w:spacing w:after="0"/>
              <w:rPr>
                <w:sz w:val="16"/>
                <w:szCs w:val="16"/>
                <w:color w:val="auto"/>
              </w:rPr>
            </w:pPr>
          </w:p>
        </w:tc>
        <w:tc>
          <w:tcPr>
            <w:tcW w:w="438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468"/>
        </w:trPr>
        <w:tc>
          <w:tcPr>
            <w:tcW w:w="11240" w:type="dxa"/>
            <w:vAlign w:val="bottom"/>
            <w:gridSpan w:val="3"/>
          </w:tcPr>
          <w:p>
            <w:pPr>
              <w:jc w:val="center"/>
              <w:spacing w:after="0"/>
              <w:rPr>
                <w:sz w:val="20"/>
                <w:szCs w:val="20"/>
                <w:color w:val="auto"/>
              </w:rPr>
            </w:pPr>
            <w:r>
              <w:rPr>
                <w:rFonts w:ascii="Times New Roman" w:cs="Times New Roman" w:eastAsia="Times New Roman" w:hAnsi="Times New Roman"/>
                <w:sz w:val="31"/>
                <w:szCs w:val="31"/>
                <w:b w:val="1"/>
                <w:bCs w:val="1"/>
                <w:color w:val="auto"/>
                <w:w w:val="97"/>
              </w:rPr>
              <w:t>PENNANTPARK FLOATING RATE CAPITAL LTD.</w:t>
            </w:r>
          </w:p>
        </w:tc>
        <w:tc>
          <w:tcPr>
            <w:tcW w:w="0" w:type="dxa"/>
            <w:vAlign w:val="bottom"/>
          </w:tcPr>
          <w:p>
            <w:pPr>
              <w:spacing w:after="0"/>
              <w:rPr>
                <w:sz w:val="1"/>
                <w:szCs w:val="1"/>
                <w:color w:val="auto"/>
              </w:rPr>
            </w:pPr>
          </w:p>
        </w:tc>
      </w:tr>
      <w:tr>
        <w:trPr>
          <w:trHeight w:val="190"/>
        </w:trPr>
        <w:tc>
          <w:tcPr>
            <w:tcW w:w="7400" w:type="dxa"/>
            <w:vAlign w:val="bottom"/>
            <w:gridSpan w:val="2"/>
          </w:tcPr>
          <w:p>
            <w:pPr>
              <w:jc w:val="center"/>
              <w:ind w:left="3781"/>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7400" w:type="dxa"/>
            <w:vAlign w:val="bottom"/>
            <w:gridSpan w:val="2"/>
          </w:tcPr>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MARYLAND</w:t>
            </w:r>
          </w:p>
        </w:tc>
        <w:tc>
          <w:tcPr>
            <w:tcW w:w="3840" w:type="dxa"/>
            <w:vAlign w:val="bottom"/>
          </w:tcPr>
          <w:p>
            <w:pPr>
              <w:jc w:val="right"/>
              <w:ind w:right="2270"/>
              <w:spacing w:after="0"/>
              <w:rPr>
                <w:sz w:val="20"/>
                <w:szCs w:val="20"/>
                <w:color w:val="auto"/>
              </w:rPr>
            </w:pPr>
            <w:r>
              <w:rPr>
                <w:rFonts w:ascii="Times New Roman" w:cs="Times New Roman" w:eastAsia="Times New Roman" w:hAnsi="Times New Roman"/>
                <w:sz w:val="14"/>
                <w:szCs w:val="14"/>
                <w:b w:val="1"/>
                <w:bCs w:val="1"/>
                <w:color w:val="auto"/>
              </w:rPr>
              <w:t>27-3794690</w:t>
            </w:r>
          </w:p>
        </w:tc>
        <w:tc>
          <w:tcPr>
            <w:tcW w:w="0" w:type="dxa"/>
            <w:vAlign w:val="bottom"/>
          </w:tcPr>
          <w:p>
            <w:pPr>
              <w:spacing w:after="0"/>
              <w:rPr>
                <w:sz w:val="1"/>
                <w:szCs w:val="1"/>
                <w:color w:val="auto"/>
              </w:rPr>
            </w:pPr>
          </w:p>
        </w:tc>
      </w:tr>
      <w:tr>
        <w:trPr>
          <w:trHeight w:val="152"/>
        </w:trPr>
        <w:tc>
          <w:tcPr>
            <w:tcW w:w="7400" w:type="dxa"/>
            <w:vAlign w:val="bottom"/>
            <w:gridSpan w:val="2"/>
          </w:tcPr>
          <w:p>
            <w:pPr>
              <w:jc w:val="center"/>
              <w:ind w:right="1740"/>
              <w:spacing w:after="0"/>
              <w:rPr>
                <w:sz w:val="20"/>
                <w:szCs w:val="20"/>
                <w:color w:val="auto"/>
              </w:rPr>
            </w:pPr>
            <w:r>
              <w:rPr>
                <w:rFonts w:ascii="Times New Roman" w:cs="Times New Roman" w:eastAsia="Times New Roman" w:hAnsi="Times New Roman"/>
                <w:sz w:val="12"/>
                <w:szCs w:val="12"/>
                <w:b w:val="1"/>
                <w:bCs w:val="1"/>
                <w:color w:val="auto"/>
                <w:w w:val="97"/>
              </w:rPr>
              <w:t>(State or other jurisdiction of incorporation or organization)</w:t>
            </w:r>
          </w:p>
        </w:tc>
        <w:tc>
          <w:tcPr>
            <w:tcW w:w="3840" w:type="dxa"/>
            <w:vAlign w:val="bottom"/>
          </w:tcPr>
          <w:p>
            <w:pPr>
              <w:jc w:val="center"/>
              <w:ind w:right="1470"/>
              <w:spacing w:after="0"/>
              <w:rPr>
                <w:sz w:val="20"/>
                <w:szCs w:val="20"/>
                <w:color w:val="auto"/>
              </w:rPr>
            </w:pPr>
            <w:r>
              <w:rPr>
                <w:rFonts w:ascii="Times New Roman" w:cs="Times New Roman" w:eastAsia="Times New Roman" w:hAnsi="Times New Roman"/>
                <w:sz w:val="12"/>
                <w:szCs w:val="12"/>
                <w:b w:val="1"/>
                <w:bCs w:val="1"/>
                <w:color w:val="auto"/>
                <w:w w:val="96"/>
              </w:rPr>
              <w:t>(I.R.S. Employer Identification No.)</w:t>
            </w:r>
          </w:p>
        </w:tc>
        <w:tc>
          <w:tcPr>
            <w:tcW w:w="0" w:type="dxa"/>
            <w:vAlign w:val="bottom"/>
          </w:tcPr>
          <w:p>
            <w:pPr>
              <w:spacing w:after="0"/>
              <w:rPr>
                <w:sz w:val="1"/>
                <w:szCs w:val="1"/>
                <w:color w:val="auto"/>
              </w:rPr>
            </w:pPr>
          </w:p>
        </w:tc>
      </w:tr>
      <w:tr>
        <w:trPr>
          <w:trHeight w:val="508"/>
        </w:trPr>
        <w:tc>
          <w:tcPr>
            <w:tcW w:w="7400" w:type="dxa"/>
            <w:vAlign w:val="bottom"/>
            <w:gridSpan w:val="2"/>
          </w:tcPr>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1691 Michigan Avenue</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7400" w:type="dxa"/>
            <w:vAlign w:val="bottom"/>
            <w:gridSpan w:val="2"/>
          </w:tcPr>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Miami Beach, Florida</w:t>
            </w:r>
          </w:p>
        </w:tc>
        <w:tc>
          <w:tcPr>
            <w:tcW w:w="3840" w:type="dxa"/>
            <w:vAlign w:val="bottom"/>
            <w:vMerge w:val="restart"/>
          </w:tcPr>
          <w:p>
            <w:pPr>
              <w:jc w:val="right"/>
              <w:ind w:right="2450"/>
              <w:spacing w:after="0"/>
              <w:rPr>
                <w:sz w:val="20"/>
                <w:szCs w:val="20"/>
                <w:color w:val="auto"/>
              </w:rPr>
            </w:pPr>
            <w:r>
              <w:rPr>
                <w:rFonts w:ascii="Times New Roman" w:cs="Times New Roman" w:eastAsia="Times New Roman" w:hAnsi="Times New Roman"/>
                <w:sz w:val="14"/>
                <w:szCs w:val="14"/>
                <w:b w:val="1"/>
                <w:bCs w:val="1"/>
                <w:color w:val="auto"/>
              </w:rPr>
              <w:t>33139</w:t>
            </w:r>
          </w:p>
        </w:tc>
        <w:tc>
          <w:tcPr>
            <w:tcW w:w="0" w:type="dxa"/>
            <w:vAlign w:val="bottom"/>
          </w:tcPr>
          <w:p>
            <w:pPr>
              <w:spacing w:after="0"/>
              <w:rPr>
                <w:sz w:val="1"/>
                <w:szCs w:val="1"/>
                <w:color w:val="auto"/>
              </w:rPr>
            </w:pPr>
          </w:p>
        </w:tc>
      </w:tr>
      <w:tr>
        <w:trPr>
          <w:trHeight w:val="40"/>
        </w:trPr>
        <w:tc>
          <w:tcPr>
            <w:tcW w:w="68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7400" w:type="dxa"/>
            <w:vAlign w:val="bottom"/>
            <w:gridSpan w:val="2"/>
          </w:tcPr>
          <w:p>
            <w:pPr>
              <w:jc w:val="center"/>
              <w:ind w:right="1760"/>
              <w:spacing w:after="0"/>
              <w:rPr>
                <w:sz w:val="20"/>
                <w:szCs w:val="20"/>
                <w:color w:val="auto"/>
              </w:rPr>
            </w:pPr>
            <w:r>
              <w:rPr>
                <w:rFonts w:ascii="Times New Roman" w:cs="Times New Roman" w:eastAsia="Times New Roman" w:hAnsi="Times New Roman"/>
                <w:sz w:val="12"/>
                <w:szCs w:val="12"/>
                <w:b w:val="1"/>
                <w:bCs w:val="1"/>
                <w:color w:val="auto"/>
                <w:w w:val="96"/>
              </w:rPr>
              <w:t>(Address of principal executive offices)</w:t>
            </w:r>
          </w:p>
        </w:tc>
        <w:tc>
          <w:tcPr>
            <w:tcW w:w="3840" w:type="dxa"/>
            <w:vAlign w:val="bottom"/>
          </w:tcPr>
          <w:p>
            <w:pPr>
              <w:jc w:val="center"/>
              <w:ind w:right="1470"/>
              <w:spacing w:after="0"/>
              <w:rPr>
                <w:sz w:val="20"/>
                <w:szCs w:val="20"/>
                <w:color w:val="auto"/>
              </w:rPr>
            </w:pPr>
            <w:r>
              <w:rPr>
                <w:rFonts w:ascii="Times New Roman" w:cs="Times New Roman" w:eastAsia="Times New Roman" w:hAnsi="Times New Roman"/>
                <w:sz w:val="12"/>
                <w:szCs w:val="12"/>
                <w:b w:val="1"/>
                <w:bCs w:val="1"/>
                <w:color w:val="auto"/>
                <w:w w:val="96"/>
              </w:rPr>
              <w:t>(Zip Code)</w:t>
            </w:r>
          </w:p>
        </w:tc>
        <w:tc>
          <w:tcPr>
            <w:tcW w:w="0" w:type="dxa"/>
            <w:vAlign w:val="bottom"/>
          </w:tcPr>
          <w:p>
            <w:pPr>
              <w:spacing w:after="0"/>
              <w:rPr>
                <w:sz w:val="1"/>
                <w:szCs w:val="1"/>
                <w:color w:val="auto"/>
              </w:rPr>
            </w:pPr>
          </w:p>
        </w:tc>
      </w:tr>
      <w:tr>
        <w:trPr>
          <w:trHeight w:val="307"/>
        </w:trPr>
        <w:tc>
          <w:tcPr>
            <w:tcW w:w="6860" w:type="dxa"/>
            <w:vAlign w:val="bottom"/>
          </w:tcPr>
          <w:p>
            <w:pPr>
              <w:jc w:val="center"/>
              <w:ind w:left="4321"/>
              <w:spacing w:after="0"/>
              <w:rPr>
                <w:sz w:val="20"/>
                <w:szCs w:val="20"/>
                <w:color w:val="auto"/>
              </w:rPr>
            </w:pPr>
            <w:r>
              <w:rPr>
                <w:rFonts w:ascii="Times New Roman" w:cs="Times New Roman" w:eastAsia="Times New Roman" w:hAnsi="Times New Roman"/>
                <w:sz w:val="14"/>
                <w:szCs w:val="14"/>
                <w:b w:val="1"/>
                <w:bCs w:val="1"/>
                <w:color w:val="auto"/>
              </w:rPr>
              <w:t>(212) 905-1000</w:t>
            </w:r>
          </w:p>
        </w:tc>
        <w:tc>
          <w:tcPr>
            <w:tcW w:w="5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7400" w:type="dxa"/>
            <w:vAlign w:val="bottom"/>
            <w:gridSpan w:val="2"/>
          </w:tcPr>
          <w:p>
            <w:pPr>
              <w:jc w:val="center"/>
              <w:ind w:left="3761"/>
              <w:spacing w:after="0"/>
              <w:rPr>
                <w:sz w:val="20"/>
                <w:szCs w:val="20"/>
                <w:color w:val="auto"/>
              </w:rPr>
            </w:pPr>
            <w:r>
              <w:rPr>
                <w:rFonts w:ascii="Times New Roman" w:cs="Times New Roman" w:eastAsia="Times New Roman" w:hAnsi="Times New Roman"/>
                <w:sz w:val="12"/>
                <w:szCs w:val="12"/>
                <w:b w:val="1"/>
                <w:bCs w:val="1"/>
                <w:color w:val="auto"/>
                <w:w w:val="96"/>
              </w:rPr>
              <w:t>(Registrant’s Telephone Number, Including Area Code)</w:t>
            </w:r>
          </w:p>
        </w:tc>
        <w:tc>
          <w:tcPr>
            <w:tcW w:w="38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1" w:lineRule="exact"/>
        <w:rPr>
          <w:sz w:val="24"/>
          <w:szCs w:val="24"/>
          <w:color w:val="auto"/>
        </w:rPr>
      </w:pPr>
    </w:p>
    <w:tbl>
      <w:tblPr>
        <w:tblLayout w:type="fixed"/>
        <w:tblInd w:w="480" w:type="dxa"/>
        <w:tblCellMar>
          <w:top w:w="0" w:type="dxa"/>
          <w:left w:w="0" w:type="dxa"/>
          <w:bottom w:w="0" w:type="dxa"/>
          <w:right w:w="0" w:type="dxa"/>
        </w:tblCellMar>
      </w:tblPr>
      <w:tr>
        <w:trPr>
          <w:trHeight w:val="188"/>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640" w:type="dxa"/>
            <w:vAlign w:val="bottom"/>
          </w:tcPr>
          <w:p>
            <w:pPr>
              <w:spacing w:after="0"/>
              <w:rPr>
                <w:sz w:val="16"/>
                <w:szCs w:val="16"/>
                <w:color w:val="auto"/>
              </w:rPr>
            </w:pPr>
          </w:p>
        </w:tc>
        <w:tc>
          <w:tcPr>
            <w:tcW w:w="3700" w:type="dxa"/>
            <w:vAlign w:val="bottom"/>
          </w:tcPr>
          <w:p>
            <w:pPr>
              <w:spacing w:after="0"/>
              <w:rPr>
                <w:sz w:val="16"/>
                <w:szCs w:val="16"/>
                <w:color w:val="auto"/>
              </w:rPr>
            </w:pPr>
          </w:p>
        </w:tc>
      </w:tr>
      <w:tr>
        <w:trPr>
          <w:trHeight w:val="320"/>
        </w:trPr>
        <w:tc>
          <w:tcPr>
            <w:tcW w:w="3960" w:type="dxa"/>
            <w:vAlign w:val="bottom"/>
          </w:tcPr>
          <w:p>
            <w:pPr>
              <w:jc w:val="center"/>
              <w:ind w:right="108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4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00" w:type="dxa"/>
            <w:vAlign w:val="bottom"/>
          </w:tcPr>
          <w:p>
            <w:pPr>
              <w:jc w:val="center"/>
              <w:ind w:left="804"/>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10"/>
        </w:trPr>
        <w:tc>
          <w:tcPr>
            <w:tcW w:w="3960" w:type="dxa"/>
            <w:vAlign w:val="bottom"/>
          </w:tcPr>
          <w:p>
            <w:pPr>
              <w:jc w:val="center"/>
              <w:ind w:right="1068"/>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264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PFLT</w:t>
            </w:r>
          </w:p>
        </w:tc>
        <w:tc>
          <w:tcPr>
            <w:tcW w:w="3700" w:type="dxa"/>
            <w:vAlign w:val="bottom"/>
          </w:tcPr>
          <w:p>
            <w:pPr>
              <w:jc w:val="center"/>
              <w:ind w:left="804"/>
              <w:spacing w:after="0"/>
              <w:rPr>
                <w:sz w:val="20"/>
                <w:szCs w:val="20"/>
                <w:color w:val="auto"/>
              </w:rPr>
            </w:pPr>
            <w:r>
              <w:rPr>
                <w:rFonts w:ascii="Times New Roman" w:cs="Times New Roman" w:eastAsia="Times New Roman" w:hAnsi="Times New Roman"/>
                <w:sz w:val="16"/>
                <w:szCs w:val="16"/>
                <w:color w:val="auto"/>
              </w:rPr>
              <w:t>The New York Stock Exchange</w:t>
            </w:r>
          </w:p>
        </w:tc>
      </w:tr>
    </w:tbl>
    <w:p>
      <w:pPr>
        <w:spacing w:after="0" w:line="159" w:lineRule="exact"/>
        <w:rPr>
          <w:sz w:val="24"/>
          <w:szCs w:val="24"/>
          <w:color w:val="auto"/>
        </w:rPr>
      </w:pPr>
    </w:p>
    <w:p>
      <w:pPr>
        <w:ind w:firstLine="479"/>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2" w:lineRule="exact"/>
        <w:rPr>
          <w:sz w:val="24"/>
          <w:szCs w:val="24"/>
          <w:color w:val="auto"/>
        </w:rPr>
      </w:pPr>
    </w:p>
    <w:p>
      <w:pPr>
        <w:ind w:right="20" w:firstLine="479"/>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ind w:right="160" w:firstLine="479"/>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6"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0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920"/>
              <w:spacing w:after="0"/>
              <w:rPr>
                <w:sz w:val="20"/>
                <w:szCs w:val="20"/>
                <w:color w:val="auto"/>
              </w:rPr>
            </w:pPr>
            <w:r>
              <w:rPr>
                <w:rFonts w:ascii="Times New Roman" w:cs="Times New Roman" w:eastAsia="Times New Roman" w:hAnsi="Times New Roman"/>
                <w:sz w:val="14"/>
                <w:szCs w:val="14"/>
                <w:color w:val="auto"/>
              </w:rPr>
              <w:t>Accelerated filer</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405"/>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0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9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0"/>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60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108" w:lineRule="exact"/>
        <w:rPr>
          <w:sz w:val="24"/>
          <w:szCs w:val="24"/>
          <w:color w:val="auto"/>
        </w:rPr>
      </w:pPr>
    </w:p>
    <w:p>
      <w:pPr>
        <w:jc w:val="both"/>
        <w:ind w:right="80" w:firstLine="481"/>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86" w:lineRule="exact"/>
        <w:rPr>
          <w:sz w:val="24"/>
          <w:szCs w:val="24"/>
          <w:color w:val="auto"/>
        </w:rPr>
      </w:pPr>
    </w:p>
    <w:p>
      <w:pPr>
        <w:ind w:left="480" w:right="3180"/>
        <w:spacing w:after="0" w:line="2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The number of shares of the registrant’s common stock, $0.001 par value per share, outstanding as of May 4, 2022 was 41,313,145.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405130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1" w:name="page2"/>
    <w:bookmarkEnd w:id="1"/>
    <w:p>
      <w:pPr>
        <w:ind w:left="3960"/>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w:t>
      </w:r>
    </w:p>
    <w:p>
      <w:pPr>
        <w:spacing w:after="0" w:line="2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b w:val="1"/>
          <w:bCs w:val="1"/>
          <w:color w:val="auto"/>
        </w:rPr>
        <w:t>FORM 10-Q FOR THE QUARTER ENDED MARCH 31, 2022</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700" w:type="dxa"/>
            <w:vAlign w:val="bottom"/>
            <w:gridSpan w:val="15"/>
          </w:tcPr>
          <w:p>
            <w:pPr>
              <w:jc w:val="center"/>
              <w:ind w:right="1340"/>
              <w:spacing w:after="0"/>
              <w:rPr>
                <w:sz w:val="20"/>
                <w:szCs w:val="20"/>
                <w:color w:val="auto"/>
              </w:rPr>
            </w:pPr>
            <w:r>
              <w:rPr>
                <w:rFonts w:ascii="Times New Roman" w:cs="Times New Roman" w:eastAsia="Times New Roman" w:hAnsi="Times New Roman"/>
                <w:sz w:val="14"/>
                <w:szCs w:val="14"/>
                <w:b w:val="1"/>
                <w:bCs w:val="1"/>
                <w:color w:val="0000FF"/>
              </w:rPr>
              <w:t>PART I. CONSOLIDATED FINANCIAL INFORMATION</w:t>
            </w:r>
          </w:p>
        </w:tc>
        <w:tc>
          <w:tcPr>
            <w:tcW w:w="1920" w:type="dxa"/>
            <w:vAlign w:val="bottom"/>
          </w:tcPr>
          <w:p>
            <w:pPr>
              <w:spacing w:after="0"/>
              <w:rPr>
                <w:sz w:val="13"/>
                <w:szCs w:val="13"/>
                <w:color w:val="auto"/>
              </w:rPr>
            </w:pPr>
          </w:p>
        </w:tc>
      </w:tr>
      <w:tr>
        <w:trPr>
          <w:trHeight w:val="453"/>
        </w:trPr>
        <w:tc>
          <w:tcPr>
            <w:tcW w:w="40" w:type="dxa"/>
            <w:vAlign w:val="bottom"/>
          </w:tcPr>
          <w:p>
            <w:pPr>
              <w:spacing w:after="0"/>
              <w:rPr>
                <w:sz w:val="24"/>
                <w:szCs w:val="24"/>
                <w:color w:val="auto"/>
              </w:rPr>
            </w:pPr>
          </w:p>
        </w:tc>
        <w:tc>
          <w:tcPr>
            <w:tcW w:w="3440" w:type="dxa"/>
            <w:vAlign w:val="bottom"/>
            <w:gridSpan w:val="11"/>
          </w:tcPr>
          <w:p>
            <w:pPr>
              <w:spacing w:after="0"/>
              <w:rPr>
                <w:sz w:val="20"/>
                <w:szCs w:val="20"/>
                <w:color w:val="auto"/>
              </w:rPr>
            </w:pPr>
            <w:r>
              <w:rPr>
                <w:rFonts w:ascii="Times New Roman" w:cs="Times New Roman" w:eastAsia="Times New Roman" w:hAnsi="Times New Roman"/>
                <w:sz w:val="14"/>
                <w:szCs w:val="14"/>
                <w:b w:val="1"/>
                <w:bCs w:val="1"/>
                <w:color w:val="0000FF"/>
              </w:rPr>
              <w:t>Item 1. Consolidated Financial Statements</w:t>
            </w:r>
          </w:p>
        </w:tc>
        <w:tc>
          <w:tcPr>
            <w:tcW w:w="3640" w:type="dxa"/>
            <w:vAlign w:val="bottom"/>
            <w:tcBorders>
              <w:top w:val="single" w:sz="8" w:color="0000FF"/>
            </w:tcBorders>
            <w:gridSpan w:val="12"/>
          </w:tcPr>
          <w:p>
            <w:pPr>
              <w:spacing w:after="0"/>
              <w:rPr>
                <w:sz w:val="24"/>
                <w:szCs w:val="24"/>
                <w:color w:val="auto"/>
              </w:rPr>
            </w:pPr>
          </w:p>
        </w:tc>
        <w:tc>
          <w:tcPr>
            <w:tcW w:w="2200" w:type="dxa"/>
            <w:vAlign w:val="bottom"/>
            <w:gridSpan w:val="2"/>
          </w:tcPr>
          <w:p>
            <w:pPr>
              <w:spacing w:after="0"/>
              <w:rPr>
                <w:sz w:val="24"/>
                <w:szCs w:val="24"/>
                <w:color w:val="auto"/>
              </w:rPr>
            </w:pPr>
          </w:p>
        </w:tc>
        <w:tc>
          <w:tcPr>
            <w:tcW w:w="1920" w:type="dxa"/>
            <w:vAlign w:val="bottom"/>
          </w:tcPr>
          <w:p>
            <w:pPr>
              <w:spacing w:after="0"/>
              <w:rPr>
                <w:sz w:val="24"/>
                <w:szCs w:val="24"/>
                <w:color w:val="auto"/>
              </w:rPr>
            </w:pPr>
          </w:p>
        </w:tc>
      </w:tr>
      <w:tr>
        <w:trPr>
          <w:trHeight w:val="20"/>
        </w:trPr>
        <w:tc>
          <w:tcPr>
            <w:tcW w:w="40" w:type="dxa"/>
            <w:vAlign w:val="bottom"/>
            <w:tcBorders>
              <w:right w:val="single" w:sz="8" w:color="0000FF"/>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52"/>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4"/>
                <w:szCs w:val="14"/>
                <w:color w:val="0000FF"/>
              </w:rPr>
              <w:t>Consolidated Statements of Assets and Liabilities as of March 31, 2022 (unaudited) and September 30, 2021</w:t>
            </w:r>
          </w:p>
        </w:tc>
        <w:tc>
          <w:tcPr>
            <w:tcW w:w="2660" w:type="dxa"/>
            <w:vAlign w:val="bottom"/>
            <w:gridSpan w:val="4"/>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453"/>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2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Consolidated Statements of Operations for the three and six months ended March 31, 2022 and 2021 (unaudited)</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53"/>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16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4"/>
                <w:szCs w:val="14"/>
                <w:color w:val="0000FF"/>
              </w:rPr>
              <w:t>Consolidated Statements of Changes in Net Assets for the three and six months ended March 31, 2022 and 2021 (unaudited)</w:t>
            </w:r>
          </w:p>
        </w:tc>
        <w:tc>
          <w:tcPr>
            <w:tcW w:w="176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453"/>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Consolidated Statements of Cash Flows for the six months ended March 31, 2022 and 2021 (unaudited)</w:t>
            </w:r>
          </w:p>
        </w:tc>
        <w:tc>
          <w:tcPr>
            <w:tcW w:w="2900" w:type="dxa"/>
            <w:vAlign w:val="bottom"/>
            <w:gridSpan w:val="5"/>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453"/>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4"/>
                <w:szCs w:val="14"/>
                <w:color w:val="0000FF"/>
              </w:rPr>
              <w:t>Consolidated Schedules of Investments as of March 31, 2022 (unaudited) and September 30, 2021</w:t>
            </w:r>
          </w:p>
        </w:tc>
        <w:tc>
          <w:tcPr>
            <w:tcW w:w="3260" w:type="dxa"/>
            <w:vAlign w:val="bottom"/>
            <w:gridSpan w:val="7"/>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453"/>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 (unaudited)</w:t>
            </w:r>
          </w:p>
        </w:tc>
        <w:tc>
          <w:tcPr>
            <w:tcW w:w="5700" w:type="dxa"/>
            <w:vAlign w:val="bottom"/>
            <w:gridSpan w:val="13"/>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453"/>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2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Report of Independent Registered Public Accounting Firm</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0"/>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53"/>
        </w:trPr>
        <w:tc>
          <w:tcPr>
            <w:tcW w:w="40" w:type="dxa"/>
            <w:vAlign w:val="bottom"/>
          </w:tcPr>
          <w:p>
            <w:pPr>
              <w:spacing w:after="0"/>
              <w:rPr>
                <w:sz w:val="24"/>
                <w:szCs w:val="24"/>
                <w:color w:val="auto"/>
              </w:rPr>
            </w:pPr>
          </w:p>
        </w:tc>
        <w:tc>
          <w:tcPr>
            <w:tcW w:w="59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4"/>
                <w:szCs w:val="14"/>
                <w:b w:val="1"/>
                <w:bCs w:val="1"/>
                <w:color w:val="0000FF"/>
              </w:rPr>
              <w:t>Item 2. Management’s Discussion and Analysis of Financial Condition and Results of Operations</w:t>
            </w:r>
          </w:p>
        </w:tc>
        <w:tc>
          <w:tcPr>
            <w:tcW w:w="3340" w:type="dxa"/>
            <w:vAlign w:val="bottom"/>
            <w:gridSpan w:val="8"/>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453"/>
        </w:trPr>
        <w:tc>
          <w:tcPr>
            <w:tcW w:w="40" w:type="dxa"/>
            <w:vAlign w:val="bottom"/>
          </w:tcPr>
          <w:p>
            <w:pPr>
              <w:spacing w:after="0"/>
              <w:rPr>
                <w:sz w:val="24"/>
                <w:szCs w:val="24"/>
                <w:color w:val="auto"/>
              </w:rPr>
            </w:pPr>
          </w:p>
        </w:tc>
        <w:tc>
          <w:tcPr>
            <w:tcW w:w="42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b w:val="1"/>
                <w:bCs w:val="1"/>
                <w:color w:val="0000FF"/>
              </w:rPr>
              <w:t>Item 3. Quantitative and Qualitative Disclosures About Market Risk</w:t>
            </w:r>
          </w:p>
        </w:tc>
        <w:tc>
          <w:tcPr>
            <w:tcW w:w="5080" w:type="dxa"/>
            <w:vAlign w:val="bottom"/>
            <w:gridSpan w:val="9"/>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453"/>
        </w:trPr>
        <w:tc>
          <w:tcPr>
            <w:tcW w:w="40" w:type="dxa"/>
            <w:vAlign w:val="bottom"/>
          </w:tcPr>
          <w:p>
            <w:pPr>
              <w:spacing w:after="0"/>
              <w:rPr>
                <w:sz w:val="24"/>
                <w:szCs w:val="24"/>
                <w:color w:val="auto"/>
              </w:rPr>
            </w:pPr>
          </w:p>
        </w:tc>
        <w:tc>
          <w:tcPr>
            <w:tcW w:w="9280" w:type="dxa"/>
            <w:vAlign w:val="bottom"/>
            <w:gridSpan w:val="25"/>
          </w:tcPr>
          <w:p>
            <w:pPr>
              <w:spacing w:after="0"/>
              <w:rPr>
                <w:sz w:val="20"/>
                <w:szCs w:val="20"/>
                <w:color w:val="auto"/>
              </w:rPr>
            </w:pPr>
            <w:r>
              <w:rPr>
                <w:rFonts w:ascii="Times New Roman" w:cs="Times New Roman" w:eastAsia="Times New Roman" w:hAnsi="Times New Roman"/>
                <w:sz w:val="14"/>
                <w:szCs w:val="14"/>
                <w:b w:val="1"/>
                <w:bCs w:val="1"/>
                <w:color w:val="0000FF"/>
              </w:rPr>
              <w:t>Item 4. Controls and Procedures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453"/>
        </w:trPr>
        <w:tc>
          <w:tcPr>
            <w:tcW w:w="4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0000FF"/>
              </w:rPr>
              <w:t>PART II. OTHER INFORMATION</w:t>
            </w:r>
          </w:p>
        </w:tc>
        <w:tc>
          <w:tcPr>
            <w:tcW w:w="2920" w:type="dxa"/>
            <w:vAlign w:val="bottom"/>
            <w:gridSpan w:val="6"/>
          </w:tcPr>
          <w:p>
            <w:pPr>
              <w:spacing w:after="0"/>
              <w:rPr>
                <w:sz w:val="24"/>
                <w:szCs w:val="24"/>
                <w:color w:val="auto"/>
              </w:rPr>
            </w:pPr>
          </w:p>
        </w:tc>
        <w:tc>
          <w:tcPr>
            <w:tcW w:w="1920" w:type="dxa"/>
            <w:vAlign w:val="bottom"/>
          </w:tcPr>
          <w:p>
            <w:pPr>
              <w:spacing w:after="0"/>
              <w:rPr>
                <w:sz w:val="24"/>
                <w:szCs w:val="24"/>
                <w:color w:val="auto"/>
              </w:rPr>
            </w:pPr>
          </w:p>
        </w:tc>
      </w:tr>
      <w:tr>
        <w:trPr>
          <w:trHeight w:val="453"/>
        </w:trPr>
        <w:tc>
          <w:tcPr>
            <w:tcW w:w="40" w:type="dxa"/>
            <w:vAlign w:val="bottom"/>
          </w:tcPr>
          <w:p>
            <w:pPr>
              <w:spacing w:after="0"/>
              <w:rPr>
                <w:sz w:val="24"/>
                <w:szCs w:val="24"/>
                <w:color w:val="auto"/>
              </w:rPr>
            </w:pPr>
          </w:p>
        </w:tc>
        <w:tc>
          <w:tcPr>
            <w:tcW w:w="9280" w:type="dxa"/>
            <w:vAlign w:val="bottom"/>
            <w:gridSpan w:val="25"/>
          </w:tcPr>
          <w:p>
            <w:pPr>
              <w:spacing w:after="0"/>
              <w:rPr>
                <w:sz w:val="20"/>
                <w:szCs w:val="20"/>
                <w:color w:val="auto"/>
              </w:rPr>
            </w:pPr>
            <w:r>
              <w:rPr>
                <w:rFonts w:ascii="Times New Roman" w:cs="Times New Roman" w:eastAsia="Times New Roman" w:hAnsi="Times New Roman"/>
                <w:sz w:val="14"/>
                <w:szCs w:val="14"/>
                <w:b w:val="1"/>
                <w:bCs w:val="1"/>
                <w:color w:val="0000FF"/>
              </w:rPr>
              <w:t>Item 1. Legal Proceedings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453"/>
        </w:trPr>
        <w:tc>
          <w:tcPr>
            <w:tcW w:w="40" w:type="dxa"/>
            <w:vAlign w:val="bottom"/>
          </w:tcPr>
          <w:p>
            <w:pPr>
              <w:spacing w:after="0"/>
              <w:rPr>
                <w:sz w:val="24"/>
                <w:szCs w:val="24"/>
                <w:color w:val="auto"/>
              </w:rPr>
            </w:pPr>
          </w:p>
        </w:tc>
        <w:tc>
          <w:tcPr>
            <w:tcW w:w="13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b w:val="1"/>
                <w:bCs w:val="1"/>
                <w:color w:val="0000FF"/>
              </w:rPr>
              <w:t>Item 1A. Risk Factors</w:t>
            </w:r>
          </w:p>
        </w:tc>
        <w:tc>
          <w:tcPr>
            <w:tcW w:w="220" w:type="dxa"/>
            <w:vAlign w:val="bottom"/>
            <w:tcBorders>
              <w:top w:val="single" w:sz="8" w:color="0000FF"/>
            </w:tcBorders>
          </w:tcPr>
          <w:p>
            <w:pPr>
              <w:spacing w:after="0"/>
              <w:rPr>
                <w:sz w:val="24"/>
                <w:szCs w:val="24"/>
                <w:color w:val="auto"/>
              </w:rPr>
            </w:pPr>
          </w:p>
        </w:tc>
        <w:tc>
          <w:tcPr>
            <w:tcW w:w="7700" w:type="dxa"/>
            <w:vAlign w:val="bottom"/>
            <w:gridSpan w:val="20"/>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452"/>
        </w:trPr>
        <w:tc>
          <w:tcPr>
            <w:tcW w:w="40" w:type="dxa"/>
            <w:vAlign w:val="bottom"/>
          </w:tcPr>
          <w:p>
            <w:pPr>
              <w:spacing w:after="0"/>
              <w:rPr>
                <w:sz w:val="24"/>
                <w:szCs w:val="24"/>
                <w:color w:val="auto"/>
              </w:rPr>
            </w:pPr>
          </w:p>
        </w:tc>
        <w:tc>
          <w:tcPr>
            <w:tcW w:w="9280" w:type="dxa"/>
            <w:vAlign w:val="bottom"/>
            <w:gridSpan w:val="25"/>
          </w:tcPr>
          <w:p>
            <w:pPr>
              <w:spacing w:after="0"/>
              <w:rPr>
                <w:sz w:val="20"/>
                <w:szCs w:val="20"/>
                <w:color w:val="auto"/>
              </w:rPr>
            </w:pPr>
            <w:r>
              <w:rPr>
                <w:rFonts w:ascii="Times New Roman" w:cs="Times New Roman" w:eastAsia="Times New Roman" w:hAnsi="Times New Roman"/>
                <w:sz w:val="14"/>
                <w:szCs w:val="14"/>
                <w:b w:val="1"/>
                <w:bCs w:val="1"/>
                <w:color w:val="0000FF"/>
              </w:rPr>
              <w:t>Item 2. Unregistered Sales of Equity Securities and Use of Proceeds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453"/>
        </w:trPr>
        <w:tc>
          <w:tcPr>
            <w:tcW w:w="40" w:type="dxa"/>
            <w:vAlign w:val="bottom"/>
          </w:tcPr>
          <w:p>
            <w:pPr>
              <w:spacing w:after="0"/>
              <w:rPr>
                <w:sz w:val="24"/>
                <w:szCs w:val="24"/>
                <w:color w:val="auto"/>
              </w:rPr>
            </w:pPr>
          </w:p>
        </w:tc>
        <w:tc>
          <w:tcPr>
            <w:tcW w:w="412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4"/>
                <w:szCs w:val="14"/>
                <w:b w:val="1"/>
                <w:bCs w:val="1"/>
                <w:color w:val="0000FF"/>
              </w:rPr>
              <w:t>Item 3. Defaults Upon Senior Securities</w:t>
            </w:r>
          </w:p>
        </w:tc>
        <w:tc>
          <w:tcPr>
            <w:tcW w:w="5160" w:type="dxa"/>
            <w:vAlign w:val="bottom"/>
            <w:gridSpan w:val="11"/>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453"/>
        </w:trPr>
        <w:tc>
          <w:tcPr>
            <w:tcW w:w="40" w:type="dxa"/>
            <w:vAlign w:val="bottom"/>
          </w:tcPr>
          <w:p>
            <w:pPr>
              <w:spacing w:after="0"/>
              <w:rPr>
                <w:sz w:val="24"/>
                <w:szCs w:val="24"/>
                <w:color w:val="auto"/>
              </w:rPr>
            </w:pPr>
          </w:p>
        </w:tc>
        <w:tc>
          <w:tcPr>
            <w:tcW w:w="19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b w:val="1"/>
                <w:bCs w:val="1"/>
                <w:color w:val="0000FF"/>
              </w:rPr>
              <w:t>Item 4. Mine Safety Disclosures</w:t>
            </w:r>
          </w:p>
        </w:tc>
        <w:tc>
          <w:tcPr>
            <w:tcW w:w="480" w:type="dxa"/>
            <w:vAlign w:val="bottom"/>
            <w:tcBorders>
              <w:top w:val="single" w:sz="8" w:color="0000FF"/>
            </w:tcBorders>
            <w:gridSpan w:val="2"/>
          </w:tcPr>
          <w:p>
            <w:pPr>
              <w:spacing w:after="0"/>
              <w:rPr>
                <w:sz w:val="24"/>
                <w:szCs w:val="24"/>
                <w:color w:val="auto"/>
              </w:rPr>
            </w:pPr>
          </w:p>
        </w:tc>
        <w:tc>
          <w:tcPr>
            <w:tcW w:w="6860" w:type="dxa"/>
            <w:vAlign w:val="bottom"/>
            <w:gridSpan w:val="16"/>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453"/>
        </w:trPr>
        <w:tc>
          <w:tcPr>
            <w:tcW w:w="40" w:type="dxa"/>
            <w:vAlign w:val="bottom"/>
          </w:tcPr>
          <w:p>
            <w:pPr>
              <w:spacing w:after="0"/>
              <w:rPr>
                <w:sz w:val="24"/>
                <w:szCs w:val="24"/>
                <w:color w:val="auto"/>
              </w:rPr>
            </w:pPr>
          </w:p>
        </w:tc>
        <w:tc>
          <w:tcPr>
            <w:tcW w:w="9280" w:type="dxa"/>
            <w:vAlign w:val="bottom"/>
            <w:gridSpan w:val="25"/>
          </w:tcPr>
          <w:p>
            <w:pPr>
              <w:spacing w:after="0"/>
              <w:rPr>
                <w:sz w:val="20"/>
                <w:szCs w:val="20"/>
                <w:color w:val="auto"/>
              </w:rPr>
            </w:pPr>
            <w:r>
              <w:rPr>
                <w:rFonts w:ascii="Times New Roman" w:cs="Times New Roman" w:eastAsia="Times New Roman" w:hAnsi="Times New Roman"/>
                <w:sz w:val="14"/>
                <w:szCs w:val="14"/>
                <w:b w:val="1"/>
                <w:bCs w:val="1"/>
                <w:color w:val="0000FF"/>
              </w:rPr>
              <w:t>Item 5. Other Information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453"/>
        </w:trPr>
        <w:tc>
          <w:tcPr>
            <w:tcW w:w="40" w:type="dxa"/>
            <w:vAlign w:val="bottom"/>
          </w:tcPr>
          <w:p>
            <w:pPr>
              <w:spacing w:after="0"/>
              <w:rPr>
                <w:sz w:val="24"/>
                <w:szCs w:val="24"/>
                <w:color w:val="auto"/>
              </w:rPr>
            </w:pPr>
          </w:p>
        </w:tc>
        <w:tc>
          <w:tcPr>
            <w:tcW w:w="16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4"/>
                <w:szCs w:val="14"/>
                <w:b w:val="1"/>
                <w:bCs w:val="1"/>
                <w:color w:val="0000FF"/>
              </w:rPr>
              <w:t>Item 6. Exhibits</w:t>
            </w:r>
          </w:p>
        </w:tc>
        <w:tc>
          <w:tcPr>
            <w:tcW w:w="7660" w:type="dxa"/>
            <w:vAlign w:val="bottom"/>
            <w:gridSpan w:val="19"/>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453"/>
        </w:trPr>
        <w:tc>
          <w:tcPr>
            <w:tcW w:w="40" w:type="dxa"/>
            <w:vAlign w:val="bottom"/>
          </w:tcPr>
          <w:p>
            <w:pPr>
              <w:spacing w:after="0"/>
              <w:rPr>
                <w:sz w:val="24"/>
                <w:szCs w:val="24"/>
                <w:color w:val="auto"/>
              </w:rPr>
            </w:pPr>
          </w:p>
        </w:tc>
        <w:tc>
          <w:tcPr>
            <w:tcW w:w="9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b w:val="1"/>
                <w:bCs w:val="1"/>
                <w:color w:val="0000FF"/>
              </w:rPr>
              <w:t>SIGNATURES</w:t>
            </w:r>
          </w:p>
        </w:tc>
        <w:tc>
          <w:tcPr>
            <w:tcW w:w="8300" w:type="dxa"/>
            <w:vAlign w:val="bottom"/>
            <w:gridSpan w:val="22"/>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564"/>
        </w:trPr>
        <w:tc>
          <w:tcPr>
            <w:tcW w:w="40" w:type="dxa"/>
            <w:vAlign w:val="bottom"/>
          </w:tcPr>
          <w:p>
            <w:pPr>
              <w:spacing w:after="0"/>
              <w:rPr>
                <w:sz w:val="24"/>
                <w:szCs w:val="24"/>
                <w:color w:val="auto"/>
              </w:rPr>
            </w:pPr>
          </w:p>
        </w:tc>
        <w:tc>
          <w:tcPr>
            <w:tcW w:w="920" w:type="dxa"/>
            <w:vAlign w:val="bottom"/>
            <w:tcBorders>
              <w:top w:val="single" w:sz="8" w:color="0000FF"/>
            </w:tcBorders>
            <w:gridSpan w:val="2"/>
          </w:tcPr>
          <w:p>
            <w:pPr>
              <w:spacing w:after="0"/>
              <w:rPr>
                <w:sz w:val="24"/>
                <w:szCs w:val="24"/>
                <w:color w:val="auto"/>
              </w:rPr>
            </w:pPr>
          </w:p>
        </w:tc>
        <w:tc>
          <w:tcPr>
            <w:tcW w:w="5020" w:type="dxa"/>
            <w:vAlign w:val="bottom"/>
            <w:gridSpan w:val="15"/>
          </w:tcPr>
          <w:p>
            <w:pPr>
              <w:jc w:val="right"/>
              <w:ind w:right="32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11"/>
        </w:trPr>
        <w:tc>
          <w:tcPr>
            <w:tcW w:w="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I—CONSOLIDATED FINANCIAL INFORMATION</w:t>
      </w:r>
    </w:p>
    <w:p>
      <w:pPr>
        <w:spacing w:after="0" w:line="300" w:lineRule="exact"/>
        <w:rPr>
          <w:sz w:val="20"/>
          <w:szCs w:val="20"/>
          <w:color w:val="auto"/>
        </w:rPr>
      </w:pPr>
    </w:p>
    <w:p>
      <w:pPr>
        <w:ind w:right="60" w:firstLine="449"/>
        <w:spacing w:after="0" w:line="251" w:lineRule="auto"/>
        <w:rPr>
          <w:sz w:val="20"/>
          <w:szCs w:val="20"/>
          <w:color w:val="auto"/>
        </w:rPr>
      </w:pPr>
      <w:r>
        <w:rPr>
          <w:rFonts w:ascii="Times New Roman" w:cs="Times New Roman" w:eastAsia="Times New Roman" w:hAnsi="Times New Roman"/>
          <w:sz w:val="14"/>
          <w:szCs w:val="14"/>
          <w:color w:val="auto"/>
        </w:rPr>
        <w:t>We are filing this Quarterly Report on Form 10-Q, or the Report, in compliance with Rule 13a-13 as promulgated by the Securities and Exchange Commission, or the SEC, under the Securities Exchange Act of 1934, as amended, or the Exchange Act. In this Report, except where the context suggests otherwise, the terms “Company,” “we,” “our” or “us” refers to PennantPark Floating Rate Capital Ltd. and its wholly-owned consolidated subsidiaries; “Funding I” refers to PennantPark Floating Rate Funding I, LLC; “Taxable Subsidiary” refers to PFLT Investment Holdings, LLC; “PSSL” refers to PennantPark Senior Secured Loan Fund I LLC, an unconsolidated joint venture; “PTSF” refers to PennantPark-TSO Senior Loan Fund, LP, an unconsolidated limited partnership; “PennantPark Investment Advisers” or “Investment Adviser” refer to PennantPark Investment Advisers, LLC; “PennantPark Investment Administration” or “Administrator” refers to PennantPark Investment Administration, LLC; “2023 Notes” refers to our 4.3% Series A notes due 2023; “2026 Notes” refers to our 4.25% Notes due 2026; “1940 Act” refers to the Investment Company Act of 1940, as amended; “SBCAA” refers to the Small Business Credit Availability Act; “Code” refers to the Internal Revenue Code of 1986, as amended; “RIC” refers to</w:t>
      </w:r>
    </w:p>
    <w:p>
      <w:pPr>
        <w:spacing w:after="0" w:line="23" w:lineRule="exact"/>
        <w:rPr>
          <w:sz w:val="20"/>
          <w:szCs w:val="20"/>
          <w:color w:val="auto"/>
        </w:rPr>
      </w:pPr>
    </w:p>
    <w:p>
      <w:pPr>
        <w:spacing w:after="0" w:line="168" w:lineRule="exact"/>
        <w:rPr>
          <w:sz w:val="20"/>
          <w:szCs w:val="20"/>
          <w:color w:val="auto"/>
        </w:rPr>
      </w:pPr>
      <w:r>
        <w:rPr>
          <w:rFonts w:ascii="Times New Roman" w:cs="Times New Roman" w:eastAsia="Times New Roman" w:hAnsi="Times New Roman"/>
          <w:sz w:val="14"/>
          <w:szCs w:val="14"/>
          <w:color w:val="auto"/>
        </w:rPr>
        <w:t>a regulated investment company under the Code; “BDC” refers to a business development company under the 1940 Act; “MCG” refers to MCG Capital Corporation; “Prior Credit Facility” refers to our multi-currency senior secured revolving credit facility, as amended and restated with Truist Bank (formerly SunTrust Bank) and other lenders, originally entered into on June 23, 2011 and terminated on August 12, 2021; “Credit Facility” refers to our multi-currency senior secured revolving credit facility, as amended from time to time, with Truist Bank and other lenders, or the “Lenders,” entered into on August 12, 2021; “Securitization Issuer” refers to PennantPark CLO I, Ltd.; “Securitization Issuers” refers to the Securitization Issuer and PennantPark CLO I, LLC; “Debt Securitization” refers to the $301.4 million term debt securitization completed by the Securitization Issuers; “2031 Asset-Backed Debt” refers to (i) the issuance of the Class A-1 Senior Secured Floating Rate Notes due 2031, the Class A-2 Senior Secured Fixed Rate Notes due 2031, the Class B-1 Senior Secured Floating Rate Notes due 2031, the Class B-2 Senior Secured Fixed Rate Notes due 2031, the Class C-1 Secured Deferrable Floating Rate Notes due 2031, the Class C-2 Notes Secured Deferrable Fixed Rate Notes due 2031, and the Class D Secured Deferrable Floating Notes due 2031 and (ii) the borrowing of the Class 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 Senior Secured Floating Rate Notes due 2031 by the Securitization Issuers in connection with the Debt Securitization; and “Depositor” refers to PennantPark CLO I Depositor, LLC. References to our portfolio, our investments, our multi-currency, senior secured revolving credit facility, as amended and restated, or the Credit Facility, and our business include investments we make through our subsidiaries.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color w:val="auto"/>
        </w:rPr>
        <w:t>Item 1. Consolidated Financial Statements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ASSETS AND LIABILITIES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300" w:type="dxa"/>
            <w:vAlign w:val="bottom"/>
          </w:tcPr>
          <w:p>
            <w:pPr>
              <w:spacing w:after="0"/>
              <w:rPr>
                <w:sz w:val="16"/>
                <w:szCs w:val="16"/>
                <w:color w:val="auto"/>
              </w:rPr>
            </w:pPr>
          </w:p>
        </w:tc>
        <w:tc>
          <w:tcPr>
            <w:tcW w:w="19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0" w:type="dxa"/>
            <w:vAlign w:val="bottom"/>
          </w:tcPr>
          <w:p>
            <w:pPr>
              <w:spacing w:after="0"/>
              <w:rPr>
                <w:sz w:val="1"/>
                <w:szCs w:val="1"/>
                <w:color w:val="auto"/>
              </w:rPr>
            </w:pPr>
          </w:p>
        </w:tc>
      </w:tr>
      <w:tr>
        <w:trPr>
          <w:trHeight w:val="169"/>
        </w:trPr>
        <w:tc>
          <w:tcPr>
            <w:tcW w:w="3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700" w:type="dxa"/>
            <w:vAlign w:val="bottom"/>
            <w:tcBorders>
              <w:top w:val="single" w:sz="8" w:color="auto"/>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92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shd w:val="clear" w:color="auto" w:fill="CCECFF"/>
          </w:tcPr>
          <w:p>
            <w:pPr>
              <w:spacing w:after="0"/>
              <w:rPr>
                <w:sz w:val="14"/>
                <w:szCs w:val="14"/>
                <w:color w:val="auto"/>
              </w:rPr>
            </w:pPr>
          </w:p>
        </w:tc>
        <w:tc>
          <w:tcPr>
            <w:tcW w:w="342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7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9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at fair value</w:t>
            </w:r>
          </w:p>
        </w:tc>
        <w:tc>
          <w:tcPr>
            <w:tcW w:w="2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2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Non-controlled, non-affiliated investments (cost— $901,437 and $824,542, respectively</w:t>
            </w:r>
          </w:p>
        </w:tc>
        <w:tc>
          <w:tcPr>
            <w:tcW w:w="300" w:type="dxa"/>
            <w:vAlign w:val="bottom"/>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933,041</w:t>
            </w: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856,806</w:t>
            </w: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Non-controlled, affiliated investments (cost— $ —</w:t>
            </w:r>
          </w:p>
        </w:tc>
        <w:tc>
          <w:tcPr>
            <w:tcW w:w="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and</w:t>
            </w:r>
          </w:p>
        </w:tc>
        <w:tc>
          <w:tcPr>
            <w:tcW w:w="3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$22,380, respectively</w:t>
            </w:r>
          </w:p>
        </w:tc>
        <w:tc>
          <w:tcPr>
            <w:tcW w:w="300" w:type="dxa"/>
            <w:vAlign w:val="bottom"/>
          </w:tcPr>
          <w:p>
            <w:pPr>
              <w:spacing w:after="0"/>
              <w:rPr>
                <w:sz w:val="15"/>
                <w:szCs w:val="15"/>
                <w:color w:val="auto"/>
              </w:rPr>
            </w:pPr>
          </w:p>
        </w:tc>
        <w:tc>
          <w:tcPr>
            <w:tcW w:w="1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Controlled, affiliated investments (cost— $265,824</w:t>
            </w:r>
          </w:p>
        </w:tc>
        <w:tc>
          <w:tcPr>
            <w:tcW w:w="280" w:type="dxa"/>
            <w:vAlign w:val="bottom"/>
            <w:tcBorders>
              <w:bottom w:val="single" w:sz="8" w:color="CCECFF"/>
            </w:tcBorders>
            <w:shd w:val="clear" w:color="auto" w:fill="CCECFF"/>
          </w:tcPr>
          <w:p>
            <w:pPr>
              <w:ind w:left="40"/>
              <w:spacing w:after="0"/>
              <w:rPr>
                <w:sz w:val="20"/>
                <w:szCs w:val="20"/>
                <w:color w:val="auto"/>
              </w:rPr>
            </w:pPr>
            <w:r>
              <w:rPr>
                <w:rFonts w:ascii="Times New Roman" w:cs="Times New Roman" w:eastAsia="Times New Roman" w:hAnsi="Times New Roman"/>
                <w:sz w:val="14"/>
                <w:szCs w:val="14"/>
                <w:color w:val="auto"/>
              </w:rPr>
              <w:t>and</w:t>
            </w:r>
          </w:p>
        </w:tc>
        <w:tc>
          <w:tcPr>
            <w:tcW w:w="3420" w:type="dxa"/>
            <w:vAlign w:val="bottom"/>
            <w:tcBorders>
              <w:bottom w:val="single" w:sz="8" w:color="CCECFF"/>
            </w:tcBorders>
            <w:shd w:val="clear" w:color="auto" w:fill="CCECFF"/>
          </w:tcPr>
          <w:p>
            <w:pPr>
              <w:ind w:left="40"/>
              <w:spacing w:after="0"/>
              <w:rPr>
                <w:sz w:val="20"/>
                <w:szCs w:val="20"/>
                <w:color w:val="auto"/>
              </w:rPr>
            </w:pPr>
            <w:r>
              <w:rPr>
                <w:rFonts w:ascii="Times New Roman" w:cs="Times New Roman" w:eastAsia="Times New Roman" w:hAnsi="Times New Roman"/>
                <w:sz w:val="14"/>
                <w:szCs w:val="14"/>
                <w:color w:val="auto"/>
              </w:rPr>
              <w:t>$223,714, respectively</w:t>
            </w:r>
          </w:p>
        </w:tc>
        <w:tc>
          <w:tcPr>
            <w:tcW w:w="300" w:type="dxa"/>
            <w:vAlign w:val="bottom"/>
            <w:tcBorders>
              <w:bottom w:val="single" w:sz="8" w:color="auto"/>
            </w:tcBorders>
            <w:shd w:val="clear" w:color="auto" w:fill="CCECFF"/>
          </w:tcPr>
          <w:p>
            <w:pPr>
              <w:spacing w:after="0"/>
              <w:rPr>
                <w:sz w:val="15"/>
                <w:szCs w:val="15"/>
                <w:color w:val="auto"/>
              </w:rPr>
            </w:pPr>
          </w:p>
        </w:tc>
        <w:tc>
          <w:tcPr>
            <w:tcW w:w="1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259,571</w:t>
            </w:r>
          </w:p>
        </w:tc>
        <w:tc>
          <w:tcPr>
            <w:tcW w:w="240" w:type="dxa"/>
            <w:vAlign w:val="bottom"/>
            <w:tcBorders>
              <w:bottom w:val="single" w:sz="8" w:color="CCECFF"/>
            </w:tcBorders>
            <w:shd w:val="clear" w:color="auto" w:fill="CCECFF"/>
          </w:tcPr>
          <w:p>
            <w:pPr>
              <w:spacing w:after="0"/>
              <w:rPr>
                <w:sz w:val="15"/>
                <w:szCs w:val="15"/>
                <w:color w:val="auto"/>
              </w:rPr>
            </w:pPr>
          </w:p>
        </w:tc>
        <w:tc>
          <w:tcPr>
            <w:tcW w:w="300" w:type="dxa"/>
            <w:vAlign w:val="bottom"/>
            <w:tcBorders>
              <w:bottom w:val="single" w:sz="8" w:color="auto"/>
            </w:tcBorders>
            <w:shd w:val="clear" w:color="auto" w:fill="CCECFF"/>
          </w:tcPr>
          <w:p>
            <w:pPr>
              <w:spacing w:after="0"/>
              <w:rPr>
                <w:sz w:val="15"/>
                <w:szCs w:val="15"/>
                <w:color w:val="auto"/>
              </w:rPr>
            </w:pPr>
          </w:p>
        </w:tc>
        <w:tc>
          <w:tcPr>
            <w:tcW w:w="1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217,380</w:t>
            </w:r>
          </w:p>
        </w:tc>
        <w:tc>
          <w:tcPr>
            <w:tcW w:w="6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7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Total investments (cost— $1,167,262 and $1,070,636, respectively</w:t>
            </w:r>
          </w:p>
        </w:tc>
        <w:tc>
          <w:tcPr>
            <w:tcW w:w="3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1,192,613</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1,081,619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2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Cash and cash equivalents (cost—$50,053 and $49,825, respectively)</w:t>
            </w:r>
          </w:p>
        </w:tc>
        <w:tc>
          <w:tcPr>
            <w:tcW w:w="300" w:type="dxa"/>
            <w:vAlign w:val="bottom"/>
            <w:shd w:val="clear" w:color="auto" w:fill="CCECFF"/>
          </w:tcPr>
          <w:p>
            <w:pPr>
              <w:spacing w:after="0"/>
              <w:rPr>
                <w:sz w:val="15"/>
                <w:szCs w:val="15"/>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50,064</w:t>
            </w: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49,826</w:t>
            </w: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receivable</w:t>
            </w:r>
          </w:p>
        </w:tc>
        <w:tc>
          <w:tcPr>
            <w:tcW w:w="2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5,316</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Receivable for investments sold</w:t>
            </w:r>
          </w:p>
        </w:tc>
        <w:tc>
          <w:tcPr>
            <w:tcW w:w="280" w:type="dxa"/>
            <w:vAlign w:val="bottom"/>
            <w:shd w:val="clear" w:color="auto" w:fill="CCECFF"/>
          </w:tcPr>
          <w:p>
            <w:pPr>
              <w:spacing w:after="0"/>
              <w:rPr>
                <w:sz w:val="15"/>
                <w:szCs w:val="15"/>
                <w:color w:val="auto"/>
              </w:rPr>
            </w:pPr>
          </w:p>
        </w:tc>
        <w:tc>
          <w:tcPr>
            <w:tcW w:w="342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38,542</w:t>
            </w: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33,966</w:t>
            </w: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1,356</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30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80" w:type="dxa"/>
            <w:vAlign w:val="bottom"/>
            <w:tcBorders>
              <w:bottom w:val="single" w:sz="8" w:color="CCECFF"/>
            </w:tcBorders>
            <w:shd w:val="clear" w:color="auto" w:fill="CCECFF"/>
          </w:tcPr>
          <w:p>
            <w:pPr>
              <w:spacing w:after="0"/>
              <w:rPr>
                <w:sz w:val="14"/>
                <w:szCs w:val="14"/>
                <w:color w:val="auto"/>
              </w:rPr>
            </w:pPr>
          </w:p>
        </w:tc>
        <w:tc>
          <w:tcPr>
            <w:tcW w:w="3420" w:type="dxa"/>
            <w:vAlign w:val="bottom"/>
            <w:tcBorders>
              <w:bottom w:val="single" w:sz="8" w:color="CCECFF"/>
            </w:tcBorders>
            <w:shd w:val="clear" w:color="auto" w:fill="CCECFF"/>
          </w:tcPr>
          <w:p>
            <w:pPr>
              <w:spacing w:after="0"/>
              <w:rPr>
                <w:sz w:val="14"/>
                <w:szCs w:val="14"/>
                <w:color w:val="auto"/>
              </w:rPr>
            </w:pPr>
          </w:p>
        </w:tc>
        <w:tc>
          <w:tcPr>
            <w:tcW w:w="300" w:type="dxa"/>
            <w:vAlign w:val="bottom"/>
            <w:tcBorders>
              <w:top w:val="single" w:sz="8" w:color="auto"/>
              <w:bottom w:val="single" w:sz="8" w:color="auto"/>
            </w:tcBorders>
            <w:shd w:val="clear" w:color="auto" w:fill="CCECFF"/>
          </w:tcPr>
          <w:p>
            <w:pPr>
              <w:spacing w:after="0"/>
              <w:rPr>
                <w:sz w:val="14"/>
                <w:szCs w:val="14"/>
                <w:color w:val="auto"/>
              </w:rPr>
            </w:pPr>
          </w:p>
        </w:tc>
        <w:tc>
          <w:tcPr>
            <w:tcW w:w="1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1,287,891</w:t>
            </w:r>
          </w:p>
        </w:tc>
        <w:tc>
          <w:tcPr>
            <w:tcW w:w="240" w:type="dxa"/>
            <w:vAlign w:val="bottom"/>
            <w:tcBorders>
              <w:bottom w:val="single" w:sz="8" w:color="CCECFF"/>
            </w:tcBorders>
            <w:shd w:val="clear" w:color="auto" w:fill="CCECFF"/>
          </w:tcPr>
          <w:p>
            <w:pPr>
              <w:spacing w:after="0"/>
              <w:rPr>
                <w:sz w:val="14"/>
                <w:szCs w:val="14"/>
                <w:color w:val="auto"/>
              </w:rPr>
            </w:pPr>
          </w:p>
        </w:tc>
        <w:tc>
          <w:tcPr>
            <w:tcW w:w="300" w:type="dxa"/>
            <w:vAlign w:val="bottom"/>
            <w:tcBorders>
              <w:top w:val="single" w:sz="8" w:color="auto"/>
              <w:bottom w:val="single" w:sz="8" w:color="auto"/>
            </w:tcBorders>
            <w:shd w:val="clear" w:color="auto" w:fill="CCECFF"/>
          </w:tcPr>
          <w:p>
            <w:pPr>
              <w:spacing w:after="0"/>
              <w:rPr>
                <w:sz w:val="14"/>
                <w:szCs w:val="14"/>
                <w:color w:val="auto"/>
              </w:rPr>
            </w:pPr>
          </w:p>
        </w:tc>
        <w:tc>
          <w:tcPr>
            <w:tcW w:w="19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1,170,856</w:t>
            </w:r>
          </w:p>
        </w:tc>
        <w:tc>
          <w:tcPr>
            <w:tcW w:w="6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Distributions payable</w:t>
            </w:r>
          </w:p>
        </w:tc>
        <w:tc>
          <w:tcPr>
            <w:tcW w:w="280" w:type="dxa"/>
            <w:vAlign w:val="bottom"/>
            <w:shd w:val="clear" w:color="auto" w:fill="CCECFF"/>
          </w:tcPr>
          <w:p>
            <w:pPr>
              <w:spacing w:after="0"/>
              <w:rPr>
                <w:sz w:val="15"/>
                <w:szCs w:val="15"/>
                <w:color w:val="auto"/>
              </w:rPr>
            </w:pPr>
          </w:p>
        </w:tc>
        <w:tc>
          <w:tcPr>
            <w:tcW w:w="342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3,814</w:t>
            </w: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3,690</w:t>
            </w: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Payable for investments purchased</w:t>
            </w:r>
          </w:p>
        </w:tc>
        <w:tc>
          <w:tcPr>
            <w:tcW w:w="2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13,546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2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Credit Facility payable, at fair value (cost—$249,654 and $219,400, respectively) (See Notes 5 and 11)</w:t>
            </w:r>
          </w:p>
        </w:tc>
        <w:tc>
          <w:tcPr>
            <w:tcW w:w="300" w:type="dxa"/>
            <w:vAlign w:val="bottom"/>
            <w:shd w:val="clear" w:color="auto" w:fill="CCECFF"/>
          </w:tcPr>
          <w:p>
            <w:pPr>
              <w:spacing w:after="0"/>
              <w:rPr>
                <w:sz w:val="15"/>
                <w:szCs w:val="15"/>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249,910</w:t>
            </w: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218,852</w:t>
            </w: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2023 Notes payable, at fair value (par—$97,006 and $117,793, respectively) (See Notes 5 and 11)</w:t>
            </w:r>
          </w:p>
        </w:tc>
        <w:tc>
          <w:tcPr>
            <w:tcW w:w="3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88,275</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111,114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2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2026 Notes payable, net (par—$185,000 and $100,000, respectively) (See Notes 5 and 11)</w:t>
            </w:r>
          </w:p>
        </w:tc>
        <w:tc>
          <w:tcPr>
            <w:tcW w:w="300" w:type="dxa"/>
            <w:vAlign w:val="bottom"/>
            <w:shd w:val="clear" w:color="auto" w:fill="CCECFF"/>
          </w:tcPr>
          <w:p>
            <w:pPr>
              <w:spacing w:after="0"/>
              <w:rPr>
                <w:sz w:val="15"/>
                <w:szCs w:val="15"/>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181,888</w:t>
            </w: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97,171</w:t>
            </w: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2031 Asset-Backed Debt, net (par—$228,000) (See Notes 5 and 11)</w:t>
            </w:r>
          </w:p>
        </w:tc>
        <w:tc>
          <w:tcPr>
            <w:tcW w:w="3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225,813</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225,497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Interest payable on debt</w:t>
            </w:r>
          </w:p>
        </w:tc>
        <w:tc>
          <w:tcPr>
            <w:tcW w:w="280" w:type="dxa"/>
            <w:vAlign w:val="bottom"/>
            <w:shd w:val="clear" w:color="auto" w:fill="CCECFF"/>
          </w:tcPr>
          <w:p>
            <w:pPr>
              <w:spacing w:after="0"/>
              <w:rPr>
                <w:sz w:val="15"/>
                <w:szCs w:val="15"/>
                <w:color w:val="auto"/>
              </w:rPr>
            </w:pPr>
          </w:p>
        </w:tc>
        <w:tc>
          <w:tcPr>
            <w:tcW w:w="342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6,975</w:t>
            </w: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5,455</w:t>
            </w: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Base management fee payable (See Note 3)</w:t>
            </w:r>
          </w:p>
        </w:tc>
        <w:tc>
          <w:tcPr>
            <w:tcW w:w="2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2,945</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Performance-based incentive fee payable (See Note 3)</w:t>
            </w:r>
          </w:p>
        </w:tc>
        <w:tc>
          <w:tcPr>
            <w:tcW w:w="342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2,704</w:t>
            </w: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liability</w:t>
            </w:r>
          </w:p>
        </w:tc>
        <w:tc>
          <w:tcPr>
            <w:tcW w:w="2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30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Accrued other expenses</w:t>
            </w:r>
          </w:p>
        </w:tc>
        <w:tc>
          <w:tcPr>
            <w:tcW w:w="280" w:type="dxa"/>
            <w:vAlign w:val="bottom"/>
            <w:tcBorders>
              <w:bottom w:val="single" w:sz="8" w:color="CCECFF"/>
            </w:tcBorders>
            <w:shd w:val="clear" w:color="auto" w:fill="CCECFF"/>
          </w:tcPr>
          <w:p>
            <w:pPr>
              <w:spacing w:after="0"/>
              <w:rPr>
                <w:sz w:val="15"/>
                <w:szCs w:val="15"/>
                <w:color w:val="auto"/>
              </w:rPr>
            </w:pPr>
          </w:p>
        </w:tc>
        <w:tc>
          <w:tcPr>
            <w:tcW w:w="3420" w:type="dxa"/>
            <w:vAlign w:val="bottom"/>
            <w:tcBorders>
              <w:bottom w:val="single" w:sz="8" w:color="CCECFF"/>
            </w:tcBorders>
            <w:shd w:val="clear" w:color="auto" w:fill="CCECFF"/>
          </w:tcPr>
          <w:p>
            <w:pPr>
              <w:spacing w:after="0"/>
              <w:rPr>
                <w:sz w:val="15"/>
                <w:szCs w:val="15"/>
                <w:color w:val="auto"/>
              </w:rPr>
            </w:pPr>
          </w:p>
        </w:tc>
        <w:tc>
          <w:tcPr>
            <w:tcW w:w="300" w:type="dxa"/>
            <w:vAlign w:val="bottom"/>
            <w:tcBorders>
              <w:bottom w:val="single" w:sz="8" w:color="auto"/>
            </w:tcBorders>
            <w:shd w:val="clear" w:color="auto" w:fill="CCECFF"/>
          </w:tcPr>
          <w:p>
            <w:pPr>
              <w:spacing w:after="0"/>
              <w:rPr>
                <w:sz w:val="15"/>
                <w:szCs w:val="15"/>
                <w:color w:val="auto"/>
              </w:rPr>
            </w:pPr>
          </w:p>
        </w:tc>
        <w:tc>
          <w:tcPr>
            <w:tcW w:w="1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240" w:type="dxa"/>
            <w:vAlign w:val="bottom"/>
            <w:tcBorders>
              <w:bottom w:val="single" w:sz="8" w:color="CCECFF"/>
            </w:tcBorders>
            <w:shd w:val="clear" w:color="auto" w:fill="CCECFF"/>
          </w:tcPr>
          <w:p>
            <w:pPr>
              <w:spacing w:after="0"/>
              <w:rPr>
                <w:sz w:val="15"/>
                <w:szCs w:val="15"/>
                <w:color w:val="auto"/>
              </w:rPr>
            </w:pPr>
          </w:p>
        </w:tc>
        <w:tc>
          <w:tcPr>
            <w:tcW w:w="300" w:type="dxa"/>
            <w:vAlign w:val="bottom"/>
            <w:tcBorders>
              <w:bottom w:val="single" w:sz="8" w:color="auto"/>
            </w:tcBorders>
            <w:shd w:val="clear" w:color="auto" w:fill="CCECFF"/>
          </w:tcPr>
          <w:p>
            <w:pPr>
              <w:spacing w:after="0"/>
              <w:rPr>
                <w:sz w:val="15"/>
                <w:szCs w:val="15"/>
                <w:color w:val="auto"/>
              </w:rPr>
            </w:pPr>
          </w:p>
        </w:tc>
        <w:tc>
          <w:tcPr>
            <w:tcW w:w="1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1,591</w:t>
            </w:r>
          </w:p>
        </w:tc>
        <w:tc>
          <w:tcPr>
            <w:tcW w:w="6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767,904</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680,245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(See Note 12)</w:t>
            </w:r>
          </w:p>
        </w:tc>
        <w:tc>
          <w:tcPr>
            <w:tcW w:w="280" w:type="dxa"/>
            <w:vAlign w:val="bottom"/>
            <w:shd w:val="clear" w:color="auto" w:fill="CCECFF"/>
          </w:tcPr>
          <w:p>
            <w:pPr>
              <w:spacing w:after="0"/>
              <w:rPr>
                <w:sz w:val="14"/>
                <w:szCs w:val="14"/>
                <w:color w:val="auto"/>
              </w:rPr>
            </w:pPr>
          </w:p>
        </w:tc>
        <w:tc>
          <w:tcPr>
            <w:tcW w:w="342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7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9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2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720" w:type="dxa"/>
            <w:vAlign w:val="bottom"/>
            <w:gridSpan w:val="3"/>
            <w:shd w:val="clear" w:color="auto" w:fill="CCECFF"/>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 41,209,566 and 38,880,728 shares issued and outstanding, respectively</w:t>
            </w:r>
          </w:p>
        </w:tc>
        <w:tc>
          <w:tcPr>
            <w:tcW w:w="300" w:type="dxa"/>
            <w:vAlign w:val="bottom"/>
            <w:shd w:val="clear" w:color="auto" w:fill="CCECFF"/>
          </w:tcPr>
          <w:p>
            <w:pPr>
              <w:spacing w:after="0"/>
              <w:rPr>
                <w:sz w:val="12"/>
                <w:szCs w:val="12"/>
                <w:color w:val="auto"/>
              </w:rPr>
            </w:pPr>
          </w:p>
        </w:tc>
        <w:tc>
          <w:tcPr>
            <w:tcW w:w="17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4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9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720" w:type="dxa"/>
            <w:vAlign w:val="bottom"/>
            <w:gridSpan w:val="3"/>
            <w:shd w:val="clear" w:color="auto" w:fill="CCECFF"/>
          </w:tcPr>
          <w:p>
            <w:pPr>
              <w:ind w:left="120"/>
              <w:spacing w:after="0"/>
              <w:rPr>
                <w:sz w:val="20"/>
                <w:szCs w:val="20"/>
                <w:color w:val="auto"/>
              </w:rPr>
            </w:pPr>
            <w:r>
              <w:rPr>
                <w:rFonts w:ascii="Times New Roman" w:cs="Times New Roman" w:eastAsia="Times New Roman" w:hAnsi="Times New Roman"/>
                <w:sz w:val="14"/>
                <w:szCs w:val="14"/>
                <w:color w:val="auto"/>
              </w:rPr>
              <w:t>Par value $0.001 per share and 100,000,000 shares authorized</w:t>
            </w:r>
          </w:p>
        </w:tc>
        <w:tc>
          <w:tcPr>
            <w:tcW w:w="300" w:type="dxa"/>
            <w:vAlign w:val="bottom"/>
            <w:shd w:val="clear" w:color="auto" w:fill="CCECFF"/>
          </w:tcPr>
          <w:p>
            <w:pPr>
              <w:spacing w:after="0"/>
              <w:rPr>
                <w:sz w:val="16"/>
                <w:szCs w:val="16"/>
                <w:color w:val="auto"/>
              </w:rPr>
            </w:pPr>
          </w:p>
        </w:tc>
        <w:tc>
          <w:tcPr>
            <w:tcW w:w="1700" w:type="dxa"/>
            <w:vAlign w:val="bottom"/>
            <w:vMerge w:val="continue"/>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1920" w:type="dxa"/>
            <w:vAlign w:val="bottom"/>
            <w:vMerge w:val="continue"/>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Paid-in capital in excess of par value</w:t>
            </w:r>
          </w:p>
        </w:tc>
        <w:tc>
          <w:tcPr>
            <w:tcW w:w="2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568,869</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538,815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280" w:type="dxa"/>
            <w:vAlign w:val="bottom"/>
            <w:shd w:val="clear" w:color="auto" w:fill="CCECFF"/>
          </w:tcPr>
          <w:p>
            <w:pPr>
              <w:spacing w:after="0"/>
              <w:rPr>
                <w:sz w:val="15"/>
                <w:szCs w:val="15"/>
                <w:color w:val="auto"/>
              </w:rPr>
            </w:pPr>
          </w:p>
        </w:tc>
        <w:tc>
          <w:tcPr>
            <w:tcW w:w="342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9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4"/>
                <w:szCs w:val="14"/>
                <w:color w:val="auto"/>
              </w:rPr>
              <w:t>(48,924 )</w:t>
            </w:r>
          </w:p>
        </w:tc>
        <w:tc>
          <w:tcPr>
            <w:tcW w:w="300" w:type="dxa"/>
            <w:vAlign w:val="bottom"/>
            <w:shd w:val="clear" w:color="auto" w:fill="CCECFF"/>
          </w:tcPr>
          <w:p>
            <w:pPr>
              <w:spacing w:after="0"/>
              <w:rPr>
                <w:sz w:val="15"/>
                <w:szCs w:val="15"/>
                <w:color w:val="auto"/>
              </w:rPr>
            </w:pPr>
          </w:p>
        </w:tc>
        <w:tc>
          <w:tcPr>
            <w:tcW w:w="1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(48,242 )</w:t>
            </w:r>
          </w:p>
        </w:tc>
        <w:tc>
          <w:tcPr>
            <w:tcW w:w="0" w:type="dxa"/>
            <w:vAlign w:val="bottom"/>
          </w:tcPr>
          <w:p>
            <w:pPr>
              <w:spacing w:after="0"/>
              <w:rPr>
                <w:sz w:val="1"/>
                <w:szCs w:val="1"/>
                <w:color w:val="auto"/>
              </w:rPr>
            </w:pPr>
          </w:p>
        </w:tc>
      </w:tr>
      <w:tr>
        <w:trPr>
          <w:trHeight w:val="169"/>
        </w:trPr>
        <w:tc>
          <w:tcPr>
            <w:tcW w:w="3020" w:type="dxa"/>
            <w:vAlign w:val="bottom"/>
            <w:tcBorders>
              <w:top w:val="single" w:sz="8" w:color="CCEC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net assets</w:t>
            </w:r>
          </w:p>
        </w:tc>
        <w:tc>
          <w:tcPr>
            <w:tcW w:w="280" w:type="dxa"/>
            <w:vAlign w:val="bottom"/>
            <w:tcBorders>
              <w:top w:val="single" w:sz="8" w:color="CCECFF"/>
            </w:tcBorders>
          </w:tcPr>
          <w:p>
            <w:pPr>
              <w:spacing w:after="0"/>
              <w:rPr>
                <w:sz w:val="14"/>
                <w:szCs w:val="14"/>
                <w:color w:val="auto"/>
              </w:rPr>
            </w:pPr>
          </w:p>
        </w:tc>
        <w:tc>
          <w:tcPr>
            <w:tcW w:w="3420" w:type="dxa"/>
            <w:vAlign w:val="bottom"/>
            <w:tcBorders>
              <w:top w:val="single" w:sz="8" w:color="CCECFF"/>
            </w:tcBorders>
          </w:tcPr>
          <w:p>
            <w:pPr>
              <w:spacing w:after="0"/>
              <w:rPr>
                <w:sz w:val="14"/>
                <w:szCs w:val="14"/>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519,986</w:t>
            </w:r>
          </w:p>
        </w:tc>
        <w:tc>
          <w:tcPr>
            <w:tcW w:w="240" w:type="dxa"/>
            <w:vAlign w:val="bottom"/>
            <w:tcBorders>
              <w:top w:val="single" w:sz="8" w:color="CCECFF"/>
            </w:tcBorders>
          </w:tcPr>
          <w:p>
            <w:pPr>
              <w:spacing w:after="0"/>
              <w:rPr>
                <w:sz w:val="14"/>
                <w:szCs w:val="14"/>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490,611</w:t>
            </w:r>
          </w:p>
        </w:tc>
        <w:tc>
          <w:tcPr>
            <w:tcW w:w="60" w:type="dxa"/>
            <w:vAlign w:val="bottom"/>
            <w:tcBorders>
              <w:top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020" w:type="dxa"/>
            <w:vAlign w:val="bottom"/>
            <w:tcBorders>
              <w:bottom w:val="single" w:sz="8" w:color="CCECFF"/>
            </w:tcBorders>
            <w:shd w:val="clear" w:color="auto" w:fill="CCECFF"/>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 and net assets</w:t>
            </w:r>
          </w:p>
        </w:tc>
        <w:tc>
          <w:tcPr>
            <w:tcW w:w="280" w:type="dxa"/>
            <w:vAlign w:val="bottom"/>
            <w:tcBorders>
              <w:bottom w:val="single" w:sz="8" w:color="CCECFF"/>
            </w:tcBorders>
            <w:shd w:val="clear" w:color="auto" w:fill="CCECFF"/>
          </w:tcPr>
          <w:p>
            <w:pPr>
              <w:spacing w:after="0"/>
              <w:rPr>
                <w:sz w:val="18"/>
                <w:szCs w:val="18"/>
                <w:color w:val="auto"/>
              </w:rPr>
            </w:pPr>
          </w:p>
        </w:tc>
        <w:tc>
          <w:tcPr>
            <w:tcW w:w="342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auto"/>
            </w:tcBorders>
            <w:shd w:val="clear" w:color="auto" w:fill="CCECFF"/>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1,287,891</w:t>
            </w:r>
          </w:p>
        </w:tc>
        <w:tc>
          <w:tcPr>
            <w:tcW w:w="24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auto"/>
            </w:tcBorders>
            <w:shd w:val="clear" w:color="auto" w:fill="CCECFF"/>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1,170,856</w:t>
            </w:r>
          </w:p>
        </w:tc>
        <w:tc>
          <w:tcPr>
            <w:tcW w:w="6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0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Net asset value per share</w:t>
            </w:r>
          </w:p>
        </w:tc>
        <w:tc>
          <w:tcPr>
            <w:tcW w:w="28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12.62</w:t>
            </w:r>
          </w:p>
        </w:tc>
        <w:tc>
          <w:tcPr>
            <w:tcW w:w="240" w:type="dxa"/>
            <w:vAlign w:val="bottom"/>
          </w:tcPr>
          <w:p>
            <w:pPr>
              <w:spacing w:after="0"/>
              <w:rPr>
                <w:sz w:val="13"/>
                <w:szCs w:val="13"/>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12.62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-3213735</wp:posOffset>
            </wp:positionV>
            <wp:extent cx="514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-3213735</wp:posOffset>
            </wp:positionV>
            <wp:extent cx="431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-2528570</wp:posOffset>
            </wp:positionV>
            <wp:extent cx="514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-2528570</wp:posOffset>
            </wp:positionV>
            <wp:extent cx="431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-1182370</wp:posOffset>
            </wp:positionV>
            <wp:extent cx="514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-1182370</wp:posOffset>
            </wp:positionV>
            <wp:extent cx="431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-401955</wp:posOffset>
            </wp:positionV>
            <wp:extent cx="514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-401955</wp:posOffset>
            </wp:positionV>
            <wp:extent cx="431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-161925</wp:posOffset>
            </wp:positionV>
            <wp:extent cx="514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-145415</wp:posOffset>
            </wp:positionV>
            <wp:extent cx="514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-161925</wp:posOffset>
            </wp:positionV>
            <wp:extent cx="431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-145415</wp:posOffset>
            </wp:positionV>
            <wp:extent cx="431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4" w:name="page5"/>
    <w:bookmarkEnd w:id="4"/>
    <w:p>
      <w:pPr>
        <w:ind w:left="3260"/>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80" w:type="dxa"/>
            <w:vAlign w:val="bottom"/>
          </w:tcPr>
          <w:p>
            <w:pPr>
              <w:spacing w:after="0"/>
              <w:rPr>
                <w:sz w:val="16"/>
                <w:szCs w:val="16"/>
                <w:color w:val="auto"/>
              </w:rPr>
            </w:pPr>
          </w:p>
        </w:tc>
        <w:tc>
          <w:tcPr>
            <w:tcW w:w="284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6"/>
                <w:szCs w:val="16"/>
                <w:color w:val="auto"/>
              </w:rPr>
            </w:pPr>
          </w:p>
        </w:tc>
        <w:tc>
          <w:tcPr>
            <w:tcW w:w="2380" w:type="dxa"/>
            <w:vAlign w:val="bottom"/>
            <w:gridSpan w:val="5"/>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0" w:type="dxa"/>
            <w:vAlign w:val="bottom"/>
          </w:tcPr>
          <w:p>
            <w:pPr>
              <w:spacing w:after="0"/>
              <w:rPr>
                <w:sz w:val="1"/>
                <w:szCs w:val="1"/>
                <w:color w:val="auto"/>
              </w:rPr>
            </w:pPr>
          </w:p>
        </w:tc>
      </w:tr>
      <w:tr>
        <w:trPr>
          <w:trHeight w:val="169"/>
        </w:trPr>
        <w:tc>
          <w:tcPr>
            <w:tcW w:w="5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8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From non-controlled, non-affiliated investments:</w:t>
            </w:r>
          </w:p>
        </w:tc>
        <w:tc>
          <w:tcPr>
            <w:tcW w:w="740" w:type="dxa"/>
            <w:vAlign w:val="bottom"/>
            <w:shd w:val="clear" w:color="auto" w:fill="CCECFF"/>
          </w:tcPr>
          <w:p>
            <w:pPr>
              <w:spacing w:after="0"/>
              <w:rPr>
                <w:sz w:val="15"/>
                <w:szCs w:val="15"/>
                <w:color w:val="auto"/>
              </w:rPr>
            </w:pPr>
          </w:p>
        </w:tc>
        <w:tc>
          <w:tcPr>
            <w:tcW w:w="46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w:t>
            </w:r>
          </w:p>
        </w:tc>
        <w:tc>
          <w:tcPr>
            <w:tcW w:w="74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16,195</w:t>
            </w:r>
          </w:p>
        </w:tc>
        <w:tc>
          <w:tcPr>
            <w:tcW w:w="22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13,725</w:t>
            </w:r>
          </w:p>
        </w:tc>
        <w:tc>
          <w:tcPr>
            <w:tcW w:w="22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33,052</w:t>
            </w:r>
          </w:p>
        </w:tc>
        <w:tc>
          <w:tcPr>
            <w:tcW w:w="20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29,026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Dividend</w:t>
            </w:r>
          </w:p>
        </w:tc>
        <w:tc>
          <w:tcPr>
            <w:tcW w:w="740" w:type="dxa"/>
            <w:vAlign w:val="bottom"/>
            <w:shd w:val="clear" w:color="auto" w:fill="CCECFF"/>
          </w:tcPr>
          <w:p>
            <w:pPr>
              <w:spacing w:after="0"/>
              <w:rPr>
                <w:sz w:val="15"/>
                <w:szCs w:val="15"/>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22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14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5"/>
                <w:szCs w:val="15"/>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1,154</w:t>
            </w:r>
          </w:p>
        </w:tc>
        <w:tc>
          <w:tcPr>
            <w:tcW w:w="20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80" w:type="dxa"/>
            <w:vAlign w:val="bottom"/>
            <w:gridSpan w:val="2"/>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5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income</w:t>
            </w:r>
          </w:p>
        </w:tc>
        <w:tc>
          <w:tcPr>
            <w:tcW w:w="7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3,510</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From non-controlled, affiliated investments:</w:t>
            </w:r>
          </w:p>
        </w:tc>
        <w:tc>
          <w:tcPr>
            <w:tcW w:w="740" w:type="dxa"/>
            <w:vAlign w:val="bottom"/>
            <w:shd w:val="clear" w:color="auto" w:fill="CCECFF"/>
          </w:tcPr>
          <w:p>
            <w:pPr>
              <w:spacing w:after="0"/>
              <w:rPr>
                <w:sz w:val="15"/>
                <w:szCs w:val="15"/>
                <w:color w:val="auto"/>
              </w:rPr>
            </w:pPr>
          </w:p>
        </w:tc>
        <w:tc>
          <w:tcPr>
            <w:tcW w:w="46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w:t>
            </w:r>
          </w:p>
        </w:tc>
        <w:tc>
          <w:tcPr>
            <w:tcW w:w="740" w:type="dxa"/>
            <w:vAlign w:val="bottom"/>
          </w:tcPr>
          <w:p>
            <w:pPr>
              <w:spacing w:after="0"/>
              <w:rPr>
                <w:sz w:val="15"/>
                <w:szCs w:val="15"/>
                <w:color w:val="auto"/>
              </w:rPr>
            </w:pPr>
          </w:p>
        </w:tc>
        <w:tc>
          <w:tcPr>
            <w:tcW w:w="6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Other income</w:t>
            </w:r>
          </w:p>
        </w:tc>
        <w:tc>
          <w:tcPr>
            <w:tcW w:w="740" w:type="dxa"/>
            <w:vAlign w:val="bottom"/>
            <w:shd w:val="clear" w:color="auto" w:fill="CCECFF"/>
          </w:tcPr>
          <w:p>
            <w:pPr>
              <w:spacing w:after="0"/>
              <w:rPr>
                <w:sz w:val="15"/>
                <w:szCs w:val="15"/>
                <w:color w:val="auto"/>
              </w:rPr>
            </w:pPr>
          </w:p>
        </w:tc>
        <w:tc>
          <w:tcPr>
            <w:tcW w:w="680" w:type="dxa"/>
            <w:vAlign w:val="bottom"/>
            <w:gridSpan w:val="2"/>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CFF"/>
          </w:tcPr>
          <w:p>
            <w:pPr>
              <w:spacing w:after="0"/>
              <w:rPr>
                <w:sz w:val="15"/>
                <w:szCs w:val="15"/>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2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140" w:type="dxa"/>
            <w:vAlign w:val="bottom"/>
            <w:gridSpan w:val="2"/>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15"/>
                <w:szCs w:val="15"/>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From controlled, affiliated investments:</w:t>
            </w: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Interest</w:t>
            </w:r>
          </w:p>
        </w:tc>
        <w:tc>
          <w:tcPr>
            <w:tcW w:w="740" w:type="dxa"/>
            <w:vAlign w:val="bottom"/>
            <w:shd w:val="clear" w:color="auto" w:fill="CCECFF"/>
          </w:tcPr>
          <w:p>
            <w:pPr>
              <w:spacing w:after="0"/>
              <w:rPr>
                <w:sz w:val="15"/>
                <w:szCs w:val="15"/>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3,240</w:t>
            </w:r>
          </w:p>
        </w:tc>
        <w:tc>
          <w:tcPr>
            <w:tcW w:w="22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2,659</w:t>
            </w:r>
          </w:p>
        </w:tc>
        <w:tc>
          <w:tcPr>
            <w:tcW w:w="2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6,405</w:t>
            </w:r>
          </w:p>
        </w:tc>
        <w:tc>
          <w:tcPr>
            <w:tcW w:w="20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5,322</w:t>
            </w: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Dividend</w:t>
            </w:r>
          </w:p>
        </w:tc>
        <w:tc>
          <w:tcPr>
            <w:tcW w:w="7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3,938</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2,275</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6,738</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Other Income</w:t>
            </w:r>
          </w:p>
        </w:tc>
        <w:tc>
          <w:tcPr>
            <w:tcW w:w="740" w:type="dxa"/>
            <w:vAlign w:val="bottom"/>
            <w:shd w:val="clear" w:color="auto" w:fill="CCECFF"/>
          </w:tcPr>
          <w:p>
            <w:pPr>
              <w:spacing w:after="0"/>
              <w:rPr>
                <w:sz w:val="15"/>
                <w:szCs w:val="15"/>
                <w:color w:val="auto"/>
              </w:rPr>
            </w:pPr>
          </w:p>
        </w:tc>
        <w:tc>
          <w:tcPr>
            <w:tcW w:w="680" w:type="dxa"/>
            <w:vAlign w:val="bottom"/>
            <w:gridSpan w:val="2"/>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CFF"/>
          </w:tcPr>
          <w:p>
            <w:pPr>
              <w:spacing w:after="0"/>
              <w:rPr>
                <w:sz w:val="15"/>
                <w:szCs w:val="15"/>
                <w:color w:val="auto"/>
              </w:rPr>
            </w:pPr>
          </w:p>
        </w:tc>
        <w:tc>
          <w:tcPr>
            <w:tcW w:w="114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5"/>
                <w:szCs w:val="15"/>
                <w:color w:val="auto"/>
              </w:rPr>
            </w:pPr>
          </w:p>
        </w:tc>
        <w:tc>
          <w:tcPr>
            <w:tcW w:w="1140" w:type="dxa"/>
            <w:vAlign w:val="bottom"/>
            <w:gridSpan w:val="2"/>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15"/>
                <w:szCs w:val="15"/>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80" w:type="dxa"/>
            <w:vAlign w:val="bottom"/>
            <w:tcBorders>
              <w:top w:val="single" w:sz="8" w:color="CCECFF"/>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74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24,635</w:t>
            </w:r>
          </w:p>
        </w:tc>
        <w:tc>
          <w:tcPr>
            <w:tcW w:w="220" w:type="dxa"/>
            <w:vAlign w:val="bottom"/>
            <w:tcBorders>
              <w:top w:val="single" w:sz="8" w:color="CCEC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19,435</w:t>
            </w:r>
          </w:p>
        </w:tc>
        <w:tc>
          <w:tcPr>
            <w:tcW w:w="220" w:type="dxa"/>
            <w:vAlign w:val="bottom"/>
            <w:tcBorders>
              <w:top w:val="single" w:sz="8" w:color="CCEC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50,971</w:t>
            </w:r>
          </w:p>
        </w:tc>
        <w:tc>
          <w:tcPr>
            <w:tcW w:w="200" w:type="dxa"/>
            <w:vAlign w:val="bottom"/>
            <w:tcBorders>
              <w:top w:val="single" w:sz="8" w:color="CCEC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40,169</w:t>
            </w:r>
          </w:p>
        </w:tc>
        <w:tc>
          <w:tcPr>
            <w:tcW w:w="60" w:type="dxa"/>
            <w:vAlign w:val="bottom"/>
            <w:tcBorders>
              <w:top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740" w:type="dxa"/>
            <w:vAlign w:val="bottom"/>
            <w:shd w:val="clear" w:color="auto" w:fill="CCECFF"/>
          </w:tcPr>
          <w:p>
            <w:pPr>
              <w:spacing w:after="0"/>
              <w:rPr>
                <w:sz w:val="14"/>
                <w:szCs w:val="14"/>
                <w:color w:val="auto"/>
              </w:rPr>
            </w:pPr>
          </w:p>
        </w:tc>
        <w:tc>
          <w:tcPr>
            <w:tcW w:w="4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Base management fee (See Note 3)</w:t>
            </w:r>
          </w:p>
        </w:tc>
        <w:tc>
          <w:tcPr>
            <w:tcW w:w="7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2,945</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2,634</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5,841</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Performance-based incentive fee (See Note 3)</w:t>
            </w:r>
          </w:p>
        </w:tc>
        <w:tc>
          <w:tcPr>
            <w:tcW w:w="740" w:type="dxa"/>
            <w:vAlign w:val="bottom"/>
            <w:shd w:val="clear" w:color="auto" w:fill="CCECFF"/>
          </w:tcPr>
          <w:p>
            <w:pPr>
              <w:spacing w:after="0"/>
              <w:rPr>
                <w:sz w:val="15"/>
                <w:szCs w:val="15"/>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2,704</w:t>
            </w:r>
          </w:p>
        </w:tc>
        <w:tc>
          <w:tcPr>
            <w:tcW w:w="22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2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5,885</w:t>
            </w:r>
          </w:p>
        </w:tc>
        <w:tc>
          <w:tcPr>
            <w:tcW w:w="20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3,064</w:t>
            </w: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and expenses on debt (See Note 11)</w:t>
            </w:r>
          </w:p>
        </w:tc>
        <w:tc>
          <w:tcPr>
            <w:tcW w:w="7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6,705</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13,344</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Administrative services expenses (See Note 3)</w:t>
            </w:r>
          </w:p>
        </w:tc>
        <w:tc>
          <w:tcPr>
            <w:tcW w:w="740" w:type="dxa"/>
            <w:vAlign w:val="bottom"/>
            <w:shd w:val="clear" w:color="auto" w:fill="CCECFF"/>
          </w:tcPr>
          <w:p>
            <w:pPr>
              <w:spacing w:after="0"/>
              <w:rPr>
                <w:sz w:val="15"/>
                <w:szCs w:val="15"/>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22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2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20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general and administrative expenses</w:t>
            </w:r>
          </w:p>
        </w:tc>
        <w:tc>
          <w:tcPr>
            <w:tcW w:w="7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1,309</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Expenses before provision for taxes</w:t>
            </w:r>
          </w:p>
        </w:tc>
        <w:tc>
          <w:tcPr>
            <w:tcW w:w="740" w:type="dxa"/>
            <w:vAlign w:val="bottom"/>
            <w:shd w:val="clear" w:color="auto" w:fill="CCECFF"/>
          </w:tcPr>
          <w:p>
            <w:pPr>
              <w:spacing w:after="0"/>
              <w:rPr>
                <w:sz w:val="14"/>
                <w:szCs w:val="14"/>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13,153</w:t>
            </w:r>
          </w:p>
        </w:tc>
        <w:tc>
          <w:tcPr>
            <w:tcW w:w="2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9,417</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26,667</w:t>
            </w:r>
          </w:p>
        </w:tc>
        <w:tc>
          <w:tcPr>
            <w:tcW w:w="2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19,936</w:t>
            </w: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Provision for taxes on net investment income</w:t>
            </w:r>
          </w:p>
        </w:tc>
        <w:tc>
          <w:tcPr>
            <w:tcW w:w="7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8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Total expenses</w:t>
            </w:r>
          </w:p>
        </w:tc>
        <w:tc>
          <w:tcPr>
            <w:tcW w:w="740" w:type="dxa"/>
            <w:vAlign w:val="bottom"/>
            <w:tcBorders>
              <w:bottom w:val="single" w:sz="8" w:color="auto"/>
            </w:tcBorders>
            <w:shd w:val="clear" w:color="auto" w:fill="CCECFF"/>
          </w:tcPr>
          <w:p>
            <w:pPr>
              <w:spacing w:after="0"/>
              <w:rPr>
                <w:sz w:val="14"/>
                <w:szCs w:val="14"/>
                <w:color w:val="auto"/>
              </w:rPr>
            </w:pPr>
          </w:p>
        </w:tc>
        <w:tc>
          <w:tcPr>
            <w:tcW w:w="4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13,253</w:t>
            </w:r>
          </w:p>
        </w:tc>
        <w:tc>
          <w:tcPr>
            <w:tcW w:w="220" w:type="dxa"/>
            <w:vAlign w:val="bottom"/>
            <w:tcBorders>
              <w:bottom w:val="single" w:sz="8" w:color="CCECFF"/>
            </w:tcBorders>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9,517</w:t>
            </w:r>
          </w:p>
        </w:tc>
        <w:tc>
          <w:tcPr>
            <w:tcW w:w="22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26,867</w:t>
            </w:r>
          </w:p>
        </w:tc>
        <w:tc>
          <w:tcPr>
            <w:tcW w:w="200" w:type="dxa"/>
            <w:vAlign w:val="bottom"/>
            <w:tcBorders>
              <w:bottom w:val="single" w:sz="8" w:color="CCECFF"/>
            </w:tcBorders>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20,136</w:t>
            </w:r>
          </w:p>
        </w:tc>
        <w:tc>
          <w:tcPr>
            <w:tcW w:w="6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7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11,382</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9,918</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24,104</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20,032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Realized and unrealized (loss) gain on investments and debt:</w:t>
            </w:r>
          </w:p>
        </w:tc>
        <w:tc>
          <w:tcPr>
            <w:tcW w:w="740" w:type="dxa"/>
            <w:vAlign w:val="bottom"/>
            <w:shd w:val="clear" w:color="auto" w:fill="CCECFF"/>
          </w:tcPr>
          <w:p>
            <w:pPr>
              <w:spacing w:after="0"/>
              <w:rPr>
                <w:sz w:val="14"/>
                <w:szCs w:val="14"/>
                <w:color w:val="auto"/>
              </w:rPr>
            </w:pPr>
          </w:p>
        </w:tc>
        <w:tc>
          <w:tcPr>
            <w:tcW w:w="4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 gain (loss) on:</w:t>
            </w: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Non-controlled, non-affiliated investments</w:t>
            </w:r>
          </w:p>
        </w:tc>
        <w:tc>
          <w:tcPr>
            <w:tcW w:w="740" w:type="dxa"/>
            <w:vAlign w:val="bottom"/>
            <w:shd w:val="clear" w:color="auto" w:fill="CCECFF"/>
          </w:tcPr>
          <w:p>
            <w:pPr>
              <w:spacing w:after="0"/>
              <w:rPr>
                <w:sz w:val="15"/>
                <w:szCs w:val="15"/>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6,920</w:t>
            </w:r>
          </w:p>
        </w:tc>
        <w:tc>
          <w:tcPr>
            <w:tcW w:w="22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2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9,993</w:t>
            </w:r>
          </w:p>
        </w:tc>
        <w:tc>
          <w:tcPr>
            <w:tcW w:w="20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(1,234 )</w:t>
            </w:r>
          </w:p>
        </w:tc>
        <w:tc>
          <w:tcPr>
            <w:tcW w:w="0" w:type="dxa"/>
            <w:vAlign w:val="bottom"/>
          </w:tcPr>
          <w:p>
            <w:pPr>
              <w:spacing w:after="0"/>
              <w:rPr>
                <w:sz w:val="1"/>
                <w:szCs w:val="1"/>
                <w:color w:val="auto"/>
              </w:rPr>
            </w:pPr>
          </w:p>
        </w:tc>
      </w:tr>
      <w:tr>
        <w:trPr>
          <w:trHeight w:val="175"/>
        </w:trPr>
        <w:tc>
          <w:tcPr>
            <w:tcW w:w="5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Non-controlled and controlled, affiliated investments</w:t>
            </w:r>
          </w:p>
        </w:tc>
        <w:tc>
          <w:tcPr>
            <w:tcW w:w="740" w:type="dxa"/>
            <w:vAlign w:val="bottom"/>
          </w:tcPr>
          <w:p>
            <w:pPr>
              <w:spacing w:after="0"/>
              <w:rPr>
                <w:sz w:val="15"/>
                <w:szCs w:val="15"/>
                <w:color w:val="auto"/>
              </w:rPr>
            </w:pPr>
          </w:p>
        </w:tc>
        <w:tc>
          <w:tcPr>
            <w:tcW w:w="6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w w:val="97"/>
              </w:rPr>
              <w:t>(22,380 )</w:t>
            </w:r>
          </w:p>
        </w:tc>
        <w:tc>
          <w:tcPr>
            <w:tcW w:w="28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1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(22,315 )</w:t>
            </w:r>
          </w:p>
        </w:tc>
        <w:tc>
          <w:tcPr>
            <w:tcW w:w="26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(1,052 )</w:t>
            </w:r>
          </w:p>
        </w:tc>
        <w:tc>
          <w:tcPr>
            <w:tcW w:w="0" w:type="dxa"/>
            <w:vAlign w:val="bottom"/>
          </w:tcPr>
          <w:p>
            <w:pPr>
              <w:spacing w:after="0"/>
              <w:rPr>
                <w:sz w:val="1"/>
                <w:szCs w:val="1"/>
                <w:color w:val="auto"/>
              </w:rPr>
            </w:pPr>
          </w:p>
        </w:tc>
      </w:tr>
      <w:tr>
        <w:trPr>
          <w:trHeight w:val="169"/>
        </w:trPr>
        <w:tc>
          <w:tcPr>
            <w:tcW w:w="57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Net realized gain (loss) on investments</w:t>
            </w:r>
          </w:p>
        </w:tc>
        <w:tc>
          <w:tcPr>
            <w:tcW w:w="740" w:type="dxa"/>
            <w:vAlign w:val="bottom"/>
            <w:tcBorders>
              <w:top w:val="single" w:sz="8" w:color="auto"/>
            </w:tcBorders>
            <w:shd w:val="clear" w:color="auto" w:fill="CCECFF"/>
          </w:tcPr>
          <w:p>
            <w:pPr>
              <w:spacing w:after="0"/>
              <w:rPr>
                <w:sz w:val="14"/>
                <w:szCs w:val="14"/>
                <w:color w:val="auto"/>
              </w:rPr>
            </w:pPr>
          </w:p>
        </w:tc>
        <w:tc>
          <w:tcPr>
            <w:tcW w:w="4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97"/>
              </w:rPr>
              <w:t>(15,460</w:t>
            </w:r>
          </w:p>
        </w:tc>
        <w:tc>
          <w:tcPr>
            <w:tcW w:w="220" w:type="dxa"/>
            <w:vAlign w:val="bottom"/>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280" w:type="dxa"/>
            <w:vAlign w:val="bottom"/>
            <w:tcBorders>
              <w:top w:val="single" w:sz="8" w:color="auto"/>
            </w:tcBorders>
            <w:shd w:val="clear" w:color="auto" w:fill="CCECFF"/>
          </w:tcPr>
          <w:p>
            <w:pPr>
              <w:spacing w:after="0"/>
              <w:rPr>
                <w:sz w:val="14"/>
                <w:szCs w:val="14"/>
                <w:color w:val="auto"/>
              </w:rPr>
            </w:pPr>
          </w:p>
        </w:tc>
        <w:tc>
          <w:tcPr>
            <w:tcW w:w="9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22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spacing w:after="0"/>
              <w:rPr>
                <w:sz w:val="14"/>
                <w:szCs w:val="14"/>
                <w:color w:val="auto"/>
              </w:rPr>
            </w:pPr>
          </w:p>
        </w:tc>
        <w:tc>
          <w:tcPr>
            <w:tcW w:w="9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(12,322</w:t>
            </w:r>
          </w:p>
        </w:tc>
        <w:tc>
          <w:tcPr>
            <w:tcW w:w="200" w:type="dxa"/>
            <w:vAlign w:val="bottom"/>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4"/>
              </w:rPr>
              <w:t>)</w:t>
            </w:r>
          </w:p>
        </w:tc>
        <w:tc>
          <w:tcPr>
            <w:tcW w:w="260" w:type="dxa"/>
            <w:vAlign w:val="bottom"/>
            <w:tcBorders>
              <w:top w:val="single" w:sz="8" w:color="auto"/>
            </w:tcBorders>
            <w:shd w:val="clear" w:color="auto" w:fill="CCECFF"/>
          </w:tcPr>
          <w:p>
            <w:pPr>
              <w:spacing w:after="0"/>
              <w:rPr>
                <w:sz w:val="14"/>
                <w:szCs w:val="14"/>
                <w:color w:val="auto"/>
              </w:rPr>
            </w:pPr>
          </w:p>
        </w:tc>
        <w:tc>
          <w:tcPr>
            <w:tcW w:w="9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(2,286</w:t>
            </w:r>
          </w:p>
        </w:tc>
        <w:tc>
          <w:tcPr>
            <w:tcW w:w="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75"/>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unrealized (depreciation) appreciation on:</w:t>
            </w: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Non-controlled, non-affiliated investments</w:t>
            </w:r>
          </w:p>
        </w:tc>
        <w:tc>
          <w:tcPr>
            <w:tcW w:w="740" w:type="dxa"/>
            <w:vAlign w:val="bottom"/>
            <w:shd w:val="clear" w:color="auto" w:fill="CCECFF"/>
          </w:tcPr>
          <w:p>
            <w:pPr>
              <w:spacing w:after="0"/>
              <w:rPr>
                <w:sz w:val="15"/>
                <w:szCs w:val="15"/>
                <w:color w:val="auto"/>
              </w:rPr>
            </w:pPr>
          </w:p>
        </w:tc>
        <w:tc>
          <w:tcPr>
            <w:tcW w:w="680" w:type="dxa"/>
            <w:vAlign w:val="bottom"/>
            <w:gridSpan w:val="2"/>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(5,425 )</w:t>
            </w:r>
          </w:p>
        </w:tc>
        <w:tc>
          <w:tcPr>
            <w:tcW w:w="280" w:type="dxa"/>
            <w:vAlign w:val="bottom"/>
            <w:shd w:val="clear" w:color="auto" w:fill="CCECFF"/>
          </w:tcPr>
          <w:p>
            <w:pPr>
              <w:spacing w:after="0"/>
              <w:rPr>
                <w:sz w:val="15"/>
                <w:szCs w:val="15"/>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12,151</w:t>
            </w:r>
          </w:p>
        </w:tc>
        <w:tc>
          <w:tcPr>
            <w:tcW w:w="2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140" w:type="dxa"/>
            <w:vAlign w:val="bottom"/>
            <w:gridSpan w:val="2"/>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(1,038 )</w:t>
            </w:r>
          </w:p>
        </w:tc>
        <w:tc>
          <w:tcPr>
            <w:tcW w:w="260" w:type="dxa"/>
            <w:vAlign w:val="bottom"/>
            <w:shd w:val="clear" w:color="auto" w:fill="CCECFF"/>
          </w:tcPr>
          <w:p>
            <w:pPr>
              <w:spacing w:after="0"/>
              <w:rPr>
                <w:sz w:val="15"/>
                <w:szCs w:val="15"/>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34,688</w:t>
            </w: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Controlled and non-controlled, affiliated investments</w:t>
            </w:r>
          </w:p>
        </w:tc>
        <w:tc>
          <w:tcPr>
            <w:tcW w:w="7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22,913</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(334 )</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15,029</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(81 )</w:t>
            </w:r>
          </w:p>
        </w:tc>
        <w:tc>
          <w:tcPr>
            <w:tcW w:w="0" w:type="dxa"/>
            <w:vAlign w:val="bottom"/>
          </w:tcPr>
          <w:p>
            <w:pPr>
              <w:spacing w:after="0"/>
              <w:rPr>
                <w:sz w:val="1"/>
                <w:szCs w:val="1"/>
                <w:color w:val="auto"/>
              </w:rPr>
            </w:pPr>
          </w:p>
        </w:tc>
      </w:tr>
      <w:tr>
        <w:trPr>
          <w:trHeight w:val="175"/>
        </w:trPr>
        <w:tc>
          <w:tcPr>
            <w:tcW w:w="57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Provision for taxes on unrealized appreciation on investments</w:t>
            </w:r>
          </w:p>
        </w:tc>
        <w:tc>
          <w:tcPr>
            <w:tcW w:w="740" w:type="dxa"/>
            <w:vAlign w:val="bottom"/>
            <w:shd w:val="clear" w:color="auto" w:fill="CCECFF"/>
          </w:tcPr>
          <w:p>
            <w:pPr>
              <w:spacing w:after="0"/>
              <w:rPr>
                <w:sz w:val="15"/>
                <w:szCs w:val="15"/>
                <w:color w:val="auto"/>
              </w:rPr>
            </w:pPr>
          </w:p>
        </w:tc>
        <w:tc>
          <w:tcPr>
            <w:tcW w:w="680" w:type="dxa"/>
            <w:vAlign w:val="bottom"/>
            <w:gridSpan w:val="2"/>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(3,800 )</w:t>
            </w:r>
          </w:p>
        </w:tc>
        <w:tc>
          <w:tcPr>
            <w:tcW w:w="280" w:type="dxa"/>
            <w:vAlign w:val="bottom"/>
            <w:shd w:val="clear" w:color="auto" w:fill="CCECFF"/>
          </w:tcPr>
          <w:p>
            <w:pPr>
              <w:spacing w:after="0"/>
              <w:rPr>
                <w:sz w:val="15"/>
                <w:szCs w:val="15"/>
                <w:color w:val="auto"/>
              </w:rPr>
            </w:pPr>
          </w:p>
        </w:tc>
        <w:tc>
          <w:tcPr>
            <w:tcW w:w="114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5"/>
                <w:szCs w:val="15"/>
                <w:color w:val="auto"/>
              </w:rPr>
            </w:pPr>
          </w:p>
        </w:tc>
        <w:tc>
          <w:tcPr>
            <w:tcW w:w="1140" w:type="dxa"/>
            <w:vAlign w:val="bottom"/>
            <w:gridSpan w:val="2"/>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(5,340 )</w:t>
            </w:r>
          </w:p>
        </w:tc>
        <w:tc>
          <w:tcPr>
            <w:tcW w:w="260" w:type="dxa"/>
            <w:vAlign w:val="bottom"/>
            <w:shd w:val="clear" w:color="auto" w:fill="CCECFF"/>
          </w:tcPr>
          <w:p>
            <w:pPr>
              <w:spacing w:after="0"/>
              <w:rPr>
                <w:sz w:val="15"/>
                <w:szCs w:val="15"/>
                <w:color w:val="auto"/>
              </w:rPr>
            </w:pPr>
          </w:p>
        </w:tc>
        <w:tc>
          <w:tcPr>
            <w:tcW w:w="980" w:type="dxa"/>
            <w:vAlign w:val="bottom"/>
            <w:gridSpan w:val="2"/>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5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Debt depreciation (appreciation) (See Note 5 and 11)</w:t>
            </w:r>
          </w:p>
        </w:tc>
        <w:tc>
          <w:tcPr>
            <w:tcW w:w="740" w:type="dxa"/>
            <w:vAlign w:val="bottom"/>
          </w:tcPr>
          <w:p>
            <w:pPr>
              <w:spacing w:after="0"/>
              <w:rPr>
                <w:sz w:val="15"/>
                <w:szCs w:val="15"/>
                <w:color w:val="auto"/>
              </w:rPr>
            </w:pPr>
          </w:p>
        </w:tc>
        <w:tc>
          <w:tcPr>
            <w:tcW w:w="6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(2,363 )</w:t>
            </w:r>
          </w:p>
        </w:tc>
        <w:tc>
          <w:tcPr>
            <w:tcW w:w="28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(10,535 )</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(14,549 )</w:t>
            </w:r>
          </w:p>
        </w:tc>
        <w:tc>
          <w:tcPr>
            <w:tcW w:w="0" w:type="dxa"/>
            <w:vAlign w:val="bottom"/>
          </w:tcPr>
          <w:p>
            <w:pPr>
              <w:spacing w:after="0"/>
              <w:rPr>
                <w:sz w:val="1"/>
                <w:szCs w:val="1"/>
                <w:color w:val="auto"/>
              </w:rPr>
            </w:pPr>
          </w:p>
        </w:tc>
      </w:tr>
      <w:tr>
        <w:trPr>
          <w:trHeight w:val="169"/>
        </w:trPr>
        <w:tc>
          <w:tcPr>
            <w:tcW w:w="578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Net change in unrealized (depreciation) appreciation on investments and debt</w:t>
            </w:r>
          </w:p>
        </w:tc>
        <w:tc>
          <w:tcPr>
            <w:tcW w:w="740" w:type="dxa"/>
            <w:vAlign w:val="bottom"/>
            <w:tcBorders>
              <w:top w:val="single" w:sz="8" w:color="auto"/>
              <w:bottom w:val="single" w:sz="8" w:color="auto"/>
            </w:tcBorders>
            <w:shd w:val="clear" w:color="auto" w:fill="CCECFF"/>
          </w:tcPr>
          <w:p>
            <w:pPr>
              <w:spacing w:after="0"/>
              <w:rPr>
                <w:sz w:val="14"/>
                <w:szCs w:val="14"/>
                <w:color w:val="auto"/>
              </w:rPr>
            </w:pPr>
          </w:p>
        </w:tc>
        <w:tc>
          <w:tcPr>
            <w:tcW w:w="4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11,324</w:t>
            </w:r>
          </w:p>
        </w:tc>
        <w:tc>
          <w:tcPr>
            <w:tcW w:w="220" w:type="dxa"/>
            <w:vAlign w:val="bottom"/>
            <w:tcBorders>
              <w:bottom w:val="single" w:sz="8" w:color="CCECFF"/>
            </w:tcBorders>
            <w:shd w:val="clear" w:color="auto" w:fill="CCECFF"/>
          </w:tcPr>
          <w:p>
            <w:pPr>
              <w:spacing w:after="0"/>
              <w:rPr>
                <w:sz w:val="14"/>
                <w:szCs w:val="14"/>
                <w:color w:val="auto"/>
              </w:rPr>
            </w:pPr>
          </w:p>
        </w:tc>
        <w:tc>
          <w:tcPr>
            <w:tcW w:w="280" w:type="dxa"/>
            <w:vAlign w:val="bottom"/>
            <w:tcBorders>
              <w:top w:val="single" w:sz="8" w:color="auto"/>
              <w:bottom w:val="single" w:sz="8" w:color="auto"/>
            </w:tcBorders>
            <w:shd w:val="clear" w:color="auto" w:fill="CCECFF"/>
          </w:tcPr>
          <w:p>
            <w:pPr>
              <w:spacing w:after="0"/>
              <w:rPr>
                <w:sz w:val="14"/>
                <w:szCs w:val="14"/>
                <w:color w:val="auto"/>
              </w:rPr>
            </w:pPr>
          </w:p>
        </w:tc>
        <w:tc>
          <w:tcPr>
            <w:tcW w:w="9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1,282</w:t>
            </w:r>
          </w:p>
        </w:tc>
        <w:tc>
          <w:tcPr>
            <w:tcW w:w="22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top w:val="single" w:sz="8" w:color="auto"/>
              <w:bottom w:val="single" w:sz="8" w:color="auto"/>
            </w:tcBorders>
            <w:shd w:val="clear" w:color="auto" w:fill="CCECFF"/>
          </w:tcPr>
          <w:p>
            <w:pPr>
              <w:spacing w:after="0"/>
              <w:rPr>
                <w:sz w:val="14"/>
                <w:szCs w:val="14"/>
                <w:color w:val="auto"/>
              </w:rPr>
            </w:pPr>
          </w:p>
        </w:tc>
        <w:tc>
          <w:tcPr>
            <w:tcW w:w="9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9,897</w:t>
            </w:r>
          </w:p>
        </w:tc>
        <w:tc>
          <w:tcPr>
            <w:tcW w:w="200" w:type="dxa"/>
            <w:vAlign w:val="bottom"/>
            <w:tcBorders>
              <w:bottom w:val="single" w:sz="8" w:color="CCECFF"/>
            </w:tcBorders>
            <w:shd w:val="clear" w:color="auto" w:fill="CCECFF"/>
          </w:tcPr>
          <w:p>
            <w:pPr>
              <w:spacing w:after="0"/>
              <w:rPr>
                <w:sz w:val="14"/>
                <w:szCs w:val="14"/>
                <w:color w:val="auto"/>
              </w:rPr>
            </w:pPr>
          </w:p>
        </w:tc>
        <w:tc>
          <w:tcPr>
            <w:tcW w:w="260" w:type="dxa"/>
            <w:vAlign w:val="bottom"/>
            <w:tcBorders>
              <w:top w:val="single" w:sz="8" w:color="auto"/>
              <w:bottom w:val="single" w:sz="8" w:color="auto"/>
            </w:tcBorders>
            <w:shd w:val="clear" w:color="auto" w:fill="CCECFF"/>
          </w:tcPr>
          <w:p>
            <w:pPr>
              <w:spacing w:after="0"/>
              <w:rPr>
                <w:sz w:val="14"/>
                <w:szCs w:val="14"/>
                <w:color w:val="auto"/>
              </w:rPr>
            </w:pPr>
          </w:p>
        </w:tc>
        <w:tc>
          <w:tcPr>
            <w:tcW w:w="9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20,058</w:t>
            </w:r>
          </w:p>
        </w:tc>
        <w:tc>
          <w:tcPr>
            <w:tcW w:w="6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realized and unrealized (loss) gain from investments and debt</w:t>
            </w:r>
          </w:p>
        </w:tc>
        <w:tc>
          <w:tcPr>
            <w:tcW w:w="740" w:type="dxa"/>
            <w:vAlign w:val="bottom"/>
          </w:tcPr>
          <w:p>
            <w:pPr>
              <w:spacing w:after="0"/>
              <w:rPr>
                <w:sz w:val="14"/>
                <w:szCs w:val="14"/>
                <w:color w:val="auto"/>
              </w:rPr>
            </w:pPr>
          </w:p>
        </w:tc>
        <w:tc>
          <w:tcPr>
            <w:tcW w:w="6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(4,136 )</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(2,424 )</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17,772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7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in net assets resulting from operations</w:t>
            </w:r>
          </w:p>
        </w:tc>
        <w:tc>
          <w:tcPr>
            <w:tcW w:w="740" w:type="dxa"/>
            <w:vAlign w:val="bottom"/>
            <w:tcBorders>
              <w:top w:val="single" w:sz="8" w:color="auto"/>
              <w:bottom w:val="single" w:sz="8" w:color="auto"/>
            </w:tcBorders>
            <w:shd w:val="clear" w:color="auto" w:fill="CCECFF"/>
          </w:tcPr>
          <w:p>
            <w:pPr>
              <w:jc w:val="right"/>
              <w:ind w:right="58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7,246</w:t>
            </w:r>
          </w:p>
        </w:tc>
        <w:tc>
          <w:tcPr>
            <w:tcW w:w="22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top w:val="single" w:sz="8" w:color="auto"/>
              <w:bottom w:val="single" w:sz="8" w:color="auto"/>
            </w:tcBorders>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11,673</w:t>
            </w:r>
          </w:p>
        </w:tc>
        <w:tc>
          <w:tcPr>
            <w:tcW w:w="22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top w:val="single" w:sz="8" w:color="auto"/>
              <w:bottom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21,679</w:t>
            </w:r>
          </w:p>
        </w:tc>
        <w:tc>
          <w:tcPr>
            <w:tcW w:w="20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top w:val="single" w:sz="8" w:color="auto"/>
              <w:bottom w:val="single" w:sz="8" w:color="auto"/>
            </w:tcBorders>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37,804</w:t>
            </w:r>
          </w:p>
        </w:tc>
        <w:tc>
          <w:tcPr>
            <w:tcW w:w="6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78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Net increase in net assets resulting from operations per common share (See Note 7)</w:t>
            </w:r>
          </w:p>
        </w:tc>
        <w:tc>
          <w:tcPr>
            <w:tcW w:w="740" w:type="dxa"/>
            <w:vAlign w:val="bottom"/>
            <w:tcBorders>
              <w:bottom w:val="single" w:sz="8" w:color="auto"/>
            </w:tcBorders>
          </w:tcPr>
          <w:p>
            <w:pPr>
              <w:jc w:val="right"/>
              <w:ind w:right="58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0.18</w:t>
            </w:r>
          </w:p>
        </w:tc>
        <w:tc>
          <w:tcPr>
            <w:tcW w:w="220" w:type="dxa"/>
            <w:vAlign w:val="bottom"/>
          </w:tcPr>
          <w:p>
            <w:pPr>
              <w:spacing w:after="0"/>
              <w:rPr>
                <w:sz w:val="13"/>
                <w:szCs w:val="13"/>
                <w:color w:val="auto"/>
              </w:rPr>
            </w:pPr>
          </w:p>
        </w:tc>
        <w:tc>
          <w:tcPr>
            <w:tcW w:w="280" w:type="dxa"/>
            <w:vAlign w:val="bottom"/>
            <w:tcBorders>
              <w:bottom w:val="single" w:sz="8" w:color="auto"/>
            </w:tcBorders>
          </w:tcPr>
          <w:p>
            <w:pPr>
              <w:jc w:val="right"/>
              <w:ind w:right="12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0.30</w:t>
            </w:r>
          </w:p>
        </w:tc>
        <w:tc>
          <w:tcPr>
            <w:tcW w:w="220" w:type="dxa"/>
            <w:vAlign w:val="bottom"/>
          </w:tcPr>
          <w:p>
            <w:pPr>
              <w:spacing w:after="0"/>
              <w:rPr>
                <w:sz w:val="13"/>
                <w:szCs w:val="13"/>
                <w:color w:val="auto"/>
              </w:rPr>
            </w:pPr>
          </w:p>
        </w:tc>
        <w:tc>
          <w:tcPr>
            <w:tcW w:w="240" w:type="dxa"/>
            <w:vAlign w:val="bottom"/>
            <w:tcBorders>
              <w:bottom w:val="single" w:sz="8" w:color="auto"/>
            </w:tcBorders>
          </w:tcPr>
          <w:p>
            <w:pPr>
              <w:jc w:val="right"/>
              <w:ind w:right="8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0.55</w:t>
            </w:r>
          </w:p>
        </w:tc>
        <w:tc>
          <w:tcPr>
            <w:tcW w:w="200" w:type="dxa"/>
            <w:vAlign w:val="bottom"/>
          </w:tcPr>
          <w:p>
            <w:pPr>
              <w:spacing w:after="0"/>
              <w:rPr>
                <w:sz w:val="13"/>
                <w:szCs w:val="13"/>
                <w:color w:val="auto"/>
              </w:rPr>
            </w:pPr>
          </w:p>
        </w:tc>
        <w:tc>
          <w:tcPr>
            <w:tcW w:w="260" w:type="dxa"/>
            <w:vAlign w:val="bottom"/>
            <w:tcBorders>
              <w:bottom w:val="single" w:sz="8" w:color="auto"/>
            </w:tcBorders>
          </w:tcPr>
          <w:p>
            <w:pPr>
              <w:jc w:val="right"/>
              <w:ind w:right="10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0.98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tcBorders>
              <w:bottom w:val="single" w:sz="8" w:color="CCECFF"/>
            </w:tcBorders>
            <w:shd w:val="clear" w:color="auto" w:fill="CCECFF"/>
          </w:tcPr>
          <w:p>
            <w:pPr>
              <w:ind w:left="20"/>
              <w:spacing w:after="0" w:line="156" w:lineRule="exact"/>
              <w:rPr>
                <w:sz w:val="20"/>
                <w:szCs w:val="20"/>
                <w:color w:val="auto"/>
              </w:rPr>
            </w:pPr>
            <w:r>
              <w:rPr>
                <w:rFonts w:ascii="Times New Roman" w:cs="Times New Roman" w:eastAsia="Times New Roman" w:hAnsi="Times New Roman"/>
                <w:sz w:val="14"/>
                <w:szCs w:val="14"/>
                <w:color w:val="auto"/>
              </w:rPr>
              <w:t>Net investment income per common share</w:t>
            </w:r>
          </w:p>
        </w:tc>
        <w:tc>
          <w:tcPr>
            <w:tcW w:w="740" w:type="dxa"/>
            <w:vAlign w:val="bottom"/>
            <w:tcBorders>
              <w:bottom w:val="single" w:sz="8" w:color="auto"/>
            </w:tcBorders>
            <w:shd w:val="clear" w:color="auto" w:fill="CCECFF"/>
          </w:tcPr>
          <w:p>
            <w:pPr>
              <w:jc w:val="right"/>
              <w:ind w:right="58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0.29</w:t>
            </w:r>
          </w:p>
        </w:tc>
        <w:tc>
          <w:tcPr>
            <w:tcW w:w="220" w:type="dxa"/>
            <w:vAlign w:val="bottom"/>
            <w:tcBorders>
              <w:bottom w:val="single" w:sz="8" w:color="CCECFF"/>
            </w:tcBorders>
            <w:shd w:val="clear" w:color="auto" w:fill="CCECFF"/>
          </w:tcPr>
          <w:p>
            <w:pPr>
              <w:spacing w:after="0"/>
              <w:rPr>
                <w:sz w:val="17"/>
                <w:szCs w:val="17"/>
                <w:color w:val="auto"/>
              </w:rPr>
            </w:pPr>
          </w:p>
        </w:tc>
        <w:tc>
          <w:tcPr>
            <w:tcW w:w="280" w:type="dxa"/>
            <w:vAlign w:val="bottom"/>
            <w:tcBorders>
              <w:bottom w:val="single" w:sz="8" w:color="auto"/>
            </w:tcBorders>
            <w:shd w:val="clear" w:color="auto" w:fill="CCECFF"/>
          </w:tcPr>
          <w:p>
            <w:pPr>
              <w:jc w:val="right"/>
              <w:ind w:right="12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0.26</w:t>
            </w:r>
          </w:p>
        </w:tc>
        <w:tc>
          <w:tcPr>
            <w:tcW w:w="22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jc w:val="right"/>
              <w:ind w:right="8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0.61</w:t>
            </w:r>
          </w:p>
        </w:tc>
        <w:tc>
          <w:tcPr>
            <w:tcW w:w="200" w:type="dxa"/>
            <w:vAlign w:val="bottom"/>
            <w:tcBorders>
              <w:bottom w:val="single" w:sz="8" w:color="CCECFF"/>
            </w:tcBorders>
            <w:shd w:val="clear" w:color="auto" w:fill="CCECFF"/>
          </w:tcPr>
          <w:p>
            <w:pPr>
              <w:spacing w:after="0"/>
              <w:rPr>
                <w:sz w:val="17"/>
                <w:szCs w:val="17"/>
                <w:color w:val="auto"/>
              </w:rPr>
            </w:pPr>
          </w:p>
        </w:tc>
        <w:tc>
          <w:tcPr>
            <w:tcW w:w="260" w:type="dxa"/>
            <w:vAlign w:val="bottom"/>
            <w:tcBorders>
              <w:bottom w:val="single" w:sz="8" w:color="auto"/>
            </w:tcBorders>
            <w:shd w:val="clear" w:color="auto" w:fill="CCECFF"/>
          </w:tcPr>
          <w:p>
            <w:pPr>
              <w:jc w:val="right"/>
              <w:ind w:right="10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0.52</w:t>
            </w:r>
          </w:p>
        </w:tc>
        <w:tc>
          <w:tcPr>
            <w:tcW w:w="6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-3060065</wp:posOffset>
            </wp:positionV>
            <wp:extent cx="514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-3060065</wp:posOffset>
            </wp:positionV>
            <wp:extent cx="514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-3060065</wp:posOffset>
            </wp:positionV>
            <wp:extent cx="431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-3060065</wp:posOffset>
            </wp:positionV>
            <wp:extent cx="431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-1910715</wp:posOffset>
            </wp:positionV>
            <wp:extent cx="514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-1910715</wp:posOffset>
            </wp:positionV>
            <wp:extent cx="514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-1910715</wp:posOffset>
            </wp:positionV>
            <wp:extent cx="431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-1910715</wp:posOffset>
            </wp:positionV>
            <wp:extent cx="431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-539750</wp:posOffset>
            </wp:positionV>
            <wp:extent cx="514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-539750</wp:posOffset>
            </wp:positionV>
            <wp:extent cx="514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-539750</wp:posOffset>
            </wp:positionV>
            <wp:extent cx="431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-539750</wp:posOffset>
            </wp:positionV>
            <wp:extent cx="431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-299720</wp:posOffset>
            </wp:positionV>
            <wp:extent cx="514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-282575</wp:posOffset>
            </wp:positionV>
            <wp:extent cx="514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-299720</wp:posOffset>
            </wp:positionV>
            <wp:extent cx="514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-282575</wp:posOffset>
            </wp:positionV>
            <wp:extent cx="514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-299720</wp:posOffset>
            </wp:positionV>
            <wp:extent cx="431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-282575</wp:posOffset>
            </wp:positionV>
            <wp:extent cx="431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-299720</wp:posOffset>
            </wp:positionV>
            <wp:extent cx="431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-282575</wp:posOffset>
            </wp:positionV>
            <wp:extent cx="431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-25400</wp:posOffset>
            </wp:positionV>
            <wp:extent cx="514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-8255</wp:posOffset>
            </wp:positionV>
            <wp:extent cx="514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-25400</wp:posOffset>
            </wp:positionV>
            <wp:extent cx="514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-8255</wp:posOffset>
            </wp:positionV>
            <wp:extent cx="514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-25400</wp:posOffset>
            </wp:positionV>
            <wp:extent cx="431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-8255</wp:posOffset>
            </wp:positionV>
            <wp:extent cx="431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5" w:name="page6"/>
    <w:bookmarkEnd w:id="5"/>
    <w:p>
      <w:pPr>
        <w:ind w:left="3260"/>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NET ASSETS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issue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2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6"/>
                <w:szCs w:val="16"/>
                <w:color w:val="auto"/>
              </w:rPr>
            </w:pPr>
          </w:p>
        </w:tc>
        <w:tc>
          <w:tcPr>
            <w:tcW w:w="2400" w:type="dxa"/>
            <w:vAlign w:val="bottom"/>
            <w:gridSpan w:val="4"/>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169"/>
        </w:trPr>
        <w:tc>
          <w:tcPr>
            <w:tcW w:w="57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9"/>
        </w:trPr>
        <w:tc>
          <w:tcPr>
            <w:tcW w:w="5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in net assets from operations:</w:t>
            </w:r>
          </w:p>
        </w:tc>
        <w:tc>
          <w:tcPr>
            <w:tcW w:w="20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tcBorders>
              <w:right w:val="single" w:sz="8" w:color="CCECFF"/>
            </w:tcBorders>
            <w:shd w:val="clear" w:color="auto" w:fill="CCECFF"/>
          </w:tcPr>
          <w:p>
            <w:pPr>
              <w:spacing w:after="0"/>
              <w:rPr>
                <w:sz w:val="14"/>
                <w:szCs w:val="14"/>
                <w:color w:val="auto"/>
              </w:rPr>
            </w:pPr>
          </w:p>
        </w:tc>
      </w:tr>
      <w:tr>
        <w:trPr>
          <w:trHeight w:val="175"/>
        </w:trPr>
        <w:tc>
          <w:tcPr>
            <w:tcW w:w="5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investment income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11,382</w:t>
            </w:r>
          </w:p>
        </w:tc>
        <w:tc>
          <w:tcPr>
            <w:tcW w:w="22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9,918</w:t>
            </w:r>
          </w:p>
        </w:tc>
        <w:tc>
          <w:tcPr>
            <w:tcW w:w="2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24,104</w:t>
            </w:r>
          </w:p>
        </w:tc>
        <w:tc>
          <w:tcPr>
            <w:tcW w:w="2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20,032</w:t>
            </w:r>
          </w:p>
        </w:tc>
      </w:tr>
      <w:tr>
        <w:trPr>
          <w:trHeight w:val="176"/>
        </w:trPr>
        <w:tc>
          <w:tcPr>
            <w:tcW w:w="57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Net realized gain (loss) on investments</w:t>
            </w:r>
          </w:p>
        </w:tc>
        <w:tc>
          <w:tcPr>
            <w:tcW w:w="200" w:type="dxa"/>
            <w:vAlign w:val="bottom"/>
            <w:shd w:val="clear" w:color="auto" w:fill="CCECFF"/>
          </w:tcPr>
          <w:p>
            <w:pPr>
              <w:spacing w:after="0"/>
              <w:rPr>
                <w:sz w:val="15"/>
                <w:szCs w:val="15"/>
                <w:color w:val="auto"/>
              </w:rPr>
            </w:pPr>
          </w:p>
        </w:tc>
        <w:tc>
          <w:tcPr>
            <w:tcW w:w="12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4"/>
                <w:szCs w:val="14"/>
                <w:color w:val="auto"/>
              </w:rPr>
              <w:t>(15,460 )</w:t>
            </w:r>
          </w:p>
        </w:tc>
        <w:tc>
          <w:tcPr>
            <w:tcW w:w="280" w:type="dxa"/>
            <w:vAlign w:val="bottom"/>
            <w:shd w:val="clear" w:color="auto" w:fill="CCECFF"/>
          </w:tcPr>
          <w:p>
            <w:pPr>
              <w:spacing w:after="0"/>
              <w:rPr>
                <w:sz w:val="15"/>
                <w:szCs w:val="15"/>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20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1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4"/>
                <w:szCs w:val="14"/>
                <w:color w:val="auto"/>
              </w:rPr>
              <w:t>(12,322 )</w:t>
            </w:r>
          </w:p>
        </w:tc>
        <w:tc>
          <w:tcPr>
            <w:tcW w:w="280" w:type="dxa"/>
            <w:vAlign w:val="bottom"/>
            <w:shd w:val="clear" w:color="auto" w:fill="CCECFF"/>
          </w:tcPr>
          <w:p>
            <w:pPr>
              <w:spacing w:after="0"/>
              <w:rPr>
                <w:sz w:val="15"/>
                <w:szCs w:val="15"/>
                <w:color w:val="auto"/>
              </w:rPr>
            </w:pPr>
          </w:p>
        </w:tc>
        <w:tc>
          <w:tcPr>
            <w:tcW w:w="980" w:type="dxa"/>
            <w:vAlign w:val="bottom"/>
            <w:tcBorders>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(2,286 )</w:t>
            </w:r>
          </w:p>
        </w:tc>
      </w:tr>
      <w:tr>
        <w:trPr>
          <w:trHeight w:val="176"/>
        </w:trPr>
        <w:tc>
          <w:tcPr>
            <w:tcW w:w="5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change in unrealized (depreciation) appreciation on investments</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17,487</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11,817</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13,990</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34,607</w:t>
            </w:r>
          </w:p>
        </w:tc>
      </w:tr>
      <w:tr>
        <w:trPr>
          <w:trHeight w:val="175"/>
        </w:trPr>
        <w:tc>
          <w:tcPr>
            <w:tcW w:w="57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Net change in provision for taxes on unrealized appreciation on investments</w:t>
            </w:r>
          </w:p>
        </w:tc>
        <w:tc>
          <w:tcPr>
            <w:tcW w:w="200" w:type="dxa"/>
            <w:vAlign w:val="bottom"/>
            <w:shd w:val="clear" w:color="auto" w:fill="CCECFF"/>
          </w:tcPr>
          <w:p>
            <w:pPr>
              <w:spacing w:after="0"/>
              <w:rPr>
                <w:sz w:val="15"/>
                <w:szCs w:val="15"/>
                <w:color w:val="auto"/>
              </w:rPr>
            </w:pPr>
          </w:p>
        </w:tc>
        <w:tc>
          <w:tcPr>
            <w:tcW w:w="12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4"/>
                <w:szCs w:val="14"/>
                <w:color w:val="auto"/>
              </w:rPr>
              <w:t>(3,800 )</w:t>
            </w:r>
          </w:p>
        </w:tc>
        <w:tc>
          <w:tcPr>
            <w:tcW w:w="280" w:type="dxa"/>
            <w:vAlign w:val="bottom"/>
            <w:shd w:val="clear" w:color="auto" w:fill="CCECFF"/>
          </w:tcPr>
          <w:p>
            <w:pPr>
              <w:spacing w:after="0"/>
              <w:rPr>
                <w:sz w:val="15"/>
                <w:szCs w:val="15"/>
                <w:color w:val="auto"/>
              </w:rPr>
            </w:pPr>
          </w:p>
        </w:tc>
        <w:tc>
          <w:tcPr>
            <w:tcW w:w="112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5"/>
                <w:szCs w:val="15"/>
                <w:color w:val="auto"/>
              </w:rPr>
            </w:pPr>
          </w:p>
        </w:tc>
        <w:tc>
          <w:tcPr>
            <w:tcW w:w="11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4"/>
                <w:szCs w:val="14"/>
                <w:color w:val="auto"/>
              </w:rPr>
              <w:t>(5,340 )</w:t>
            </w:r>
          </w:p>
        </w:tc>
        <w:tc>
          <w:tcPr>
            <w:tcW w:w="280" w:type="dxa"/>
            <w:vAlign w:val="bottom"/>
            <w:shd w:val="clear" w:color="auto" w:fill="CCECFF"/>
          </w:tcPr>
          <w:p>
            <w:pPr>
              <w:spacing w:after="0"/>
              <w:rPr>
                <w:sz w:val="15"/>
                <w:szCs w:val="15"/>
                <w:color w:val="auto"/>
              </w:rPr>
            </w:pPr>
          </w:p>
        </w:tc>
        <w:tc>
          <w:tcPr>
            <w:tcW w:w="980" w:type="dxa"/>
            <w:vAlign w:val="bottom"/>
            <w:tcBorders>
              <w:right w:val="single" w:sz="8" w:color="CCECFF"/>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5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change in unrealized depreciation (appreciation) on debt</w:t>
            </w:r>
          </w:p>
        </w:tc>
        <w:tc>
          <w:tcPr>
            <w:tcW w:w="20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(2,363 )</w:t>
            </w:r>
          </w:p>
        </w:tc>
        <w:tc>
          <w:tcPr>
            <w:tcW w:w="2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(10,535 )</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(14,549 )</w:t>
            </w:r>
          </w:p>
        </w:tc>
      </w:tr>
      <w:tr>
        <w:trPr>
          <w:trHeight w:val="169"/>
        </w:trPr>
        <w:tc>
          <w:tcPr>
            <w:tcW w:w="578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Net increase in net assets resulting from operations</w:t>
            </w:r>
          </w:p>
        </w:tc>
        <w:tc>
          <w:tcPr>
            <w:tcW w:w="200" w:type="dxa"/>
            <w:vAlign w:val="bottom"/>
            <w:tcBorders>
              <w:top w:val="single" w:sz="8" w:color="auto"/>
              <w:bottom w:val="single" w:sz="8" w:color="auto"/>
            </w:tcBorders>
            <w:shd w:val="clear" w:color="auto" w:fill="CCECFF"/>
          </w:tcPr>
          <w:p>
            <w:pPr>
              <w:spacing w:after="0"/>
              <w:rPr>
                <w:sz w:val="14"/>
                <w:szCs w:val="14"/>
                <w:color w:val="auto"/>
              </w:rPr>
            </w:pP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7,246</w:t>
            </w:r>
          </w:p>
        </w:tc>
        <w:tc>
          <w:tcPr>
            <w:tcW w:w="220" w:type="dxa"/>
            <w:vAlign w:val="bottom"/>
            <w:tcBorders>
              <w:bottom w:val="single" w:sz="8" w:color="CCECFF"/>
            </w:tcBorders>
            <w:shd w:val="clear" w:color="auto" w:fill="CCECFF"/>
          </w:tcPr>
          <w:p>
            <w:pPr>
              <w:spacing w:after="0"/>
              <w:rPr>
                <w:sz w:val="14"/>
                <w:szCs w:val="14"/>
                <w:color w:val="auto"/>
              </w:rPr>
            </w:pPr>
          </w:p>
        </w:tc>
        <w:tc>
          <w:tcPr>
            <w:tcW w:w="280" w:type="dxa"/>
            <w:vAlign w:val="bottom"/>
            <w:tcBorders>
              <w:top w:val="single" w:sz="8" w:color="auto"/>
              <w:bottom w:val="single" w:sz="8" w:color="auto"/>
            </w:tcBorders>
            <w:shd w:val="clear" w:color="auto" w:fill="CCECFF"/>
          </w:tcPr>
          <w:p>
            <w:pPr>
              <w:spacing w:after="0"/>
              <w:rPr>
                <w:sz w:val="14"/>
                <w:szCs w:val="14"/>
                <w:color w:val="auto"/>
              </w:rPr>
            </w:pPr>
          </w:p>
        </w:tc>
        <w:tc>
          <w:tcPr>
            <w:tcW w:w="9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11,673</w:t>
            </w:r>
          </w:p>
        </w:tc>
        <w:tc>
          <w:tcPr>
            <w:tcW w:w="20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top w:val="single" w:sz="8" w:color="auto"/>
              <w:bottom w:val="single" w:sz="8" w:color="auto"/>
            </w:tcBorders>
            <w:shd w:val="clear" w:color="auto" w:fill="CCECFF"/>
          </w:tcPr>
          <w:p>
            <w:pPr>
              <w:spacing w:after="0"/>
              <w:rPr>
                <w:sz w:val="14"/>
                <w:szCs w:val="14"/>
                <w:color w:val="auto"/>
              </w:rPr>
            </w:pPr>
          </w:p>
        </w:tc>
        <w:tc>
          <w:tcPr>
            <w:tcW w:w="9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21,679</w:t>
            </w:r>
          </w:p>
        </w:tc>
        <w:tc>
          <w:tcPr>
            <w:tcW w:w="200" w:type="dxa"/>
            <w:vAlign w:val="bottom"/>
            <w:tcBorders>
              <w:bottom w:val="single" w:sz="8" w:color="CCECFF"/>
            </w:tcBorders>
            <w:shd w:val="clear" w:color="auto" w:fill="CCECFF"/>
          </w:tcPr>
          <w:p>
            <w:pPr>
              <w:spacing w:after="0"/>
              <w:rPr>
                <w:sz w:val="14"/>
                <w:szCs w:val="14"/>
                <w:color w:val="auto"/>
              </w:rPr>
            </w:pPr>
          </w:p>
        </w:tc>
        <w:tc>
          <w:tcPr>
            <w:tcW w:w="280" w:type="dxa"/>
            <w:vAlign w:val="bottom"/>
            <w:tcBorders>
              <w:top w:val="single" w:sz="8" w:color="auto"/>
              <w:bottom w:val="single" w:sz="8" w:color="auto"/>
            </w:tcBorders>
            <w:shd w:val="clear" w:color="auto" w:fill="CCECFF"/>
          </w:tcPr>
          <w:p>
            <w:pPr>
              <w:spacing w:after="0"/>
              <w:rPr>
                <w:sz w:val="14"/>
                <w:szCs w:val="14"/>
                <w:color w:val="auto"/>
              </w:rPr>
            </w:pPr>
          </w:p>
        </w:tc>
        <w:tc>
          <w:tcPr>
            <w:tcW w:w="980" w:type="dxa"/>
            <w:vAlign w:val="bottom"/>
            <w:tcBorders>
              <w:top w:val="single" w:sz="8" w:color="auto"/>
              <w:bottom w:val="single" w:sz="8" w:color="auto"/>
              <w:right w:val="single" w:sz="8" w:color="CCECFF"/>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37,804</w:t>
            </w:r>
          </w:p>
        </w:tc>
      </w:tr>
      <w:tr>
        <w:trPr>
          <w:trHeight w:val="169"/>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 to stockholders:</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6"/>
        </w:trPr>
        <w:tc>
          <w:tcPr>
            <w:tcW w:w="57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Distribution of net investment income</w:t>
            </w:r>
          </w:p>
        </w:tc>
        <w:tc>
          <w:tcPr>
            <w:tcW w:w="200" w:type="dxa"/>
            <w:vAlign w:val="bottom"/>
            <w:shd w:val="clear" w:color="auto" w:fill="CCECFF"/>
          </w:tcPr>
          <w:p>
            <w:pPr>
              <w:spacing w:after="0"/>
              <w:rPr>
                <w:sz w:val="15"/>
                <w:szCs w:val="15"/>
                <w:color w:val="auto"/>
              </w:rPr>
            </w:pPr>
          </w:p>
        </w:tc>
        <w:tc>
          <w:tcPr>
            <w:tcW w:w="12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4"/>
                <w:szCs w:val="14"/>
                <w:color w:val="auto"/>
              </w:rPr>
              <w:t>(11,255 )</w:t>
            </w:r>
          </w:p>
        </w:tc>
        <w:tc>
          <w:tcPr>
            <w:tcW w:w="280" w:type="dxa"/>
            <w:vAlign w:val="bottom"/>
            <w:shd w:val="clear" w:color="auto" w:fill="CCECFF"/>
          </w:tcPr>
          <w:p>
            <w:pPr>
              <w:spacing w:after="0"/>
              <w:rPr>
                <w:sz w:val="15"/>
                <w:szCs w:val="15"/>
                <w:color w:val="auto"/>
              </w:rPr>
            </w:pPr>
          </w:p>
        </w:tc>
        <w:tc>
          <w:tcPr>
            <w:tcW w:w="11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4"/>
                <w:szCs w:val="14"/>
                <w:color w:val="auto"/>
              </w:rPr>
              <w:t>(11,050 )</w:t>
            </w:r>
          </w:p>
        </w:tc>
        <w:tc>
          <w:tcPr>
            <w:tcW w:w="240" w:type="dxa"/>
            <w:vAlign w:val="bottom"/>
            <w:shd w:val="clear" w:color="auto" w:fill="CCECFF"/>
          </w:tcPr>
          <w:p>
            <w:pPr>
              <w:spacing w:after="0"/>
              <w:rPr>
                <w:sz w:val="15"/>
                <w:szCs w:val="15"/>
                <w:color w:val="auto"/>
              </w:rPr>
            </w:pPr>
          </w:p>
        </w:tc>
        <w:tc>
          <w:tcPr>
            <w:tcW w:w="11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4"/>
                <w:szCs w:val="14"/>
                <w:color w:val="auto"/>
              </w:rPr>
              <w:t>(22,361 )</w:t>
            </w:r>
          </w:p>
        </w:tc>
        <w:tc>
          <w:tcPr>
            <w:tcW w:w="280" w:type="dxa"/>
            <w:vAlign w:val="bottom"/>
            <w:shd w:val="clear" w:color="auto" w:fill="CCECFF"/>
          </w:tcPr>
          <w:p>
            <w:pPr>
              <w:spacing w:after="0"/>
              <w:rPr>
                <w:sz w:val="15"/>
                <w:szCs w:val="15"/>
                <w:color w:val="auto"/>
              </w:rPr>
            </w:pPr>
          </w:p>
        </w:tc>
        <w:tc>
          <w:tcPr>
            <w:tcW w:w="980" w:type="dxa"/>
            <w:vAlign w:val="bottom"/>
            <w:tcBorders>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(22,100 )</w:t>
            </w:r>
          </w:p>
        </w:tc>
      </w:tr>
      <w:tr>
        <w:trPr>
          <w:trHeight w:val="20"/>
        </w:trPr>
        <w:tc>
          <w:tcPr>
            <w:tcW w:w="5780" w:type="dxa"/>
            <w:vAlign w:val="bottom"/>
            <w:shd w:val="clear" w:color="auto" w:fill="CCEC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tcBorders>
              <w:right w:val="single" w:sz="8" w:color="CCECFF"/>
            </w:tcBorders>
            <w:shd w:val="clear" w:color="auto" w:fill="000000"/>
          </w:tcPr>
          <w:p>
            <w:pPr>
              <w:spacing w:after="0" w:line="20" w:lineRule="exact"/>
              <w:rPr>
                <w:sz w:val="1"/>
                <w:szCs w:val="1"/>
                <w:color w:val="auto"/>
              </w:rPr>
            </w:pPr>
          </w:p>
        </w:tc>
      </w:tr>
      <w:tr>
        <w:trPr>
          <w:trHeight w:val="169"/>
        </w:trPr>
        <w:tc>
          <w:tcPr>
            <w:tcW w:w="57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Total distributions to stockholders</w:t>
            </w:r>
          </w:p>
        </w:tc>
        <w:tc>
          <w:tcPr>
            <w:tcW w:w="20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(11,255 )</w:t>
            </w:r>
          </w:p>
        </w:tc>
        <w:tc>
          <w:tcPr>
            <w:tcW w:w="2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(11,050 )</w:t>
            </w:r>
          </w:p>
        </w:tc>
        <w:tc>
          <w:tcPr>
            <w:tcW w:w="24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(22,361 )</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(22,100 )</w:t>
            </w:r>
          </w:p>
        </w:tc>
      </w:tr>
      <w:tr>
        <w:trPr>
          <w:trHeight w:val="169"/>
        </w:trPr>
        <w:tc>
          <w:tcPr>
            <w:tcW w:w="5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Capital transactions</w:t>
            </w:r>
          </w:p>
        </w:tc>
        <w:tc>
          <w:tcPr>
            <w:tcW w:w="200" w:type="dxa"/>
            <w:vAlign w:val="bottom"/>
            <w:tcBorders>
              <w:top w:val="single" w:sz="8" w:color="auto"/>
            </w:tcBorders>
            <w:shd w:val="clear" w:color="auto" w:fill="CCECFF"/>
          </w:tcPr>
          <w:p>
            <w:pPr>
              <w:spacing w:after="0"/>
              <w:rPr>
                <w:sz w:val="14"/>
                <w:szCs w:val="14"/>
                <w:color w:val="auto"/>
              </w:rPr>
            </w:pPr>
          </w:p>
        </w:tc>
        <w:tc>
          <w:tcPr>
            <w:tcW w:w="1000" w:type="dxa"/>
            <w:vAlign w:val="bottom"/>
            <w:tcBorders>
              <w:top w:val="single" w:sz="8" w:color="auto"/>
            </w:tcBorders>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80" w:type="dxa"/>
            <w:vAlign w:val="bottom"/>
            <w:tcBorders>
              <w:top w:val="single" w:sz="8" w:color="auto"/>
            </w:tcBorders>
            <w:shd w:val="clear" w:color="auto" w:fill="CCECFF"/>
          </w:tcPr>
          <w:p>
            <w:pPr>
              <w:spacing w:after="0"/>
              <w:rPr>
                <w:sz w:val="14"/>
                <w:szCs w:val="14"/>
                <w:color w:val="auto"/>
              </w:rPr>
            </w:pPr>
          </w:p>
        </w:tc>
        <w:tc>
          <w:tcPr>
            <w:tcW w:w="920" w:type="dxa"/>
            <w:vAlign w:val="bottom"/>
            <w:tcBorders>
              <w:top w:val="single" w:sz="8" w:color="auto"/>
            </w:tcBorders>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spacing w:after="0"/>
              <w:rPr>
                <w:sz w:val="14"/>
                <w:szCs w:val="14"/>
                <w:color w:val="auto"/>
              </w:rPr>
            </w:pPr>
          </w:p>
        </w:tc>
        <w:tc>
          <w:tcPr>
            <w:tcW w:w="940" w:type="dxa"/>
            <w:vAlign w:val="bottom"/>
            <w:tcBorders>
              <w:top w:val="single" w:sz="8" w:color="auto"/>
            </w:tcBorders>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280" w:type="dxa"/>
            <w:vAlign w:val="bottom"/>
            <w:tcBorders>
              <w:top w:val="single" w:sz="8" w:color="auto"/>
            </w:tcBorders>
            <w:shd w:val="clear" w:color="auto" w:fill="CCECFF"/>
          </w:tcPr>
          <w:p>
            <w:pPr>
              <w:spacing w:after="0"/>
              <w:rPr>
                <w:sz w:val="14"/>
                <w:szCs w:val="14"/>
                <w:color w:val="auto"/>
              </w:rPr>
            </w:pPr>
          </w:p>
        </w:tc>
        <w:tc>
          <w:tcPr>
            <w:tcW w:w="980" w:type="dxa"/>
            <w:vAlign w:val="bottom"/>
            <w:tcBorders>
              <w:top w:val="single" w:sz="8" w:color="auto"/>
              <w:right w:val="single" w:sz="8" w:color="CCECFF"/>
            </w:tcBorders>
            <w:shd w:val="clear" w:color="auto" w:fill="CCECFF"/>
          </w:tcPr>
          <w:p>
            <w:pPr>
              <w:spacing w:after="0"/>
              <w:rPr>
                <w:sz w:val="14"/>
                <w:szCs w:val="14"/>
                <w:color w:val="auto"/>
              </w:rPr>
            </w:pPr>
          </w:p>
        </w:tc>
      </w:tr>
      <w:tr>
        <w:trPr>
          <w:trHeight w:val="175"/>
        </w:trPr>
        <w:tc>
          <w:tcPr>
            <w:tcW w:w="5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Public offering (See Note 1)</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26,995</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30,514</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57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Offering costs</w:t>
            </w:r>
          </w:p>
        </w:tc>
        <w:tc>
          <w:tcPr>
            <w:tcW w:w="200" w:type="dxa"/>
            <w:vAlign w:val="bottom"/>
            <w:shd w:val="clear" w:color="auto" w:fill="CCECFF"/>
          </w:tcPr>
          <w:p>
            <w:pPr>
              <w:spacing w:after="0"/>
              <w:rPr>
                <w:sz w:val="15"/>
                <w:szCs w:val="15"/>
                <w:color w:val="auto"/>
              </w:rPr>
            </w:pPr>
          </w:p>
        </w:tc>
        <w:tc>
          <w:tcPr>
            <w:tcW w:w="12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4"/>
                <w:szCs w:val="14"/>
                <w:color w:val="auto"/>
              </w:rPr>
              <w:t>(405 )</w:t>
            </w:r>
          </w:p>
        </w:tc>
        <w:tc>
          <w:tcPr>
            <w:tcW w:w="280" w:type="dxa"/>
            <w:vAlign w:val="bottom"/>
            <w:shd w:val="clear" w:color="auto" w:fill="CCECFF"/>
          </w:tcPr>
          <w:p>
            <w:pPr>
              <w:spacing w:after="0"/>
              <w:rPr>
                <w:sz w:val="15"/>
                <w:szCs w:val="15"/>
                <w:color w:val="auto"/>
              </w:rPr>
            </w:pPr>
          </w:p>
        </w:tc>
        <w:tc>
          <w:tcPr>
            <w:tcW w:w="112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5"/>
                <w:szCs w:val="15"/>
                <w:color w:val="auto"/>
              </w:rPr>
            </w:pPr>
          </w:p>
        </w:tc>
        <w:tc>
          <w:tcPr>
            <w:tcW w:w="11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4"/>
                <w:szCs w:val="14"/>
                <w:color w:val="auto"/>
              </w:rPr>
              <w:t>(458 )</w:t>
            </w:r>
          </w:p>
        </w:tc>
        <w:tc>
          <w:tcPr>
            <w:tcW w:w="280" w:type="dxa"/>
            <w:vAlign w:val="bottom"/>
            <w:shd w:val="clear" w:color="auto" w:fill="CCECFF"/>
          </w:tcPr>
          <w:p>
            <w:pPr>
              <w:spacing w:after="0"/>
              <w:rPr>
                <w:sz w:val="15"/>
                <w:szCs w:val="15"/>
                <w:color w:val="auto"/>
              </w:rPr>
            </w:pPr>
          </w:p>
        </w:tc>
        <w:tc>
          <w:tcPr>
            <w:tcW w:w="980" w:type="dxa"/>
            <w:vAlign w:val="bottom"/>
            <w:tcBorders>
              <w:right w:val="single" w:sz="8" w:color="CCECFF"/>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5780" w:type="dxa"/>
            <w:vAlign w:val="bottom"/>
            <w:tcBorders>
              <w:top w:val="single" w:sz="8" w:color="CCECFF"/>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Net increase in net assets resulting from capital transactions</w:t>
            </w:r>
          </w:p>
        </w:tc>
        <w:tc>
          <w:tcPr>
            <w:tcW w:w="2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26,590</w:t>
            </w:r>
          </w:p>
        </w:tc>
        <w:tc>
          <w:tcPr>
            <w:tcW w:w="220" w:type="dxa"/>
            <w:vAlign w:val="bottom"/>
            <w:tcBorders>
              <w:top w:val="single" w:sz="8" w:color="CCEC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CEC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30,057</w:t>
            </w:r>
          </w:p>
        </w:tc>
        <w:tc>
          <w:tcPr>
            <w:tcW w:w="200" w:type="dxa"/>
            <w:vAlign w:val="bottom"/>
            <w:tcBorders>
              <w:top w:val="single" w:sz="8" w:color="CCEC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57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in net assets</w:t>
            </w:r>
          </w:p>
        </w:tc>
        <w:tc>
          <w:tcPr>
            <w:tcW w:w="200" w:type="dxa"/>
            <w:vAlign w:val="bottom"/>
            <w:tcBorders>
              <w:bottom w:val="single" w:sz="8" w:color="auto"/>
            </w:tcBorders>
            <w:shd w:val="clear" w:color="auto" w:fill="CCECFF"/>
          </w:tcPr>
          <w:p>
            <w:pPr>
              <w:spacing w:after="0"/>
              <w:rPr>
                <w:sz w:val="14"/>
                <w:szCs w:val="14"/>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22,581</w:t>
            </w:r>
          </w:p>
        </w:tc>
        <w:tc>
          <w:tcPr>
            <w:tcW w:w="220" w:type="dxa"/>
            <w:vAlign w:val="bottom"/>
            <w:tcBorders>
              <w:bottom w:val="single" w:sz="8" w:color="CCECFF"/>
            </w:tcBorders>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20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29,375</w:t>
            </w:r>
          </w:p>
        </w:tc>
        <w:tc>
          <w:tcPr>
            <w:tcW w:w="200" w:type="dxa"/>
            <w:vAlign w:val="bottom"/>
            <w:tcBorders>
              <w:bottom w:val="single" w:sz="8" w:color="CCECFF"/>
            </w:tcBorders>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right w:val="single" w:sz="8" w:color="CCECFF"/>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15,704</w:t>
            </w:r>
          </w:p>
        </w:tc>
      </w:tr>
      <w:tr>
        <w:trPr>
          <w:trHeight w:val="169"/>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6"/>
        </w:trPr>
        <w:tc>
          <w:tcPr>
            <w:tcW w:w="578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Beginning of period</w:t>
            </w:r>
          </w:p>
        </w:tc>
        <w:tc>
          <w:tcPr>
            <w:tcW w:w="200" w:type="dxa"/>
            <w:vAlign w:val="bottom"/>
            <w:tcBorders>
              <w:bottom w:val="single" w:sz="8" w:color="auto"/>
            </w:tcBorders>
            <w:shd w:val="clear" w:color="auto" w:fill="CCECFF"/>
          </w:tcPr>
          <w:p>
            <w:pPr>
              <w:spacing w:after="0"/>
              <w:rPr>
                <w:sz w:val="15"/>
                <w:szCs w:val="15"/>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497,405</w:t>
            </w:r>
          </w:p>
        </w:tc>
        <w:tc>
          <w:tcPr>
            <w:tcW w:w="220" w:type="dxa"/>
            <w:vAlign w:val="bottom"/>
            <w:tcBorders>
              <w:bottom w:val="single" w:sz="8" w:color="CCECFF"/>
            </w:tcBorders>
            <w:shd w:val="clear" w:color="auto" w:fill="CCECFF"/>
          </w:tcPr>
          <w:p>
            <w:pPr>
              <w:spacing w:after="0"/>
              <w:rPr>
                <w:sz w:val="15"/>
                <w:szCs w:val="15"/>
                <w:color w:val="auto"/>
              </w:rPr>
            </w:pPr>
          </w:p>
        </w:tc>
        <w:tc>
          <w:tcPr>
            <w:tcW w:w="280" w:type="dxa"/>
            <w:vAlign w:val="bottom"/>
            <w:tcBorders>
              <w:bottom w:val="single" w:sz="8" w:color="auto"/>
            </w:tcBorders>
            <w:shd w:val="clear" w:color="auto" w:fill="CCECFF"/>
          </w:tcPr>
          <w:p>
            <w:pPr>
              <w:spacing w:after="0"/>
              <w:rPr>
                <w:sz w:val="15"/>
                <w:szCs w:val="15"/>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492,351</w:t>
            </w:r>
          </w:p>
        </w:tc>
        <w:tc>
          <w:tcPr>
            <w:tcW w:w="20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auto"/>
            </w:tcBorders>
            <w:shd w:val="clear" w:color="auto" w:fill="CCECFF"/>
          </w:tcPr>
          <w:p>
            <w:pPr>
              <w:spacing w:after="0"/>
              <w:rPr>
                <w:sz w:val="15"/>
                <w:szCs w:val="15"/>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490,611</w:t>
            </w:r>
          </w:p>
        </w:tc>
        <w:tc>
          <w:tcPr>
            <w:tcW w:w="200" w:type="dxa"/>
            <w:vAlign w:val="bottom"/>
            <w:tcBorders>
              <w:bottom w:val="single" w:sz="8" w:color="CCECFF"/>
            </w:tcBorders>
            <w:shd w:val="clear" w:color="auto" w:fill="CCECFF"/>
          </w:tcPr>
          <w:p>
            <w:pPr>
              <w:spacing w:after="0"/>
              <w:rPr>
                <w:sz w:val="15"/>
                <w:szCs w:val="15"/>
                <w:color w:val="auto"/>
              </w:rPr>
            </w:pPr>
          </w:p>
        </w:tc>
        <w:tc>
          <w:tcPr>
            <w:tcW w:w="280" w:type="dxa"/>
            <w:vAlign w:val="bottom"/>
            <w:tcBorders>
              <w:bottom w:val="single" w:sz="8" w:color="auto"/>
            </w:tcBorders>
            <w:shd w:val="clear" w:color="auto" w:fill="CCECFF"/>
          </w:tcPr>
          <w:p>
            <w:pPr>
              <w:spacing w:after="0"/>
              <w:rPr>
                <w:sz w:val="15"/>
                <w:szCs w:val="15"/>
                <w:color w:val="auto"/>
              </w:rPr>
            </w:pPr>
          </w:p>
        </w:tc>
        <w:tc>
          <w:tcPr>
            <w:tcW w:w="980" w:type="dxa"/>
            <w:vAlign w:val="bottom"/>
            <w:tcBorders>
              <w:bottom w:val="single" w:sz="8" w:color="auto"/>
              <w:right w:val="single" w:sz="8" w:color="CCECFF"/>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477,270</w:t>
            </w:r>
          </w:p>
        </w:tc>
      </w:tr>
      <w:tr>
        <w:trPr>
          <w:trHeight w:val="169"/>
        </w:trPr>
        <w:tc>
          <w:tcPr>
            <w:tcW w:w="5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End of period</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519,986</w:t>
            </w:r>
          </w:p>
        </w:tc>
        <w:tc>
          <w:tcPr>
            <w:tcW w:w="220" w:type="dxa"/>
            <w:vAlign w:val="bottom"/>
          </w:tcPr>
          <w:p>
            <w:pPr>
              <w:spacing w:after="0"/>
              <w:rPr>
                <w:sz w:val="14"/>
                <w:szCs w:val="14"/>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492,974</w:t>
            </w:r>
          </w:p>
        </w:tc>
        <w:tc>
          <w:tcPr>
            <w:tcW w:w="200" w:type="dxa"/>
            <w:vAlign w:val="bottom"/>
          </w:tcPr>
          <w:p>
            <w:pPr>
              <w:spacing w:after="0"/>
              <w:rPr>
                <w:sz w:val="14"/>
                <w:szCs w:val="14"/>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519,986</w:t>
            </w:r>
          </w:p>
        </w:tc>
        <w:tc>
          <w:tcPr>
            <w:tcW w:w="200" w:type="dxa"/>
            <w:vAlign w:val="bottom"/>
          </w:tcPr>
          <w:p>
            <w:pPr>
              <w:spacing w:after="0"/>
              <w:rPr>
                <w:sz w:val="14"/>
                <w:szCs w:val="14"/>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492,974</w:t>
            </w:r>
          </w:p>
        </w:tc>
      </w:tr>
      <w:tr>
        <w:trPr>
          <w:trHeight w:val="20"/>
        </w:trPr>
        <w:tc>
          <w:tcPr>
            <w:tcW w:w="5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56"/>
        </w:trPr>
        <w:tc>
          <w:tcPr>
            <w:tcW w:w="578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Capital share activity:</w:t>
            </w:r>
          </w:p>
        </w:tc>
        <w:tc>
          <w:tcPr>
            <w:tcW w:w="20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80" w:type="dxa"/>
            <w:vAlign w:val="bottom"/>
            <w:tcBorders>
              <w:right w:val="single" w:sz="8" w:color="CCECFF"/>
            </w:tcBorders>
            <w:shd w:val="clear" w:color="auto" w:fill="CCECFF"/>
          </w:tcPr>
          <w:p>
            <w:pPr>
              <w:spacing w:after="0"/>
              <w:rPr>
                <w:sz w:val="13"/>
                <w:szCs w:val="13"/>
                <w:color w:val="auto"/>
              </w:rPr>
            </w:pPr>
          </w:p>
        </w:tc>
      </w:tr>
      <w:tr>
        <w:trPr>
          <w:trHeight w:val="175"/>
        </w:trPr>
        <w:tc>
          <w:tcPr>
            <w:tcW w:w="5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Shares issued from public offering</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2,058,772</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2,328,838</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-1559560</wp:posOffset>
            </wp:positionV>
            <wp:extent cx="514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-1559560</wp:posOffset>
            </wp:positionV>
            <wp:extent cx="431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-1559560</wp:posOffset>
            </wp:positionV>
            <wp:extent cx="431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-1559560</wp:posOffset>
            </wp:positionV>
            <wp:extent cx="431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-1328420</wp:posOffset>
            </wp:positionV>
            <wp:extent cx="514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-1328420</wp:posOffset>
            </wp:positionV>
            <wp:extent cx="431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-1328420</wp:posOffset>
            </wp:positionV>
            <wp:extent cx="431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-1328420</wp:posOffset>
            </wp:positionV>
            <wp:extent cx="431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-864870</wp:posOffset>
            </wp:positionV>
            <wp:extent cx="514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-864870</wp:posOffset>
            </wp:positionV>
            <wp:extent cx="431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-864870</wp:posOffset>
            </wp:positionV>
            <wp:extent cx="431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-864870</wp:posOffset>
            </wp:positionV>
            <wp:extent cx="431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-625475</wp:posOffset>
            </wp:positionV>
            <wp:extent cx="514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-625475</wp:posOffset>
            </wp:positionV>
            <wp:extent cx="431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-625475</wp:posOffset>
            </wp:positionV>
            <wp:extent cx="431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-625475</wp:posOffset>
            </wp:positionV>
            <wp:extent cx="431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-393700</wp:posOffset>
            </wp:positionV>
            <wp:extent cx="514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-393700</wp:posOffset>
            </wp:positionV>
            <wp:extent cx="431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-393700</wp:posOffset>
            </wp:positionV>
            <wp:extent cx="431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-393700</wp:posOffset>
            </wp:positionV>
            <wp:extent cx="431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6" w:name="page7"/>
    <w:bookmarkEnd w:id="6"/>
    <w:p>
      <w:pPr>
        <w:ind w:left="3260"/>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660" w:type="dxa"/>
            <w:vAlign w:val="bottom"/>
            <w:tcBorders>
              <w:bottom w:val="single" w:sz="8" w:color="auto"/>
            </w:tcBorders>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Borders>
              <w:bottom w:val="single" w:sz="8" w:color="auto"/>
            </w:tcBorders>
          </w:tcPr>
          <w:p>
            <w:pPr>
              <w:spacing w:after="0"/>
              <w:rPr>
                <w:sz w:val="14"/>
                <w:szCs w:val="14"/>
                <w:color w:val="auto"/>
              </w:rPr>
            </w:pPr>
          </w:p>
        </w:tc>
      </w:tr>
      <w:tr>
        <w:trPr>
          <w:trHeight w:val="169"/>
        </w:trPr>
        <w:tc>
          <w:tcPr>
            <w:tcW w:w="7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20" w:type="dxa"/>
            <w:vAlign w:val="bottom"/>
            <w:shd w:val="clear" w:color="auto" w:fill="CCECFF"/>
          </w:tcPr>
          <w:p>
            <w:pPr>
              <w:spacing w:after="0"/>
              <w:rPr>
                <w:sz w:val="14"/>
                <w:szCs w:val="14"/>
                <w:color w:val="auto"/>
              </w:rPr>
            </w:pPr>
          </w:p>
        </w:tc>
        <w:tc>
          <w:tcPr>
            <w:tcW w:w="6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660" w:type="dxa"/>
            <w:vAlign w:val="bottom"/>
            <w:tcBorders>
              <w:right w:val="single" w:sz="8" w:color="CCECFF"/>
            </w:tcBorders>
            <w:shd w:val="clear" w:color="auto" w:fill="CCECFF"/>
          </w:tcPr>
          <w:p>
            <w:pPr>
              <w:spacing w:after="0"/>
              <w:rPr>
                <w:sz w:val="14"/>
                <w:szCs w:val="14"/>
                <w:color w:val="auto"/>
              </w:rPr>
            </w:pPr>
          </w:p>
        </w:tc>
      </w:tr>
      <w:tr>
        <w:trPr>
          <w:trHeight w:val="176"/>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increase in net assets resulting from operations</w:t>
            </w:r>
          </w:p>
        </w:tc>
        <w:tc>
          <w:tcPr>
            <w:tcW w:w="102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21,679</w:t>
            </w:r>
          </w:p>
        </w:tc>
        <w:tc>
          <w:tcPr>
            <w:tcW w:w="260" w:type="dxa"/>
            <w:vAlign w:val="bottom"/>
          </w:tcPr>
          <w:p>
            <w:pPr>
              <w:spacing w:after="0"/>
              <w:rPr>
                <w:sz w:val="15"/>
                <w:szCs w:val="15"/>
                <w:color w:val="auto"/>
              </w:rPr>
            </w:pPr>
          </w:p>
        </w:tc>
        <w:tc>
          <w:tcPr>
            <w:tcW w:w="10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37,804</w:t>
            </w:r>
          </w:p>
        </w:tc>
      </w:tr>
      <w:tr>
        <w:trPr>
          <w:trHeight w:val="139"/>
        </w:trPr>
        <w:tc>
          <w:tcPr>
            <w:tcW w:w="7700" w:type="dxa"/>
            <w:vAlign w:val="bottom"/>
            <w:shd w:val="clear" w:color="auto" w:fill="CCECFF"/>
          </w:tcPr>
          <w:p>
            <w:pPr>
              <w:ind w:left="380"/>
              <w:spacing w:after="0" w:line="139" w:lineRule="exact"/>
              <w:rPr>
                <w:sz w:val="20"/>
                <w:szCs w:val="20"/>
                <w:color w:val="auto"/>
              </w:rPr>
            </w:pPr>
            <w:r>
              <w:rPr>
                <w:rFonts w:ascii="Times New Roman" w:cs="Times New Roman" w:eastAsia="Times New Roman" w:hAnsi="Times New Roman"/>
                <w:sz w:val="14"/>
                <w:szCs w:val="14"/>
                <w:color w:val="auto"/>
              </w:rPr>
              <w:t>Adjustments to reconcile net increase in net assets resulting from operations to net cash</w:t>
            </w:r>
          </w:p>
        </w:tc>
        <w:tc>
          <w:tcPr>
            <w:tcW w:w="102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660" w:type="dxa"/>
            <w:vAlign w:val="bottom"/>
            <w:tcBorders>
              <w:right w:val="single" w:sz="8" w:color="CCECFF"/>
            </w:tcBorders>
            <w:shd w:val="clear" w:color="auto" w:fill="CCECFF"/>
          </w:tcPr>
          <w:p>
            <w:pPr>
              <w:spacing w:after="0"/>
              <w:rPr>
                <w:sz w:val="12"/>
                <w:szCs w:val="12"/>
                <w:color w:val="auto"/>
              </w:rPr>
            </w:pPr>
          </w:p>
        </w:tc>
      </w:tr>
      <w:tr>
        <w:trPr>
          <w:trHeight w:val="185"/>
        </w:trPr>
        <w:tc>
          <w:tcPr>
            <w:tcW w:w="77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4"/>
                <w:szCs w:val="14"/>
                <w:color w:val="auto"/>
              </w:rPr>
              <w:t>(used in) provided by operating activities:</w:t>
            </w:r>
          </w:p>
        </w:tc>
        <w:tc>
          <w:tcPr>
            <w:tcW w:w="1020" w:type="dxa"/>
            <w:vAlign w:val="bottom"/>
            <w:shd w:val="clear" w:color="auto" w:fill="CCECFF"/>
          </w:tcPr>
          <w:p>
            <w:pPr>
              <w:spacing w:after="0"/>
              <w:rPr>
                <w:sz w:val="16"/>
                <w:szCs w:val="16"/>
                <w:color w:val="auto"/>
              </w:rPr>
            </w:pPr>
          </w:p>
        </w:tc>
        <w:tc>
          <w:tcPr>
            <w:tcW w:w="60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1000" w:type="dxa"/>
            <w:vAlign w:val="bottom"/>
            <w:shd w:val="clear" w:color="auto" w:fill="CCECFF"/>
          </w:tcPr>
          <w:p>
            <w:pPr>
              <w:spacing w:after="0"/>
              <w:rPr>
                <w:sz w:val="16"/>
                <w:szCs w:val="16"/>
                <w:color w:val="auto"/>
              </w:rPr>
            </w:pPr>
          </w:p>
        </w:tc>
        <w:tc>
          <w:tcPr>
            <w:tcW w:w="660" w:type="dxa"/>
            <w:vAlign w:val="bottom"/>
            <w:tcBorders>
              <w:right w:val="single" w:sz="8" w:color="CCECFF"/>
            </w:tcBorders>
            <w:shd w:val="clear" w:color="auto" w:fill="CCECFF"/>
          </w:tcPr>
          <w:p>
            <w:pPr>
              <w:spacing w:after="0"/>
              <w:rPr>
                <w:sz w:val="16"/>
                <w:szCs w:val="16"/>
                <w:color w:val="auto"/>
              </w:rPr>
            </w:pPr>
          </w:p>
        </w:tc>
      </w:tr>
      <w:tr>
        <w:trPr>
          <w:trHeight w:val="176"/>
        </w:trPr>
        <w:tc>
          <w:tcPr>
            <w:tcW w:w="7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Net change in unrealized depreciation on investments</w:t>
            </w:r>
          </w:p>
        </w:tc>
        <w:tc>
          <w:tcPr>
            <w:tcW w:w="1020" w:type="dxa"/>
            <w:vAlign w:val="bottom"/>
          </w:tcPr>
          <w:p>
            <w:pPr>
              <w:spacing w:after="0"/>
              <w:rPr>
                <w:sz w:val="15"/>
                <w:szCs w:val="15"/>
                <w:color w:val="auto"/>
              </w:rPr>
            </w:pPr>
          </w:p>
        </w:tc>
        <w:tc>
          <w:tcPr>
            <w:tcW w:w="8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(13,990 )</w:t>
            </w:r>
          </w:p>
        </w:tc>
        <w:tc>
          <w:tcPr>
            <w:tcW w:w="10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(34,607 )</w:t>
            </w:r>
          </w:p>
        </w:tc>
      </w:tr>
      <w:tr>
        <w:trPr>
          <w:trHeight w:val="175"/>
        </w:trPr>
        <w:tc>
          <w:tcPr>
            <w:tcW w:w="770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4"/>
                <w:szCs w:val="14"/>
                <w:color w:val="auto"/>
              </w:rPr>
              <w:t>Net change in unrealized (depreciation) appreciation on debt</w:t>
            </w:r>
          </w:p>
        </w:tc>
        <w:tc>
          <w:tcPr>
            <w:tcW w:w="1020" w:type="dxa"/>
            <w:vAlign w:val="bottom"/>
            <w:shd w:val="clear" w:color="auto" w:fill="CCECFF"/>
          </w:tcPr>
          <w:p>
            <w:pPr>
              <w:spacing w:after="0"/>
              <w:rPr>
                <w:sz w:val="15"/>
                <w:szCs w:val="15"/>
                <w:color w:val="auto"/>
              </w:rPr>
            </w:pPr>
          </w:p>
        </w:tc>
        <w:tc>
          <w:tcPr>
            <w:tcW w:w="86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(1,247 )</w:t>
            </w:r>
          </w:p>
        </w:tc>
        <w:tc>
          <w:tcPr>
            <w:tcW w:w="1000" w:type="dxa"/>
            <w:vAlign w:val="bottom"/>
            <w:shd w:val="clear" w:color="auto" w:fill="CCECFF"/>
          </w:tcPr>
          <w:p>
            <w:pPr>
              <w:spacing w:after="0"/>
              <w:rPr>
                <w:sz w:val="15"/>
                <w:szCs w:val="15"/>
                <w:color w:val="auto"/>
              </w:rPr>
            </w:pPr>
          </w:p>
        </w:tc>
        <w:tc>
          <w:tcPr>
            <w:tcW w:w="660" w:type="dxa"/>
            <w:vAlign w:val="bottom"/>
            <w:tcBorders>
              <w:right w:val="single" w:sz="8" w:color="CCECFF"/>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14,549</w:t>
            </w:r>
          </w:p>
        </w:tc>
      </w:tr>
      <w:tr>
        <w:trPr>
          <w:trHeight w:val="176"/>
        </w:trPr>
        <w:tc>
          <w:tcPr>
            <w:tcW w:w="7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Net realized loss on investments</w:t>
            </w: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12,322</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2,286</w:t>
            </w:r>
          </w:p>
        </w:tc>
      </w:tr>
      <w:tr>
        <w:trPr>
          <w:trHeight w:val="176"/>
        </w:trPr>
        <w:tc>
          <w:tcPr>
            <w:tcW w:w="770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4"/>
                <w:szCs w:val="14"/>
                <w:color w:val="auto"/>
              </w:rPr>
              <w:t>Net accretion of discount and amortization of premium</w:t>
            </w:r>
          </w:p>
        </w:tc>
        <w:tc>
          <w:tcPr>
            <w:tcW w:w="1020" w:type="dxa"/>
            <w:vAlign w:val="bottom"/>
            <w:shd w:val="clear" w:color="auto" w:fill="CCECFF"/>
          </w:tcPr>
          <w:p>
            <w:pPr>
              <w:spacing w:after="0"/>
              <w:rPr>
                <w:sz w:val="15"/>
                <w:szCs w:val="15"/>
                <w:color w:val="auto"/>
              </w:rPr>
            </w:pPr>
          </w:p>
        </w:tc>
        <w:tc>
          <w:tcPr>
            <w:tcW w:w="86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(2,337 )</w:t>
            </w:r>
          </w:p>
        </w:tc>
        <w:tc>
          <w:tcPr>
            <w:tcW w:w="1000" w:type="dxa"/>
            <w:vAlign w:val="bottom"/>
            <w:shd w:val="clear" w:color="auto" w:fill="CCECFF"/>
          </w:tcPr>
          <w:p>
            <w:pPr>
              <w:spacing w:after="0"/>
              <w:rPr>
                <w:sz w:val="15"/>
                <w:szCs w:val="15"/>
                <w:color w:val="auto"/>
              </w:rPr>
            </w:pPr>
          </w:p>
        </w:tc>
        <w:tc>
          <w:tcPr>
            <w:tcW w:w="660" w:type="dxa"/>
            <w:vAlign w:val="bottom"/>
            <w:tcBorders>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(1,355 )</w:t>
            </w:r>
          </w:p>
        </w:tc>
      </w:tr>
      <w:tr>
        <w:trPr>
          <w:trHeight w:val="175"/>
        </w:trPr>
        <w:tc>
          <w:tcPr>
            <w:tcW w:w="7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Purchases of investments</w:t>
            </w:r>
          </w:p>
        </w:tc>
        <w:tc>
          <w:tcPr>
            <w:tcW w:w="1020" w:type="dxa"/>
            <w:vAlign w:val="bottom"/>
          </w:tcPr>
          <w:p>
            <w:pPr>
              <w:spacing w:after="0"/>
              <w:rPr>
                <w:sz w:val="15"/>
                <w:szCs w:val="15"/>
                <w:color w:val="auto"/>
              </w:rPr>
            </w:pPr>
          </w:p>
        </w:tc>
        <w:tc>
          <w:tcPr>
            <w:tcW w:w="8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(448,352 )</w:t>
            </w:r>
          </w:p>
        </w:tc>
        <w:tc>
          <w:tcPr>
            <w:tcW w:w="10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(227,201 )</w:t>
            </w:r>
          </w:p>
        </w:tc>
      </w:tr>
      <w:tr>
        <w:trPr>
          <w:trHeight w:val="176"/>
        </w:trPr>
        <w:tc>
          <w:tcPr>
            <w:tcW w:w="770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4"/>
                <w:szCs w:val="14"/>
                <w:color w:val="auto"/>
              </w:rPr>
              <w:t>Payment-in-kind interest</w:t>
            </w:r>
          </w:p>
        </w:tc>
        <w:tc>
          <w:tcPr>
            <w:tcW w:w="1020" w:type="dxa"/>
            <w:vAlign w:val="bottom"/>
            <w:shd w:val="clear" w:color="auto" w:fill="CCECFF"/>
          </w:tcPr>
          <w:p>
            <w:pPr>
              <w:spacing w:after="0"/>
              <w:rPr>
                <w:sz w:val="15"/>
                <w:szCs w:val="15"/>
                <w:color w:val="auto"/>
              </w:rPr>
            </w:pPr>
          </w:p>
        </w:tc>
        <w:tc>
          <w:tcPr>
            <w:tcW w:w="86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(844 )</w:t>
            </w:r>
          </w:p>
        </w:tc>
        <w:tc>
          <w:tcPr>
            <w:tcW w:w="1000" w:type="dxa"/>
            <w:vAlign w:val="bottom"/>
            <w:shd w:val="clear" w:color="auto" w:fill="CCECFF"/>
          </w:tcPr>
          <w:p>
            <w:pPr>
              <w:spacing w:after="0"/>
              <w:rPr>
                <w:sz w:val="15"/>
                <w:szCs w:val="15"/>
                <w:color w:val="auto"/>
              </w:rPr>
            </w:pPr>
          </w:p>
        </w:tc>
        <w:tc>
          <w:tcPr>
            <w:tcW w:w="660" w:type="dxa"/>
            <w:vAlign w:val="bottom"/>
            <w:tcBorders>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(2,056 )</w:t>
            </w:r>
          </w:p>
        </w:tc>
      </w:tr>
      <w:tr>
        <w:trPr>
          <w:trHeight w:val="175"/>
        </w:trPr>
        <w:tc>
          <w:tcPr>
            <w:tcW w:w="7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Proceeds from dispositions of investments</w:t>
            </w: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342,226</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281,670</w:t>
            </w:r>
          </w:p>
        </w:tc>
      </w:tr>
      <w:tr>
        <w:trPr>
          <w:trHeight w:val="176"/>
        </w:trPr>
        <w:tc>
          <w:tcPr>
            <w:tcW w:w="770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102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6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660" w:type="dxa"/>
            <w:vAlign w:val="bottom"/>
            <w:tcBorders>
              <w:right w:val="single" w:sz="8" w:color="CCECFF"/>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331</w:t>
            </w:r>
          </w:p>
        </w:tc>
      </w:tr>
      <w:tr>
        <w:trPr>
          <w:trHeight w:val="176"/>
        </w:trPr>
        <w:tc>
          <w:tcPr>
            <w:tcW w:w="7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(Increase) decrease in interest receivable</w:t>
            </w: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855</w:t>
            </w:r>
          </w:p>
        </w:tc>
      </w:tr>
      <w:tr>
        <w:trPr>
          <w:trHeight w:val="175"/>
        </w:trPr>
        <w:tc>
          <w:tcPr>
            <w:tcW w:w="770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4"/>
                <w:szCs w:val="14"/>
                <w:color w:val="auto"/>
              </w:rPr>
              <w:t>Decrease in receivable for investments sold</w:t>
            </w:r>
          </w:p>
        </w:tc>
        <w:tc>
          <w:tcPr>
            <w:tcW w:w="1020" w:type="dxa"/>
            <w:vAlign w:val="bottom"/>
            <w:shd w:val="clear" w:color="auto" w:fill="CCECFF"/>
          </w:tcPr>
          <w:p>
            <w:pPr>
              <w:spacing w:after="0"/>
              <w:rPr>
                <w:sz w:val="15"/>
                <w:szCs w:val="15"/>
                <w:color w:val="auto"/>
              </w:rPr>
            </w:pPr>
          </w:p>
        </w:tc>
        <w:tc>
          <w:tcPr>
            <w:tcW w:w="86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(4,577 )</w:t>
            </w:r>
          </w:p>
        </w:tc>
        <w:tc>
          <w:tcPr>
            <w:tcW w:w="1000" w:type="dxa"/>
            <w:vAlign w:val="bottom"/>
            <w:shd w:val="clear" w:color="auto" w:fill="CCECFF"/>
          </w:tcPr>
          <w:p>
            <w:pPr>
              <w:spacing w:after="0"/>
              <w:rPr>
                <w:sz w:val="15"/>
                <w:szCs w:val="15"/>
                <w:color w:val="auto"/>
              </w:rPr>
            </w:pPr>
          </w:p>
        </w:tc>
        <w:tc>
          <w:tcPr>
            <w:tcW w:w="660" w:type="dxa"/>
            <w:vAlign w:val="bottom"/>
            <w:tcBorders>
              <w:right w:val="single" w:sz="8" w:color="CCECFF"/>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7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Increase in prepaid expenses and other assets</w:t>
            </w:r>
          </w:p>
        </w:tc>
        <w:tc>
          <w:tcPr>
            <w:tcW w:w="1020" w:type="dxa"/>
            <w:vAlign w:val="bottom"/>
          </w:tcPr>
          <w:p>
            <w:pPr>
              <w:spacing w:after="0"/>
              <w:rPr>
                <w:sz w:val="15"/>
                <w:szCs w:val="15"/>
                <w:color w:val="auto"/>
              </w:rPr>
            </w:pPr>
          </w:p>
        </w:tc>
        <w:tc>
          <w:tcPr>
            <w:tcW w:w="8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(1,356 )</w:t>
            </w:r>
          </w:p>
        </w:tc>
        <w:tc>
          <w:tcPr>
            <w:tcW w:w="100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173</w:t>
            </w:r>
          </w:p>
        </w:tc>
      </w:tr>
      <w:tr>
        <w:trPr>
          <w:trHeight w:val="175"/>
        </w:trPr>
        <w:tc>
          <w:tcPr>
            <w:tcW w:w="770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4"/>
                <w:szCs w:val="14"/>
                <w:color w:val="auto"/>
              </w:rPr>
              <w:t>(Decrease) increase in payable for investments purchased</w:t>
            </w:r>
          </w:p>
        </w:tc>
        <w:tc>
          <w:tcPr>
            <w:tcW w:w="1020" w:type="dxa"/>
            <w:vAlign w:val="bottom"/>
            <w:shd w:val="clear" w:color="auto" w:fill="CCECFF"/>
          </w:tcPr>
          <w:p>
            <w:pPr>
              <w:spacing w:after="0"/>
              <w:rPr>
                <w:sz w:val="15"/>
                <w:szCs w:val="15"/>
                <w:color w:val="auto"/>
              </w:rPr>
            </w:pPr>
          </w:p>
        </w:tc>
        <w:tc>
          <w:tcPr>
            <w:tcW w:w="86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(13,546 )</w:t>
            </w:r>
          </w:p>
        </w:tc>
        <w:tc>
          <w:tcPr>
            <w:tcW w:w="1000" w:type="dxa"/>
            <w:vAlign w:val="bottom"/>
            <w:shd w:val="clear" w:color="auto" w:fill="CCECFF"/>
          </w:tcPr>
          <w:p>
            <w:pPr>
              <w:spacing w:after="0"/>
              <w:rPr>
                <w:sz w:val="15"/>
                <w:szCs w:val="15"/>
                <w:color w:val="auto"/>
              </w:rPr>
            </w:pPr>
          </w:p>
        </w:tc>
        <w:tc>
          <w:tcPr>
            <w:tcW w:w="660" w:type="dxa"/>
            <w:vAlign w:val="bottom"/>
            <w:tcBorders>
              <w:right w:val="single" w:sz="8" w:color="CCECFF"/>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46,669</w:t>
            </w:r>
          </w:p>
        </w:tc>
      </w:tr>
      <w:tr>
        <w:trPr>
          <w:trHeight w:val="176"/>
        </w:trPr>
        <w:tc>
          <w:tcPr>
            <w:tcW w:w="7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Decrease in interest payable on debt</w:t>
            </w: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(575 )</w:t>
            </w:r>
          </w:p>
        </w:tc>
      </w:tr>
      <w:tr>
        <w:trPr>
          <w:trHeight w:val="175"/>
        </w:trPr>
        <w:tc>
          <w:tcPr>
            <w:tcW w:w="770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4"/>
                <w:szCs w:val="14"/>
                <w:color w:val="auto"/>
              </w:rPr>
              <w:t>Increase (decrease) in base management fee payable</w:t>
            </w:r>
          </w:p>
        </w:tc>
        <w:tc>
          <w:tcPr>
            <w:tcW w:w="102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26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660" w:type="dxa"/>
            <w:vAlign w:val="bottom"/>
            <w:tcBorders>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(143 )</w:t>
            </w:r>
          </w:p>
        </w:tc>
      </w:tr>
      <w:tr>
        <w:trPr>
          <w:trHeight w:val="176"/>
        </w:trPr>
        <w:tc>
          <w:tcPr>
            <w:tcW w:w="7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Increase (decrease) in performance-based incentive fee payable</w:t>
            </w: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2,081</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(770 )</w:t>
            </w:r>
          </w:p>
        </w:tc>
      </w:tr>
      <w:tr>
        <w:trPr>
          <w:trHeight w:val="176"/>
        </w:trPr>
        <w:tc>
          <w:tcPr>
            <w:tcW w:w="770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4"/>
                <w:szCs w:val="14"/>
                <w:color w:val="auto"/>
              </w:rPr>
              <w:t>Increase in deferred tax liability</w:t>
            </w:r>
          </w:p>
        </w:tc>
        <w:tc>
          <w:tcPr>
            <w:tcW w:w="102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5,340</w:t>
            </w:r>
          </w:p>
        </w:tc>
        <w:tc>
          <w:tcPr>
            <w:tcW w:w="26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660" w:type="dxa"/>
            <w:vAlign w:val="bottom"/>
            <w:tcBorders>
              <w:right w:val="single" w:sz="8" w:color="CCECFF"/>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(Decrease) increase in accrued other expenses</w:t>
            </w:r>
          </w:p>
        </w:tc>
        <w:tc>
          <w:tcPr>
            <w:tcW w:w="1020" w:type="dxa"/>
            <w:vAlign w:val="bottom"/>
          </w:tcPr>
          <w:p>
            <w:pPr>
              <w:spacing w:after="0"/>
              <w:rPr>
                <w:sz w:val="15"/>
                <w:szCs w:val="15"/>
                <w:color w:val="auto"/>
              </w:rPr>
            </w:pPr>
          </w:p>
        </w:tc>
        <w:tc>
          <w:tcPr>
            <w:tcW w:w="8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(1,349 )</w:t>
            </w:r>
          </w:p>
        </w:tc>
        <w:tc>
          <w:tcPr>
            <w:tcW w:w="100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120</w:t>
            </w:r>
          </w:p>
        </w:tc>
      </w:tr>
      <w:tr>
        <w:trPr>
          <w:trHeight w:val="169"/>
        </w:trPr>
        <w:tc>
          <w:tcPr>
            <w:tcW w:w="7700" w:type="dxa"/>
            <w:vAlign w:val="bottom"/>
            <w:tcBorders>
              <w:bottom w:val="single" w:sz="8" w:color="CCECFF"/>
            </w:tcBorders>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1020" w:type="dxa"/>
            <w:vAlign w:val="bottom"/>
            <w:tcBorders>
              <w:top w:val="single" w:sz="8" w:color="auto"/>
              <w:bottom w:val="single" w:sz="8" w:color="auto"/>
            </w:tcBorders>
            <w:shd w:val="clear" w:color="auto" w:fill="CCECFF"/>
          </w:tcPr>
          <w:p>
            <w:pPr>
              <w:spacing w:after="0"/>
              <w:rPr>
                <w:sz w:val="14"/>
                <w:szCs w:val="14"/>
                <w:color w:val="auto"/>
              </w:rPr>
            </w:pP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(102,030</w:t>
            </w:r>
          </w:p>
        </w:tc>
        <w:tc>
          <w:tcPr>
            <w:tcW w:w="260" w:type="dxa"/>
            <w:vAlign w:val="bottom"/>
            <w:tcBorders>
              <w:bottom w:val="single" w:sz="8" w:color="CCECFF"/>
            </w:tcBorders>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w w:val="84"/>
              </w:rPr>
              <w:t>)</w:t>
            </w:r>
          </w:p>
        </w:tc>
        <w:tc>
          <w:tcPr>
            <w:tcW w:w="1000" w:type="dxa"/>
            <w:vAlign w:val="bottom"/>
            <w:tcBorders>
              <w:top w:val="single" w:sz="8" w:color="auto"/>
              <w:bottom w:val="single" w:sz="8" w:color="auto"/>
            </w:tcBorders>
            <w:shd w:val="clear" w:color="auto" w:fill="CCECFF"/>
          </w:tcPr>
          <w:p>
            <w:pPr>
              <w:spacing w:after="0"/>
              <w:rPr>
                <w:sz w:val="14"/>
                <w:szCs w:val="14"/>
                <w:color w:val="auto"/>
              </w:rPr>
            </w:pPr>
          </w:p>
        </w:tc>
        <w:tc>
          <w:tcPr>
            <w:tcW w:w="660" w:type="dxa"/>
            <w:vAlign w:val="bottom"/>
            <w:tcBorders>
              <w:top w:val="single" w:sz="8" w:color="auto"/>
              <w:bottom w:val="single" w:sz="8" w:color="auto"/>
              <w:right w:val="single" w:sz="8" w:color="CCECFF"/>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117,751</w:t>
            </w:r>
          </w:p>
        </w:tc>
      </w:tr>
      <w:tr>
        <w:trPr>
          <w:trHeight w:val="169"/>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5"/>
        </w:trPr>
        <w:tc>
          <w:tcPr>
            <w:tcW w:w="770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4"/>
                <w:szCs w:val="14"/>
                <w:color w:val="auto"/>
              </w:rPr>
              <w:t>Proceeds from public offering</w:t>
            </w:r>
          </w:p>
        </w:tc>
        <w:tc>
          <w:tcPr>
            <w:tcW w:w="102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30,514</w:t>
            </w:r>
          </w:p>
        </w:tc>
        <w:tc>
          <w:tcPr>
            <w:tcW w:w="26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660" w:type="dxa"/>
            <w:vAlign w:val="bottom"/>
            <w:tcBorders>
              <w:right w:val="single" w:sz="8" w:color="CCECFF"/>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7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Offering costs</w:t>
            </w:r>
          </w:p>
        </w:tc>
        <w:tc>
          <w:tcPr>
            <w:tcW w:w="1020" w:type="dxa"/>
            <w:vAlign w:val="bottom"/>
          </w:tcPr>
          <w:p>
            <w:pPr>
              <w:spacing w:after="0"/>
              <w:rPr>
                <w:sz w:val="15"/>
                <w:szCs w:val="15"/>
                <w:color w:val="auto"/>
              </w:rPr>
            </w:pPr>
          </w:p>
        </w:tc>
        <w:tc>
          <w:tcPr>
            <w:tcW w:w="8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(458 )</w:t>
            </w:r>
          </w:p>
        </w:tc>
        <w:tc>
          <w:tcPr>
            <w:tcW w:w="100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770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4"/>
                <w:szCs w:val="14"/>
                <w:color w:val="auto"/>
              </w:rPr>
              <w:t>Distributions paid to stockholders</w:t>
            </w:r>
          </w:p>
        </w:tc>
        <w:tc>
          <w:tcPr>
            <w:tcW w:w="1020" w:type="dxa"/>
            <w:vAlign w:val="bottom"/>
            <w:shd w:val="clear" w:color="auto" w:fill="CCECFF"/>
          </w:tcPr>
          <w:p>
            <w:pPr>
              <w:spacing w:after="0"/>
              <w:rPr>
                <w:sz w:val="15"/>
                <w:szCs w:val="15"/>
                <w:color w:val="auto"/>
              </w:rPr>
            </w:pPr>
          </w:p>
        </w:tc>
        <w:tc>
          <w:tcPr>
            <w:tcW w:w="86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(22,238 )</w:t>
            </w:r>
          </w:p>
        </w:tc>
        <w:tc>
          <w:tcPr>
            <w:tcW w:w="1000" w:type="dxa"/>
            <w:vAlign w:val="bottom"/>
            <w:shd w:val="clear" w:color="auto" w:fill="CCECFF"/>
          </w:tcPr>
          <w:p>
            <w:pPr>
              <w:spacing w:after="0"/>
              <w:rPr>
                <w:sz w:val="15"/>
                <w:szCs w:val="15"/>
                <w:color w:val="auto"/>
              </w:rPr>
            </w:pPr>
          </w:p>
        </w:tc>
        <w:tc>
          <w:tcPr>
            <w:tcW w:w="660" w:type="dxa"/>
            <w:vAlign w:val="bottom"/>
            <w:tcBorders>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(22,100 )</w:t>
            </w:r>
          </w:p>
        </w:tc>
      </w:tr>
      <w:tr>
        <w:trPr>
          <w:trHeight w:val="175"/>
        </w:trPr>
        <w:tc>
          <w:tcPr>
            <w:tcW w:w="7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Repayment of 2023 Notes issuance (See Notes 5 and 11)</w:t>
            </w:r>
          </w:p>
        </w:tc>
        <w:tc>
          <w:tcPr>
            <w:tcW w:w="1020" w:type="dxa"/>
            <w:vAlign w:val="bottom"/>
          </w:tcPr>
          <w:p>
            <w:pPr>
              <w:spacing w:after="0"/>
              <w:rPr>
                <w:sz w:val="15"/>
                <w:szCs w:val="15"/>
                <w:color w:val="auto"/>
              </w:rPr>
            </w:pPr>
          </w:p>
        </w:tc>
        <w:tc>
          <w:tcPr>
            <w:tcW w:w="8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(20,787 )</w:t>
            </w:r>
          </w:p>
        </w:tc>
        <w:tc>
          <w:tcPr>
            <w:tcW w:w="10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(20,787 )</w:t>
            </w:r>
          </w:p>
        </w:tc>
      </w:tr>
      <w:tr>
        <w:trPr>
          <w:trHeight w:val="176"/>
        </w:trPr>
        <w:tc>
          <w:tcPr>
            <w:tcW w:w="770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4"/>
                <w:szCs w:val="14"/>
                <w:color w:val="auto"/>
              </w:rPr>
              <w:t>Proceeds from 2026 Notes issuance (See Notes 5 and 11)</w:t>
            </w:r>
          </w:p>
        </w:tc>
        <w:tc>
          <w:tcPr>
            <w:tcW w:w="102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84,333</w:t>
            </w:r>
          </w:p>
        </w:tc>
        <w:tc>
          <w:tcPr>
            <w:tcW w:w="26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660" w:type="dxa"/>
            <w:vAlign w:val="bottom"/>
            <w:tcBorders>
              <w:right w:val="single" w:sz="8" w:color="CCECFF"/>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96,841</w:t>
            </w:r>
          </w:p>
        </w:tc>
      </w:tr>
      <w:tr>
        <w:trPr>
          <w:trHeight w:val="175"/>
        </w:trPr>
        <w:tc>
          <w:tcPr>
            <w:tcW w:w="7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Borrowings under Credit Facility (See Notes 5 and 11)</w:t>
            </w: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137,254</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113,500</w:t>
            </w:r>
          </w:p>
        </w:tc>
      </w:tr>
      <w:tr>
        <w:trPr>
          <w:trHeight w:val="175"/>
        </w:trPr>
        <w:tc>
          <w:tcPr>
            <w:tcW w:w="770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4"/>
                <w:szCs w:val="14"/>
                <w:color w:val="auto"/>
              </w:rPr>
              <w:t>Repayments under Credit Facility (See Notes 5 and 11)</w:t>
            </w:r>
          </w:p>
        </w:tc>
        <w:tc>
          <w:tcPr>
            <w:tcW w:w="1020" w:type="dxa"/>
            <w:vAlign w:val="bottom"/>
            <w:shd w:val="clear" w:color="auto" w:fill="CCECFF"/>
          </w:tcPr>
          <w:p>
            <w:pPr>
              <w:spacing w:after="0"/>
              <w:rPr>
                <w:sz w:val="15"/>
                <w:szCs w:val="15"/>
                <w:color w:val="auto"/>
              </w:rPr>
            </w:pPr>
          </w:p>
        </w:tc>
        <w:tc>
          <w:tcPr>
            <w:tcW w:w="86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(107,000 )</w:t>
            </w:r>
          </w:p>
        </w:tc>
        <w:tc>
          <w:tcPr>
            <w:tcW w:w="1000" w:type="dxa"/>
            <w:vAlign w:val="bottom"/>
            <w:shd w:val="clear" w:color="auto" w:fill="CCECFF"/>
          </w:tcPr>
          <w:p>
            <w:pPr>
              <w:spacing w:after="0"/>
              <w:rPr>
                <w:sz w:val="15"/>
                <w:szCs w:val="15"/>
                <w:color w:val="auto"/>
              </w:rPr>
            </w:pPr>
          </w:p>
        </w:tc>
        <w:tc>
          <w:tcPr>
            <w:tcW w:w="660" w:type="dxa"/>
            <w:vAlign w:val="bottom"/>
            <w:tcBorders>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(275,199 )</w:t>
            </w:r>
          </w:p>
        </w:tc>
      </w:tr>
      <w:tr>
        <w:trPr>
          <w:trHeight w:val="20"/>
        </w:trPr>
        <w:tc>
          <w:tcPr>
            <w:tcW w:w="7700" w:type="dxa"/>
            <w:vAlign w:val="bottom"/>
            <w:shd w:val="clear" w:color="auto" w:fill="CCEC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60" w:type="dxa"/>
            <w:vAlign w:val="bottom"/>
            <w:tcBorders>
              <w:right w:val="single" w:sz="8" w:color="CCECFF"/>
            </w:tcBorders>
            <w:shd w:val="clear" w:color="auto" w:fill="000000"/>
          </w:tcPr>
          <w:p>
            <w:pPr>
              <w:spacing w:after="0" w:line="20" w:lineRule="exact"/>
              <w:rPr>
                <w:sz w:val="1"/>
                <w:szCs w:val="1"/>
                <w:color w:val="auto"/>
              </w:rPr>
            </w:pPr>
          </w:p>
        </w:tc>
      </w:tr>
      <w:tr>
        <w:trPr>
          <w:trHeight w:val="169"/>
        </w:trPr>
        <w:tc>
          <w:tcPr>
            <w:tcW w:w="77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0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101,618</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(107,745 )</w:t>
            </w:r>
          </w:p>
        </w:tc>
      </w:tr>
      <w:tr>
        <w:trPr>
          <w:trHeight w:val="169"/>
        </w:trPr>
        <w:tc>
          <w:tcPr>
            <w:tcW w:w="7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increase in cash equivalents</w:t>
            </w:r>
          </w:p>
        </w:tc>
        <w:tc>
          <w:tcPr>
            <w:tcW w:w="1020" w:type="dxa"/>
            <w:vAlign w:val="bottom"/>
            <w:tcBorders>
              <w:top w:val="single" w:sz="8" w:color="auto"/>
            </w:tcBorders>
            <w:shd w:val="clear" w:color="auto" w:fill="CCECFF"/>
          </w:tcPr>
          <w:p>
            <w:pPr>
              <w:spacing w:after="0"/>
              <w:rPr>
                <w:sz w:val="14"/>
                <w:szCs w:val="14"/>
                <w:color w:val="auto"/>
              </w:rPr>
            </w:pPr>
          </w:p>
        </w:tc>
        <w:tc>
          <w:tcPr>
            <w:tcW w:w="6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260" w:type="dxa"/>
            <w:vAlign w:val="bottom"/>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w w:val="84"/>
              </w:rPr>
              <w:t>)</w:t>
            </w:r>
          </w:p>
        </w:tc>
        <w:tc>
          <w:tcPr>
            <w:tcW w:w="1000" w:type="dxa"/>
            <w:vAlign w:val="bottom"/>
            <w:tcBorders>
              <w:top w:val="single" w:sz="8" w:color="auto"/>
            </w:tcBorders>
            <w:shd w:val="clear" w:color="auto" w:fill="CCECFF"/>
          </w:tcPr>
          <w:p>
            <w:pPr>
              <w:spacing w:after="0"/>
              <w:rPr>
                <w:sz w:val="14"/>
                <w:szCs w:val="14"/>
                <w:color w:val="auto"/>
              </w:rPr>
            </w:pPr>
          </w:p>
        </w:tc>
        <w:tc>
          <w:tcPr>
            <w:tcW w:w="660" w:type="dxa"/>
            <w:vAlign w:val="bottom"/>
            <w:tcBorders>
              <w:top w:val="single" w:sz="8" w:color="auto"/>
              <w:right w:val="single" w:sz="8" w:color="CCECFF"/>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10,007</w:t>
            </w: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(946 )</w:t>
            </w:r>
          </w:p>
        </w:tc>
      </w:tr>
      <w:tr>
        <w:trPr>
          <w:trHeight w:val="175"/>
        </w:trPr>
        <w:tc>
          <w:tcPr>
            <w:tcW w:w="77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beginning of period</w:t>
            </w:r>
          </w:p>
        </w:tc>
        <w:tc>
          <w:tcPr>
            <w:tcW w:w="1020" w:type="dxa"/>
            <w:vAlign w:val="bottom"/>
            <w:tcBorders>
              <w:bottom w:val="single" w:sz="8" w:color="auto"/>
            </w:tcBorders>
            <w:shd w:val="clear" w:color="auto" w:fill="CCECFF"/>
          </w:tcPr>
          <w:p>
            <w:pPr>
              <w:spacing w:after="0"/>
              <w:rPr>
                <w:sz w:val="15"/>
                <w:szCs w:val="15"/>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49,826</w:t>
            </w:r>
          </w:p>
        </w:tc>
        <w:tc>
          <w:tcPr>
            <w:tcW w:w="260" w:type="dxa"/>
            <w:vAlign w:val="bottom"/>
            <w:tcBorders>
              <w:bottom w:val="single" w:sz="8" w:color="CCECFF"/>
            </w:tcBorders>
            <w:shd w:val="clear" w:color="auto" w:fill="CCECFF"/>
          </w:tcPr>
          <w:p>
            <w:pPr>
              <w:spacing w:after="0"/>
              <w:rPr>
                <w:sz w:val="15"/>
                <w:szCs w:val="15"/>
                <w:color w:val="auto"/>
              </w:rPr>
            </w:pPr>
          </w:p>
        </w:tc>
        <w:tc>
          <w:tcPr>
            <w:tcW w:w="1000" w:type="dxa"/>
            <w:vAlign w:val="bottom"/>
            <w:tcBorders>
              <w:bottom w:val="single" w:sz="8" w:color="auto"/>
            </w:tcBorders>
            <w:shd w:val="clear" w:color="auto" w:fill="CCECFF"/>
          </w:tcPr>
          <w:p>
            <w:pPr>
              <w:spacing w:after="0"/>
              <w:rPr>
                <w:sz w:val="15"/>
                <w:szCs w:val="15"/>
                <w:color w:val="auto"/>
              </w:rPr>
            </w:pPr>
          </w:p>
        </w:tc>
        <w:tc>
          <w:tcPr>
            <w:tcW w:w="660" w:type="dxa"/>
            <w:vAlign w:val="bottom"/>
            <w:tcBorders>
              <w:bottom w:val="single" w:sz="8" w:color="auto"/>
              <w:right w:val="single" w:sz="8" w:color="CCECFF"/>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57,512</w:t>
            </w:r>
          </w:p>
        </w:tc>
      </w:tr>
      <w:tr>
        <w:trPr>
          <w:trHeight w:val="169"/>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end of period</w:t>
            </w:r>
          </w:p>
        </w:tc>
        <w:tc>
          <w:tcPr>
            <w:tcW w:w="1020" w:type="dxa"/>
            <w:vAlign w:val="bottom"/>
            <w:tcBorders>
              <w:bottom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50,064</w:t>
            </w:r>
          </w:p>
        </w:tc>
        <w:tc>
          <w:tcPr>
            <w:tcW w:w="260" w:type="dxa"/>
            <w:vAlign w:val="bottom"/>
          </w:tcPr>
          <w:p>
            <w:pPr>
              <w:spacing w:after="0"/>
              <w:rPr>
                <w:sz w:val="14"/>
                <w:szCs w:val="14"/>
                <w:color w:val="auto"/>
              </w:rPr>
            </w:pPr>
          </w:p>
        </w:tc>
        <w:tc>
          <w:tcPr>
            <w:tcW w:w="1000" w:type="dxa"/>
            <w:vAlign w:val="bottom"/>
            <w:tcBorders>
              <w:bottom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66,573</w:t>
            </w:r>
          </w:p>
        </w:tc>
      </w:tr>
      <w:tr>
        <w:trPr>
          <w:trHeight w:val="20"/>
        </w:trPr>
        <w:tc>
          <w:tcPr>
            <w:tcW w:w="7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56"/>
        </w:trPr>
        <w:tc>
          <w:tcPr>
            <w:tcW w:w="770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Supplemental disclosures:</w:t>
            </w:r>
          </w:p>
        </w:tc>
        <w:tc>
          <w:tcPr>
            <w:tcW w:w="102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660" w:type="dxa"/>
            <w:vAlign w:val="bottom"/>
            <w:tcBorders>
              <w:right w:val="single" w:sz="8" w:color="CCECFF"/>
            </w:tcBorders>
            <w:shd w:val="clear" w:color="auto" w:fill="CCECFF"/>
          </w:tcPr>
          <w:p>
            <w:pPr>
              <w:spacing w:after="0"/>
              <w:rPr>
                <w:sz w:val="13"/>
                <w:szCs w:val="13"/>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paid</w:t>
            </w:r>
          </w:p>
        </w:tc>
        <w:tc>
          <w:tcPr>
            <w:tcW w:w="1020" w:type="dxa"/>
            <w:vAlign w:val="bottom"/>
            <w:tcBorders>
              <w:bottom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11,356</w:t>
            </w:r>
          </w:p>
        </w:tc>
        <w:tc>
          <w:tcPr>
            <w:tcW w:w="260" w:type="dxa"/>
            <w:vAlign w:val="bottom"/>
          </w:tcPr>
          <w:p>
            <w:pPr>
              <w:spacing w:after="0"/>
              <w:rPr>
                <w:sz w:val="15"/>
                <w:szCs w:val="15"/>
                <w:color w:val="auto"/>
              </w:rPr>
            </w:pPr>
          </w:p>
        </w:tc>
        <w:tc>
          <w:tcPr>
            <w:tcW w:w="1000" w:type="dxa"/>
            <w:vAlign w:val="bottom"/>
            <w:tcBorders>
              <w:bottom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10,366</w:t>
            </w:r>
          </w:p>
        </w:tc>
      </w:tr>
      <w:tr>
        <w:trPr>
          <w:trHeight w:val="20"/>
        </w:trPr>
        <w:tc>
          <w:tcPr>
            <w:tcW w:w="7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96"/>
        </w:trPr>
        <w:tc>
          <w:tcPr>
            <w:tcW w:w="7700" w:type="dxa"/>
            <w:vAlign w:val="bottom"/>
            <w:tcBorders>
              <w:bottom w:val="single" w:sz="8" w:color="CCECFF"/>
            </w:tcBorders>
            <w:shd w:val="clear" w:color="auto" w:fill="CCECFF"/>
          </w:tcPr>
          <w:p>
            <w:pPr>
              <w:ind w:left="200"/>
              <w:spacing w:after="0" w:line="156" w:lineRule="exact"/>
              <w:rPr>
                <w:sz w:val="20"/>
                <w:szCs w:val="20"/>
                <w:color w:val="auto"/>
              </w:rPr>
            </w:pPr>
            <w:r>
              <w:rPr>
                <w:rFonts w:ascii="Times New Roman" w:cs="Times New Roman" w:eastAsia="Times New Roman" w:hAnsi="Times New Roman"/>
                <w:sz w:val="14"/>
                <w:szCs w:val="14"/>
                <w:color w:val="auto"/>
              </w:rPr>
              <w:t>Taxes paid</w:t>
            </w:r>
          </w:p>
        </w:tc>
        <w:tc>
          <w:tcPr>
            <w:tcW w:w="1020" w:type="dxa"/>
            <w:vAlign w:val="bottom"/>
            <w:tcBorders>
              <w:bottom w:val="single" w:sz="8" w:color="auto"/>
            </w:tcBorders>
            <w:shd w:val="clear" w:color="auto" w:fill="CCECFF"/>
          </w:tcPr>
          <w:p>
            <w:pPr>
              <w:jc w:val="right"/>
              <w:ind w:right="86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1,733</w:t>
            </w:r>
          </w:p>
        </w:tc>
        <w:tc>
          <w:tcPr>
            <w:tcW w:w="260" w:type="dxa"/>
            <w:vAlign w:val="bottom"/>
            <w:tcBorders>
              <w:bottom w:val="single" w:sz="8" w:color="CCECFF"/>
            </w:tcBorders>
            <w:shd w:val="clear" w:color="auto" w:fill="CCECFF"/>
          </w:tcPr>
          <w:p>
            <w:pPr>
              <w:spacing w:after="0"/>
              <w:rPr>
                <w:sz w:val="17"/>
                <w:szCs w:val="17"/>
                <w:color w:val="auto"/>
              </w:rPr>
            </w:pPr>
          </w:p>
        </w:tc>
        <w:tc>
          <w:tcPr>
            <w:tcW w:w="1000" w:type="dxa"/>
            <w:vAlign w:val="bottom"/>
            <w:tcBorders>
              <w:bottom w:val="single" w:sz="8" w:color="auto"/>
            </w:tcBorders>
            <w:shd w:val="clear" w:color="auto" w:fill="CCECFF"/>
          </w:tcPr>
          <w:p>
            <w:pPr>
              <w:jc w:val="right"/>
              <w:ind w:right="84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right w:val="single" w:sz="8" w:color="CCECFF"/>
            </w:tcBorders>
            <w:shd w:val="clear" w:color="auto" w:fill="CCECFF"/>
          </w:tcPr>
          <w:p>
            <w:pPr>
              <w:jc w:val="right"/>
              <w:ind w:right="8"/>
              <w:spacing w:after="0" w:line="156" w:lineRule="exact"/>
              <w:rPr>
                <w:sz w:val="20"/>
                <w:szCs w:val="20"/>
                <w:color w:val="auto"/>
              </w:rPr>
            </w:pPr>
            <w:r>
              <w:rPr>
                <w:rFonts w:ascii="Times New Roman" w:cs="Times New Roman" w:eastAsia="Times New Roman" w:hAnsi="Times New Roman"/>
                <w:sz w:val="14"/>
                <w:szCs w:val="14"/>
                <w:color w:val="auto"/>
              </w:rPr>
              <w:t>404</w:t>
            </w:r>
          </w:p>
        </w:tc>
      </w:tr>
      <w:tr>
        <w:trPr>
          <w:trHeight w:val="156"/>
        </w:trPr>
        <w:tc>
          <w:tcPr>
            <w:tcW w:w="7700" w:type="dxa"/>
            <w:vAlign w:val="bottom"/>
          </w:tcPr>
          <w:p>
            <w:pPr>
              <w:ind w:left="200"/>
              <w:spacing w:after="0" w:line="156" w:lineRule="exact"/>
              <w:rPr>
                <w:sz w:val="20"/>
                <w:szCs w:val="20"/>
                <w:color w:val="auto"/>
              </w:rPr>
            </w:pPr>
            <w:r>
              <w:rPr>
                <w:rFonts w:ascii="Times New Roman" w:cs="Times New Roman" w:eastAsia="Times New Roman" w:hAnsi="Times New Roman"/>
                <w:sz w:val="14"/>
                <w:szCs w:val="14"/>
                <w:color w:val="auto"/>
              </w:rPr>
              <w:t>Non-cash exchanges and conversions</w:t>
            </w:r>
          </w:p>
        </w:tc>
        <w:tc>
          <w:tcPr>
            <w:tcW w:w="1020" w:type="dxa"/>
            <w:vAlign w:val="bottom"/>
            <w:tcBorders>
              <w:bottom w:val="single" w:sz="8" w:color="auto"/>
            </w:tcBorders>
          </w:tcPr>
          <w:p>
            <w:pPr>
              <w:jc w:val="right"/>
              <w:ind w:right="86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22,380</w:t>
            </w:r>
          </w:p>
        </w:tc>
        <w:tc>
          <w:tcPr>
            <w:tcW w:w="260" w:type="dxa"/>
            <w:vAlign w:val="bottom"/>
          </w:tcPr>
          <w:p>
            <w:pPr>
              <w:spacing w:after="0"/>
              <w:rPr>
                <w:sz w:val="13"/>
                <w:szCs w:val="13"/>
                <w:color w:val="auto"/>
              </w:rPr>
            </w:pPr>
          </w:p>
        </w:tc>
        <w:tc>
          <w:tcPr>
            <w:tcW w:w="1000" w:type="dxa"/>
            <w:vAlign w:val="bottom"/>
            <w:tcBorders>
              <w:bottom w:val="single" w:sz="8" w:color="auto"/>
            </w:tcBorders>
          </w:tcPr>
          <w:p>
            <w:pPr>
              <w:jc w:val="right"/>
              <w:ind w:right="84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ind w:right="8"/>
              <w:spacing w:after="0" w:line="156" w:lineRule="exact"/>
              <w:rPr>
                <w:sz w:val="20"/>
                <w:szCs w:val="20"/>
                <w:color w:val="auto"/>
              </w:rPr>
            </w:pPr>
            <w:r>
              <w:rPr>
                <w:rFonts w:ascii="Times New Roman" w:cs="Times New Roman" w:eastAsia="Times New Roman" w:hAnsi="Times New Roman"/>
                <w:sz w:val="14"/>
                <w:szCs w:val="14"/>
                <w:color w:val="auto"/>
              </w:rPr>
              <w:t>20,334</w:t>
            </w:r>
          </w:p>
        </w:tc>
      </w:tr>
      <w:tr>
        <w:trPr>
          <w:trHeight w:val="20"/>
        </w:trPr>
        <w:tc>
          <w:tcPr>
            <w:tcW w:w="7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-2030730</wp:posOffset>
            </wp:positionV>
            <wp:extent cx="514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-2030730</wp:posOffset>
            </wp:positionV>
            <wp:extent cx="431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-1130935</wp:posOffset>
            </wp:positionV>
            <wp:extent cx="514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-1130935</wp:posOffset>
            </wp:positionV>
            <wp:extent cx="431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-668020</wp:posOffset>
            </wp:positionV>
            <wp:extent cx="514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-668020</wp:posOffset>
            </wp:positionV>
            <wp:extent cx="431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-161925</wp:posOffset>
            </wp:positionV>
            <wp:extent cx="514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-145415</wp:posOffset>
            </wp:positionV>
            <wp:extent cx="514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-161925</wp:posOffset>
            </wp:positionV>
            <wp:extent cx="431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-145415</wp:posOffset>
            </wp:positionV>
            <wp:extent cx="431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7" w:name="page8"/>
    <w:bookmarkEnd w:id="7"/>
    <w:p>
      <w:pPr>
        <w:ind w:left="3260"/>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w w:val="95"/>
              </w:rPr>
              <w:t>Spread</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tcPr>
          <w:p>
            <w:pPr>
              <w:jc w:val="right"/>
              <w:ind w:right="280"/>
              <w:spacing w:after="0" w:line="111" w:lineRule="exact"/>
              <w:rPr>
                <w:sz w:val="20"/>
                <w:szCs w:val="20"/>
                <w:color w:val="auto"/>
              </w:rPr>
            </w:pPr>
            <w:r>
              <w:rPr>
                <w:rFonts w:ascii="Times New Roman" w:cs="Times New Roman" w:eastAsia="Times New Roman" w:hAnsi="Times New Roman"/>
                <w:sz w:val="11"/>
                <w:szCs w:val="11"/>
                <w:b w:val="1"/>
                <w:bCs w:val="1"/>
                <w:color w:val="auto"/>
              </w:rPr>
              <w:t>Current</w:t>
            </w:r>
          </w:p>
        </w:tc>
        <w:tc>
          <w:tcPr>
            <w:tcW w:w="140" w:type="dxa"/>
            <w:vAlign w:val="bottom"/>
          </w:tcPr>
          <w:p>
            <w:pPr>
              <w:spacing w:after="0"/>
              <w:rPr>
                <w:sz w:val="9"/>
                <w:szCs w:val="9"/>
                <w:color w:val="auto"/>
              </w:rPr>
            </w:pPr>
          </w:p>
        </w:tc>
        <w:tc>
          <w:tcPr>
            <w:tcW w:w="76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rPr>
              <w:t>Above</w:t>
            </w:r>
          </w:p>
        </w:tc>
        <w:tc>
          <w:tcPr>
            <w:tcW w:w="160" w:type="dxa"/>
            <w:vAlign w:val="bottom"/>
          </w:tcPr>
          <w:p>
            <w:pPr>
              <w:spacing w:after="0"/>
              <w:rPr>
                <w:sz w:val="9"/>
                <w:szCs w:val="9"/>
                <w:color w:val="auto"/>
              </w:rPr>
            </w:pPr>
          </w:p>
        </w:tc>
        <w:tc>
          <w:tcPr>
            <w:tcW w:w="760" w:type="dxa"/>
            <w:vAlign w:val="bottom"/>
          </w:tcPr>
          <w:p>
            <w:pPr>
              <w:jc w:val="right"/>
              <w:ind w:right="206"/>
              <w:spacing w:after="0" w:line="111" w:lineRule="exact"/>
              <w:rPr>
                <w:sz w:val="20"/>
                <w:szCs w:val="20"/>
                <w:color w:val="auto"/>
              </w:rPr>
            </w:pPr>
            <w:r>
              <w:rPr>
                <w:rFonts w:ascii="Times New Roman" w:cs="Times New Roman" w:eastAsia="Times New Roman" w:hAnsi="Times New Roman"/>
                <w:sz w:val="11"/>
                <w:szCs w:val="11"/>
                <w:b w:val="1"/>
                <w:bCs w:val="1"/>
                <w:color w:val="auto"/>
              </w:rPr>
              <w:t>Par /</w:t>
            </w: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9"/>
              </w:rPr>
              <w:t xml:space="preserve">Fair Value </w:t>
            </w:r>
            <w:r>
              <w:rPr>
                <w:rFonts w:ascii="Times New Roman" w:cs="Times New Roman" w:eastAsia="Times New Roman" w:hAnsi="Times New Roman"/>
                <w:sz w:val="14"/>
                <w:szCs w:val="14"/>
                <w:b w:val="1"/>
                <w:bCs w:val="1"/>
                <w:color w:val="auto"/>
                <w:w w:val="99"/>
                <w:vertAlign w:val="superscript"/>
              </w:rPr>
              <w:t>(2)</w:t>
            </w:r>
          </w:p>
        </w:tc>
        <w:tc>
          <w:tcPr>
            <w:tcW w:w="4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40" w:type="dxa"/>
            <w:vAlign w:val="bottom"/>
          </w:tcPr>
          <w:p>
            <w:pPr>
              <w:spacing w:after="0"/>
              <w:rPr>
                <w:sz w:val="13"/>
                <w:szCs w:val="13"/>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40" w:type="dxa"/>
            <w:vAlign w:val="bottom"/>
          </w:tcPr>
          <w:p>
            <w:pPr>
              <w:spacing w:after="0"/>
              <w:rPr>
                <w:sz w:val="13"/>
                <w:szCs w:val="13"/>
                <w:color w:val="auto"/>
              </w:rPr>
            </w:pPr>
          </w:p>
        </w:tc>
        <w:tc>
          <w:tcPr>
            <w:tcW w:w="7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Borders>
              <w:bottom w:val="single" w:sz="8" w:color="auto"/>
            </w:tcBorders>
          </w:tcPr>
          <w:p>
            <w:pPr>
              <w:jc w:val="center"/>
              <w:spacing w:after="0" w:line="143" w:lineRule="exact"/>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160" w:type="dxa"/>
            <w:vAlign w:val="bottom"/>
          </w:tcPr>
          <w:p>
            <w:pPr>
              <w:spacing w:after="0"/>
              <w:rPr>
                <w:sz w:val="13"/>
                <w:szCs w:val="13"/>
                <w:color w:val="auto"/>
              </w:rPr>
            </w:pPr>
          </w:p>
        </w:tc>
        <w:tc>
          <w:tcPr>
            <w:tcW w:w="76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3"/>
                <w:szCs w:val="13"/>
                <w:color w:val="auto"/>
              </w:rPr>
            </w:pPr>
          </w:p>
        </w:tc>
        <w:tc>
          <w:tcPr>
            <w:tcW w:w="76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60" w:type="dxa"/>
            <w:vAlign w:val="bottom"/>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46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1"/>
                <w:szCs w:val="11"/>
                <w:b w:val="1"/>
                <w:bCs w:val="1"/>
                <w:color w:val="auto"/>
                <w:w w:val="93"/>
              </w:rPr>
              <w:t>Investments in Non-Controlled, Non-Affiliated Portfolio Companies—179.4%</w:t>
            </w:r>
          </w:p>
        </w:tc>
        <w:tc>
          <w:tcPr>
            <w:tcW w:w="660" w:type="dxa"/>
            <w:vAlign w:val="bottom"/>
          </w:tcPr>
          <w:p>
            <w:pPr>
              <w:jc w:val="right"/>
              <w:ind w:right="235"/>
              <w:spacing w:after="0" w:line="63" w:lineRule="exact"/>
              <w:rPr>
                <w:sz w:val="20"/>
                <w:szCs w:val="20"/>
                <w:color w:val="auto"/>
              </w:rPr>
            </w:pPr>
            <w:r>
              <w:rPr>
                <w:rFonts w:ascii="Times New Roman" w:cs="Times New Roman" w:eastAsia="Times New Roman" w:hAnsi="Times New Roman"/>
                <w:sz w:val="7"/>
                <w:szCs w:val="7"/>
                <w:b w:val="1"/>
                <w:bCs w:val="1"/>
                <w:color w:val="auto"/>
              </w:rPr>
              <w:t>(3), (4)</w:t>
            </w:r>
          </w:p>
        </w:tc>
        <w:tc>
          <w:tcPr>
            <w:tcW w:w="1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Debt—160.0%</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Ad.net Acquisition,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05/06/2026</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Media</w:t>
            </w:r>
          </w:p>
        </w:tc>
        <w:tc>
          <w:tcPr>
            <w:tcW w:w="96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1"/>
                <w:szCs w:val="11"/>
                <w:color w:val="auto"/>
              </w:rPr>
              <w:t>7.00 %</w:t>
            </w:r>
          </w:p>
        </w:tc>
        <w:tc>
          <w:tcPr>
            <w:tcW w:w="140" w:type="dxa"/>
            <w:vAlign w:val="bottom"/>
          </w:tcPr>
          <w:p>
            <w:pPr>
              <w:spacing w:after="0"/>
              <w:rPr>
                <w:sz w:val="10"/>
                <w:szCs w:val="10"/>
                <w:color w:val="auto"/>
              </w:rPr>
            </w:pP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L+600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4,963</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4,899</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4,963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Ad.net Acquisition,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05/06/2026</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1,244</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Altamira Technologies,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07/24/2025</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IT Services</w:t>
            </w:r>
          </w:p>
        </w:tc>
        <w:tc>
          <w:tcPr>
            <w:tcW w:w="96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1"/>
                <w:szCs w:val="11"/>
                <w:color w:val="auto"/>
              </w:rPr>
              <w:t>9.00 %</w:t>
            </w:r>
          </w:p>
        </w:tc>
        <w:tc>
          <w:tcPr>
            <w:tcW w:w="140" w:type="dxa"/>
            <w:vAlign w:val="bottom"/>
          </w:tcPr>
          <w:p>
            <w:pPr>
              <w:spacing w:after="0"/>
              <w:rPr>
                <w:sz w:val="10"/>
                <w:szCs w:val="10"/>
                <w:color w:val="auto"/>
              </w:rPr>
            </w:pP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L+800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4,932</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4,886</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4,734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Altamira Technologies, LLC (Revolver)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07/24/2025</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9.00 %</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552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Altamira Technologies,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07/24/2025</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1,581</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(63 )</w:t>
            </w:r>
          </w:p>
        </w:tc>
        <w:tc>
          <w:tcPr>
            <w:tcW w:w="0" w:type="dxa"/>
            <w:vAlign w:val="bottom"/>
          </w:tcPr>
          <w:p>
            <w:pPr>
              <w:spacing w:after="0"/>
              <w:rPr>
                <w:sz w:val="1"/>
                <w:szCs w:val="1"/>
                <w:color w:val="auto"/>
              </w:rPr>
            </w:pPr>
          </w:p>
        </w:tc>
      </w:tr>
      <w:tr>
        <w:trPr>
          <w:trHeight w:val="125"/>
        </w:trPr>
        <w:tc>
          <w:tcPr>
            <w:tcW w:w="3320" w:type="dxa"/>
            <w:vAlign w:val="bottom"/>
          </w:tcPr>
          <w:p>
            <w:pPr>
              <w:ind w:left="20"/>
              <w:spacing w:after="0" w:line="125" w:lineRule="exact"/>
              <w:rPr>
                <w:sz w:val="20"/>
                <w:szCs w:val="20"/>
                <w:color w:val="auto"/>
              </w:rPr>
            </w:pPr>
            <w:r>
              <w:rPr>
                <w:rFonts w:ascii="Times New Roman" w:cs="Times New Roman" w:eastAsia="Times New Roman" w:hAnsi="Times New Roman"/>
                <w:sz w:val="11"/>
                <w:szCs w:val="11"/>
                <w:color w:val="auto"/>
              </w:rPr>
              <w:t>American Insulated Glass, LLC</w:t>
            </w:r>
          </w:p>
        </w:tc>
        <w:tc>
          <w:tcPr>
            <w:tcW w:w="800" w:type="dxa"/>
            <w:vAlign w:val="bottom"/>
            <w:gridSpan w:val="2"/>
          </w:tcPr>
          <w:p>
            <w:pPr>
              <w:jc w:val="center"/>
              <w:ind w:left="86"/>
              <w:spacing w:after="0" w:line="125" w:lineRule="exact"/>
              <w:rPr>
                <w:sz w:val="20"/>
                <w:szCs w:val="20"/>
                <w:color w:val="auto"/>
              </w:rPr>
            </w:pPr>
            <w:r>
              <w:rPr>
                <w:rFonts w:ascii="Times New Roman" w:cs="Times New Roman" w:eastAsia="Times New Roman" w:hAnsi="Times New Roman"/>
                <w:sz w:val="11"/>
                <w:szCs w:val="11"/>
                <w:color w:val="auto"/>
                <w:w w:val="99"/>
              </w:rPr>
              <w:t>12/21/2023</w:t>
            </w:r>
          </w:p>
        </w:tc>
        <w:tc>
          <w:tcPr>
            <w:tcW w:w="140" w:type="dxa"/>
            <w:vAlign w:val="bottom"/>
          </w:tcPr>
          <w:p>
            <w:pPr>
              <w:spacing w:after="0"/>
              <w:rPr>
                <w:sz w:val="10"/>
                <w:szCs w:val="10"/>
                <w:color w:val="auto"/>
              </w:rPr>
            </w:pPr>
          </w:p>
        </w:tc>
        <w:tc>
          <w:tcPr>
            <w:tcW w:w="234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color w:val="auto"/>
                <w:w w:val="97"/>
              </w:rPr>
              <w:t>Building Products</w:t>
            </w:r>
          </w:p>
        </w:tc>
        <w:tc>
          <w:tcPr>
            <w:tcW w:w="960" w:type="dxa"/>
            <w:vAlign w:val="bottom"/>
            <w:gridSpan w:val="3"/>
          </w:tcPr>
          <w:p>
            <w:pPr>
              <w:jc w:val="right"/>
              <w:spacing w:after="0" w:line="125" w:lineRule="exact"/>
              <w:rPr>
                <w:sz w:val="20"/>
                <w:szCs w:val="20"/>
                <w:color w:val="auto"/>
              </w:rPr>
            </w:pPr>
            <w:r>
              <w:rPr>
                <w:rFonts w:ascii="Times New Roman" w:cs="Times New Roman" w:eastAsia="Times New Roman" w:hAnsi="Times New Roman"/>
                <w:sz w:val="11"/>
                <w:szCs w:val="11"/>
                <w:color w:val="auto"/>
              </w:rPr>
              <w:t>6.50 %</w:t>
            </w:r>
          </w:p>
        </w:tc>
        <w:tc>
          <w:tcPr>
            <w:tcW w:w="14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w w:val="97"/>
              </w:rPr>
              <w:t>(6)</w:t>
            </w:r>
          </w:p>
        </w:tc>
        <w:tc>
          <w:tcPr>
            <w:tcW w:w="76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3M L+550</w:t>
            </w:r>
          </w:p>
        </w:tc>
        <w:tc>
          <w:tcPr>
            <w:tcW w:w="92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1"/>
                <w:szCs w:val="11"/>
                <w:color w:val="auto"/>
              </w:rPr>
              <w:t>7,647</w:t>
            </w:r>
          </w:p>
        </w:tc>
        <w:tc>
          <w:tcPr>
            <w:tcW w:w="92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1"/>
                <w:szCs w:val="11"/>
                <w:color w:val="auto"/>
              </w:rPr>
              <w:t>7,588</w:t>
            </w:r>
          </w:p>
        </w:tc>
        <w:tc>
          <w:tcPr>
            <w:tcW w:w="90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1"/>
                <w:szCs w:val="11"/>
                <w:color w:val="auto"/>
              </w:rPr>
              <w:t>7,647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3320" w:type="dxa"/>
            <w:vAlign w:val="bottom"/>
          </w:tcPr>
          <w:p>
            <w:pPr>
              <w:ind w:left="20"/>
              <w:spacing w:after="0" w:line="127" w:lineRule="exact"/>
              <w:rPr>
                <w:sz w:val="20"/>
                <w:szCs w:val="20"/>
                <w:color w:val="auto"/>
              </w:rPr>
            </w:pPr>
            <w:r>
              <w:rPr>
                <w:rFonts w:ascii="Times New Roman" w:cs="Times New Roman" w:eastAsia="Times New Roman" w:hAnsi="Times New Roman"/>
                <w:sz w:val="11"/>
                <w:szCs w:val="11"/>
                <w:color w:val="auto"/>
              </w:rPr>
              <w:t>American Teleconferencing Services, Ltd.</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06/08/2023</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120" w:type="dxa"/>
            <w:vAlign w:val="bottom"/>
          </w:tcPr>
          <w:p>
            <w:pPr>
              <w:spacing w:after="0"/>
              <w:rPr>
                <w:sz w:val="11"/>
                <w:szCs w:val="11"/>
                <w:color w:val="auto"/>
              </w:rPr>
            </w:pPr>
          </w:p>
        </w:tc>
        <w:tc>
          <w:tcPr>
            <w:tcW w:w="140" w:type="dxa"/>
            <w:vAlign w:val="bottom"/>
            <w:vMerge w:val="restart"/>
          </w:tcPr>
          <w:p>
            <w:pPr>
              <w:jc w:val="right"/>
              <w:ind w:right="4"/>
              <w:spacing w:after="0"/>
              <w:rPr>
                <w:sz w:val="20"/>
                <w:szCs w:val="20"/>
                <w:color w:val="auto"/>
              </w:rPr>
            </w:pPr>
            <w:r>
              <w:rPr>
                <w:rFonts w:ascii="Times New Roman" w:cs="Times New Roman" w:eastAsia="Times New Roman" w:hAnsi="Times New Roman"/>
                <w:sz w:val="7"/>
                <w:szCs w:val="7"/>
                <w:color w:val="auto"/>
                <w:w w:val="97"/>
              </w:rPr>
              <w:t>(6)</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7,986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7,915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3320" w:type="dxa"/>
            <w:vAlign w:val="bottom"/>
            <w:vMerge w:val="restart"/>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American Teleconferencing Services, Ltd. (Revolver) </w:t>
            </w:r>
            <w:r>
              <w:rPr>
                <w:rFonts w:ascii="Times New Roman" w:cs="Times New Roman" w:eastAsia="Times New Roman" w:hAnsi="Times New Roman"/>
                <w:sz w:val="14"/>
                <w:szCs w:val="14"/>
                <w:color w:val="auto"/>
                <w:vertAlign w:val="superscript"/>
              </w:rPr>
              <w:t>(7)</w:t>
            </w:r>
          </w:p>
        </w:tc>
        <w:tc>
          <w:tcPr>
            <w:tcW w:w="800" w:type="dxa"/>
            <w:vAlign w:val="bottom"/>
            <w:gridSpan w:val="2"/>
            <w:vMerge w:val="restart"/>
          </w:tcPr>
          <w:p>
            <w:pPr>
              <w:jc w:val="center"/>
              <w:ind w:left="86"/>
              <w:spacing w:after="0"/>
              <w:rPr>
                <w:sz w:val="20"/>
                <w:szCs w:val="20"/>
                <w:color w:val="auto"/>
              </w:rPr>
            </w:pPr>
            <w:r>
              <w:rPr>
                <w:rFonts w:ascii="Times New Roman" w:cs="Times New Roman" w:eastAsia="Times New Roman" w:hAnsi="Times New Roman"/>
                <w:sz w:val="11"/>
                <w:szCs w:val="11"/>
                <w:color w:val="auto"/>
                <w:w w:val="99"/>
              </w:rPr>
              <w:t>12/08/2022</w:t>
            </w:r>
          </w:p>
        </w:tc>
        <w:tc>
          <w:tcPr>
            <w:tcW w:w="140" w:type="dxa"/>
            <w:vAlign w:val="bottom"/>
          </w:tcPr>
          <w:p>
            <w:pPr>
              <w:spacing w:after="0"/>
              <w:rPr>
                <w:sz w:val="5"/>
                <w:szCs w:val="5"/>
                <w:color w:val="auto"/>
              </w:rPr>
            </w:pPr>
          </w:p>
        </w:tc>
        <w:tc>
          <w:tcPr>
            <w:tcW w:w="23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1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1,656</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1,642</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1,375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332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234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Any Hour Services</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07/21/2027</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Energy Equipment and Services</w:t>
            </w:r>
          </w:p>
        </w:tc>
        <w:tc>
          <w:tcPr>
            <w:tcW w:w="96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1"/>
                <w:szCs w:val="11"/>
                <w:color w:val="auto"/>
              </w:rPr>
              <w:t>6.75 %</w:t>
            </w:r>
          </w:p>
        </w:tc>
        <w:tc>
          <w:tcPr>
            <w:tcW w:w="140" w:type="dxa"/>
            <w:vAlign w:val="bottom"/>
          </w:tcPr>
          <w:p>
            <w:pPr>
              <w:spacing w:after="0"/>
              <w:rPr>
                <w:sz w:val="10"/>
                <w:szCs w:val="10"/>
                <w:color w:val="auto"/>
              </w:rPr>
            </w:pP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9,978</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9,852</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9,978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Any Hour Services Term Loan I</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07/21/2027</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Energy Equipment and Services</w:t>
            </w:r>
          </w:p>
        </w:tc>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314</w:t>
            </w: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Any Hour Services Term Loan II</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01/14/2024</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Energy Equipment and Services</w:t>
            </w:r>
          </w:p>
        </w:tc>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3,824</w:t>
            </w: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Any Hour Services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07/21/2027</w:t>
            </w:r>
          </w:p>
        </w:tc>
        <w:tc>
          <w:tcPr>
            <w:tcW w:w="14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Energy Equipment and Services</w:t>
            </w:r>
          </w:p>
        </w:tc>
        <w:tc>
          <w:tcPr>
            <w:tcW w:w="14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1,147</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07/31/2025</w:t>
            </w: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96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6.25 %</w:t>
            </w:r>
          </w:p>
        </w:tc>
        <w:tc>
          <w:tcPr>
            <w:tcW w:w="14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6,240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6,191</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6,240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3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Apex Service Partners, LLC Term Loan B</w:t>
            </w:r>
          </w:p>
        </w:tc>
        <w:tc>
          <w:tcPr>
            <w:tcW w:w="800" w:type="dxa"/>
            <w:vAlign w:val="bottom"/>
            <w:gridSpan w:val="2"/>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9"/>
              </w:rPr>
              <w:t>07/31/2025</w:t>
            </w:r>
          </w:p>
        </w:tc>
        <w:tc>
          <w:tcPr>
            <w:tcW w:w="140" w:type="dxa"/>
            <w:vAlign w:val="bottom"/>
          </w:tcPr>
          <w:p>
            <w:pPr>
              <w:spacing w:after="0"/>
              <w:rPr>
                <w:sz w:val="10"/>
                <w:szCs w:val="10"/>
                <w:color w:val="auto"/>
              </w:rPr>
            </w:pPr>
          </w:p>
        </w:tc>
        <w:tc>
          <w:tcPr>
            <w:tcW w:w="23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Diversified Consumer Services</w:t>
            </w:r>
          </w:p>
        </w:tc>
        <w:tc>
          <w:tcPr>
            <w:tcW w:w="9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6.50 %</w:t>
            </w:r>
          </w:p>
        </w:tc>
        <w:tc>
          <w:tcPr>
            <w:tcW w:w="14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1M L+550</w:t>
            </w:r>
          </w:p>
        </w:tc>
        <w:tc>
          <w:tcPr>
            <w:tcW w:w="9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298</w:t>
            </w:r>
          </w:p>
        </w:tc>
        <w:tc>
          <w:tcPr>
            <w:tcW w:w="9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298</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298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Apex Service Partners, LLC Term Loan 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07/31/2025</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Diversified Consumer Services</w:t>
            </w:r>
          </w:p>
        </w:tc>
        <w:tc>
          <w:tcPr>
            <w:tcW w:w="96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1"/>
                <w:szCs w:val="11"/>
                <w:color w:val="auto"/>
              </w:rPr>
              <w:t>6.37 %</w:t>
            </w:r>
          </w:p>
        </w:tc>
        <w:tc>
          <w:tcPr>
            <w:tcW w:w="140" w:type="dxa"/>
            <w:vAlign w:val="bottom"/>
          </w:tcPr>
          <w:p>
            <w:pPr>
              <w:spacing w:after="0"/>
              <w:rPr>
                <w:sz w:val="10"/>
                <w:szCs w:val="10"/>
                <w:color w:val="auto"/>
              </w:rPr>
            </w:pP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L+525</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19,989</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19,821</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19,989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Apex Service Partners, LLC (Revolver)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07/29/2024</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6.25 %</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Apex Service Partners,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07/29/2024</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1,353</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API Technologies Corp.</w:t>
            </w:r>
          </w:p>
        </w:tc>
        <w:tc>
          <w:tcPr>
            <w:tcW w:w="8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05/11/2026</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4.71 %</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5,835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5,813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5,354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Applied Technical Services,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12/29/2026</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Commercial Services &amp; Supplies</w:t>
            </w:r>
          </w:p>
        </w:tc>
        <w:tc>
          <w:tcPr>
            <w:tcW w:w="96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1"/>
                <w:szCs w:val="11"/>
                <w:color w:val="auto"/>
              </w:rPr>
              <w:t>6.76 %</w:t>
            </w:r>
          </w:p>
        </w:tc>
        <w:tc>
          <w:tcPr>
            <w:tcW w:w="140" w:type="dxa"/>
            <w:vAlign w:val="bottom"/>
          </w:tcPr>
          <w:p>
            <w:pPr>
              <w:spacing w:after="0"/>
              <w:rPr>
                <w:sz w:val="10"/>
                <w:szCs w:val="10"/>
                <w:color w:val="auto"/>
              </w:rPr>
            </w:pP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8,913</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8,780</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8,802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Applied Technical Services, LLC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06/29/2022</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4,578</w:t>
            </w: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(6 )</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Applied Technical Services, LLC (Revolver)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12/29/2026</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8.25 %</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Applied Technical Services,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12/29/2026</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1,082</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(14 )</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Arcfield Acquisition Corp.</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03/07/2028</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96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1"/>
                <w:szCs w:val="11"/>
                <w:color w:val="auto"/>
              </w:rPr>
              <w:t>6.50 %</w:t>
            </w:r>
          </w:p>
        </w:tc>
        <w:tc>
          <w:tcPr>
            <w:tcW w:w="140" w:type="dxa"/>
            <w:vAlign w:val="bottom"/>
          </w:tcPr>
          <w:p>
            <w:pPr>
              <w:spacing w:after="0"/>
              <w:rPr>
                <w:sz w:val="10"/>
                <w:szCs w:val="10"/>
                <w:color w:val="auto"/>
              </w:rPr>
            </w:pP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4,700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4,607</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4,606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Arcfield Acquisition Corp. (Revolver)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03/07/2028</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887</w:t>
            </w: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Blackhawk Industrial Distribution, Inc.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09/17/2024</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1,829</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(14 )</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Blackhawk Industrial Distribution, Inc. (Revolver)</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09/17/2024</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Distributors</w:t>
            </w:r>
          </w:p>
        </w:tc>
        <w:tc>
          <w:tcPr>
            <w:tcW w:w="96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1"/>
                <w:szCs w:val="11"/>
                <w:color w:val="auto"/>
              </w:rPr>
              <w:t>6.00 %</w:t>
            </w:r>
          </w:p>
        </w:tc>
        <w:tc>
          <w:tcPr>
            <w:tcW w:w="140" w:type="dxa"/>
            <w:vAlign w:val="bottom"/>
          </w:tcPr>
          <w:p>
            <w:pPr>
              <w:spacing w:after="0"/>
              <w:rPr>
                <w:sz w:val="10"/>
                <w:szCs w:val="10"/>
                <w:color w:val="auto"/>
              </w:rPr>
            </w:pP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L+425</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183</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183</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180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Blackhawk Industrial Distribution, Inc.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09/17/2024</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1,646</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(25 )</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Broder Bros., Co.</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12/02/2022</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Textiles, Apparel and Luxury Goods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8.00 %</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3,657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3,657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3,657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By Light Professional IT Services,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05/16/2022</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6"/>
              </w:rPr>
              <w:t>High Tech Industries</w:t>
            </w:r>
          </w:p>
        </w:tc>
        <w:tc>
          <w:tcPr>
            <w:tcW w:w="96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1"/>
                <w:szCs w:val="11"/>
                <w:color w:val="auto"/>
              </w:rPr>
              <w:t>7.25 %</w:t>
            </w:r>
          </w:p>
        </w:tc>
        <w:tc>
          <w:tcPr>
            <w:tcW w:w="140" w:type="dxa"/>
            <w:vAlign w:val="bottom"/>
          </w:tcPr>
          <w:p>
            <w:pPr>
              <w:spacing w:after="0"/>
              <w:rPr>
                <w:sz w:val="10"/>
                <w:szCs w:val="10"/>
                <w:color w:val="auto"/>
              </w:rPr>
            </w:pP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L+625</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44,331</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43,950</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43,888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By Light Professional IT Services, LLC (Revolver)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05/16/2022</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4,065</w:t>
            </w: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(41 )</w:t>
            </w:r>
          </w:p>
        </w:tc>
        <w:tc>
          <w:tcPr>
            <w:tcW w:w="0" w:type="dxa"/>
            <w:vAlign w:val="bottom"/>
          </w:tcPr>
          <w:p>
            <w:pPr>
              <w:spacing w:after="0"/>
              <w:rPr>
                <w:sz w:val="1"/>
                <w:szCs w:val="1"/>
                <w:color w:val="auto"/>
              </w:rPr>
            </w:pPr>
          </w:p>
        </w:tc>
      </w:tr>
      <w:tr>
        <w:trPr>
          <w:trHeight w:val="167"/>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Cadence Aerospace, LLC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11/14/2023</w:t>
            </w:r>
          </w:p>
        </w:tc>
        <w:tc>
          <w:tcPr>
            <w:tcW w:w="14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9.50 %</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3,018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3,005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2,994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CF512, Inc.</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(PIK 9.50%)</w:t>
            </w:r>
          </w:p>
        </w:tc>
        <w:tc>
          <w:tcPr>
            <w:tcW w:w="14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320" w:type="dxa"/>
            <w:vAlign w:val="bottom"/>
            <w:vMerge w:val="continue"/>
          </w:tcPr>
          <w:p>
            <w:pPr>
              <w:spacing w:after="0"/>
              <w:rPr>
                <w:sz w:val="8"/>
                <w:szCs w:val="8"/>
                <w:color w:val="auto"/>
              </w:rPr>
            </w:pPr>
          </w:p>
        </w:tc>
        <w:tc>
          <w:tcPr>
            <w:tcW w:w="800" w:type="dxa"/>
            <w:vAlign w:val="bottom"/>
            <w:gridSpan w:val="2"/>
          </w:tcPr>
          <w:p>
            <w:pPr>
              <w:jc w:val="center"/>
              <w:ind w:left="86"/>
              <w:spacing w:after="0" w:line="103" w:lineRule="exact"/>
              <w:rPr>
                <w:sz w:val="20"/>
                <w:szCs w:val="20"/>
                <w:color w:val="auto"/>
              </w:rPr>
            </w:pPr>
            <w:r>
              <w:rPr>
                <w:rFonts w:ascii="Times New Roman" w:cs="Times New Roman" w:eastAsia="Times New Roman" w:hAnsi="Times New Roman"/>
                <w:sz w:val="11"/>
                <w:szCs w:val="11"/>
                <w:color w:val="auto"/>
                <w:w w:val="99"/>
              </w:rPr>
              <w:t>08/20/2026</w:t>
            </w:r>
          </w:p>
        </w:tc>
        <w:tc>
          <w:tcPr>
            <w:tcW w:w="140" w:type="dxa"/>
            <w:vAlign w:val="bottom"/>
          </w:tcPr>
          <w:p>
            <w:pPr>
              <w:spacing w:after="0"/>
              <w:rPr>
                <w:sz w:val="8"/>
                <w:szCs w:val="8"/>
                <w:color w:val="auto"/>
              </w:rPr>
            </w:pPr>
          </w:p>
        </w:tc>
        <w:tc>
          <w:tcPr>
            <w:tcW w:w="234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9"/>
              </w:rPr>
              <w:t>Media</w:t>
            </w:r>
          </w:p>
        </w:tc>
        <w:tc>
          <w:tcPr>
            <w:tcW w:w="960" w:type="dxa"/>
            <w:vAlign w:val="bottom"/>
            <w:gridSpan w:val="3"/>
          </w:tcPr>
          <w:p>
            <w:pPr>
              <w:jc w:val="right"/>
              <w:spacing w:after="0" w:line="103" w:lineRule="exact"/>
              <w:rPr>
                <w:sz w:val="20"/>
                <w:szCs w:val="20"/>
                <w:color w:val="auto"/>
              </w:rPr>
            </w:pPr>
            <w:r>
              <w:rPr>
                <w:rFonts w:ascii="Times New Roman" w:cs="Times New Roman" w:eastAsia="Times New Roman" w:hAnsi="Times New Roman"/>
                <w:sz w:val="11"/>
                <w:szCs w:val="11"/>
                <w:color w:val="auto"/>
              </w:rPr>
              <w:t>7.00 %</w:t>
            </w:r>
          </w:p>
        </w:tc>
        <w:tc>
          <w:tcPr>
            <w:tcW w:w="140" w:type="dxa"/>
            <w:vAlign w:val="bottom"/>
          </w:tcPr>
          <w:p>
            <w:pPr>
              <w:spacing w:after="0"/>
              <w:rPr>
                <w:sz w:val="8"/>
                <w:szCs w:val="8"/>
                <w:color w:val="auto"/>
              </w:rPr>
            </w:pPr>
          </w:p>
        </w:tc>
        <w:tc>
          <w:tcPr>
            <w:tcW w:w="7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3M L+600</w:t>
            </w:r>
          </w:p>
        </w:tc>
        <w:tc>
          <w:tcPr>
            <w:tcW w:w="92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8,139</w:t>
            </w:r>
          </w:p>
        </w:tc>
        <w:tc>
          <w:tcPr>
            <w:tcW w:w="92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8,016</w:t>
            </w:r>
          </w:p>
        </w:tc>
        <w:tc>
          <w:tcPr>
            <w:tcW w:w="90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8,057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CF512, Inc.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08/20/2026</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191</w:t>
            </w: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CF512, Inc.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08/20/2026</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955</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(10 )</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CHA Holdings, Inc.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04/10/2025</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Environmental Industries</w:t>
            </w:r>
          </w:p>
        </w:tc>
        <w:tc>
          <w:tcPr>
            <w:tcW w:w="96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1"/>
                <w:szCs w:val="11"/>
                <w:color w:val="auto"/>
              </w:rPr>
              <w:t>5.51 %</w:t>
            </w:r>
          </w:p>
        </w:tc>
        <w:tc>
          <w:tcPr>
            <w:tcW w:w="140" w:type="dxa"/>
            <w:vAlign w:val="bottom"/>
          </w:tcPr>
          <w:p>
            <w:pPr>
              <w:spacing w:after="0"/>
              <w:rPr>
                <w:sz w:val="10"/>
                <w:szCs w:val="10"/>
                <w:color w:val="auto"/>
              </w:rPr>
            </w:pP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L+450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1,589</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1,585</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1,589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Challenger Performance Optimization, Inc.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08/31/2023</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711</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(21 )</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Compex Legal Services, Inc.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02/09/2026</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Professional Services</w:t>
            </w:r>
          </w:p>
        </w:tc>
        <w:tc>
          <w:tcPr>
            <w:tcW w:w="96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1"/>
                <w:szCs w:val="11"/>
                <w:color w:val="auto"/>
              </w:rPr>
              <w:t>6.26 %</w:t>
            </w:r>
          </w:p>
        </w:tc>
        <w:tc>
          <w:tcPr>
            <w:tcW w:w="140" w:type="dxa"/>
            <w:vAlign w:val="bottom"/>
          </w:tcPr>
          <w:p>
            <w:pPr>
              <w:spacing w:after="0"/>
              <w:rPr>
                <w:sz w:val="10"/>
                <w:szCs w:val="10"/>
                <w:color w:val="auto"/>
              </w:rPr>
            </w:pP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L+525</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7,614</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7,592</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7,614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Compex Legal Services, Inc. (Revolver)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02/07/2025</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6.26 %</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843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843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843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Compex Legal Services, Inc.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02/07/2025</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562</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Connatix Buyer, Inc.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07/13/2027</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Media</w:t>
            </w:r>
          </w:p>
        </w:tc>
        <w:tc>
          <w:tcPr>
            <w:tcW w:w="96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1"/>
                <w:szCs w:val="11"/>
                <w:color w:val="auto"/>
              </w:rPr>
              <w:t>6.25 %</w:t>
            </w:r>
          </w:p>
        </w:tc>
        <w:tc>
          <w:tcPr>
            <w:tcW w:w="140" w:type="dxa"/>
            <w:vAlign w:val="bottom"/>
          </w:tcPr>
          <w:p>
            <w:pPr>
              <w:spacing w:after="0"/>
              <w:rPr>
                <w:sz w:val="10"/>
                <w:szCs w:val="10"/>
                <w:color w:val="auto"/>
              </w:rPr>
            </w:pP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L+550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3,980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3,907</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4,000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Connatix Buyer, Inc.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01/13/2023</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2,105</w:t>
            </w: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Connatix Buyer, Inc.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07/13/2027</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1,234</w:t>
            </w: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Crane 1 Services, Inc.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08/16/2023</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6.75 %</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604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598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Crane 1 Services, Inc.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08/16/2023</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292</w:t>
            </w: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Crane 1 Services, Inc.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08/16/2027</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336</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(3 )</w:t>
            </w:r>
          </w:p>
        </w:tc>
        <w:tc>
          <w:tcPr>
            <w:tcW w:w="0" w:type="dxa"/>
            <w:vAlign w:val="bottom"/>
          </w:tcPr>
          <w:p>
            <w:pPr>
              <w:spacing w:after="0"/>
              <w:rPr>
                <w:sz w:val="1"/>
                <w:szCs w:val="1"/>
                <w:color w:val="auto"/>
              </w:rPr>
            </w:pPr>
          </w:p>
        </w:tc>
      </w:tr>
      <w:tr>
        <w:trPr>
          <w:trHeight w:val="144"/>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Crash Champions,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08/05/2025</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Automobiles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6.01 %</w:t>
            </w: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19,921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19,688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19,423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Douglas Products and Packaging Company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10/19/2022</w:t>
            </w:r>
          </w:p>
        </w:tc>
        <w:tc>
          <w:tcPr>
            <w:tcW w:w="14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96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6.76 %</w:t>
            </w:r>
          </w:p>
        </w:tc>
        <w:tc>
          <w:tcPr>
            <w:tcW w:w="14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6,511</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6,495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6,511</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332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Douglas Products and Packaging Company LLC (Revolver)</w:t>
            </w:r>
          </w:p>
        </w:tc>
        <w:tc>
          <w:tcPr>
            <w:tcW w:w="800" w:type="dxa"/>
            <w:vAlign w:val="bottom"/>
            <w:gridSpan w:val="2"/>
          </w:tcPr>
          <w:p>
            <w:pPr>
              <w:jc w:val="center"/>
              <w:ind w:left="86"/>
              <w:spacing w:after="0" w:line="103" w:lineRule="exact"/>
              <w:rPr>
                <w:sz w:val="20"/>
                <w:szCs w:val="20"/>
                <w:color w:val="auto"/>
              </w:rPr>
            </w:pPr>
            <w:r>
              <w:rPr>
                <w:rFonts w:ascii="Times New Roman" w:cs="Times New Roman" w:eastAsia="Times New Roman" w:hAnsi="Times New Roman"/>
                <w:sz w:val="11"/>
                <w:szCs w:val="11"/>
                <w:color w:val="auto"/>
                <w:w w:val="99"/>
              </w:rPr>
              <w:t>10/19/2022</w:t>
            </w:r>
          </w:p>
        </w:tc>
        <w:tc>
          <w:tcPr>
            <w:tcW w:w="140" w:type="dxa"/>
            <w:vAlign w:val="bottom"/>
          </w:tcPr>
          <w:p>
            <w:pPr>
              <w:spacing w:after="0"/>
              <w:rPr>
                <w:sz w:val="8"/>
                <w:szCs w:val="8"/>
                <w:color w:val="auto"/>
              </w:rPr>
            </w:pPr>
          </w:p>
        </w:tc>
        <w:tc>
          <w:tcPr>
            <w:tcW w:w="234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7"/>
              </w:rPr>
              <w:t>Chemicals, Plastics and Rubber</w:t>
            </w:r>
          </w:p>
        </w:tc>
        <w:tc>
          <w:tcPr>
            <w:tcW w:w="960" w:type="dxa"/>
            <w:vAlign w:val="bottom"/>
            <w:gridSpan w:val="3"/>
          </w:tcPr>
          <w:p>
            <w:pPr>
              <w:jc w:val="right"/>
              <w:spacing w:after="0" w:line="103" w:lineRule="exact"/>
              <w:rPr>
                <w:sz w:val="20"/>
                <w:szCs w:val="20"/>
                <w:color w:val="auto"/>
              </w:rPr>
            </w:pPr>
            <w:r>
              <w:rPr>
                <w:rFonts w:ascii="Times New Roman" w:cs="Times New Roman" w:eastAsia="Times New Roman" w:hAnsi="Times New Roman"/>
                <w:sz w:val="11"/>
                <w:szCs w:val="11"/>
                <w:color w:val="auto"/>
              </w:rPr>
              <w:t>8.25 %</w:t>
            </w:r>
          </w:p>
        </w:tc>
        <w:tc>
          <w:tcPr>
            <w:tcW w:w="140" w:type="dxa"/>
            <w:vAlign w:val="bottom"/>
          </w:tcPr>
          <w:p>
            <w:pPr>
              <w:spacing w:after="0"/>
              <w:rPr>
                <w:sz w:val="8"/>
                <w:szCs w:val="8"/>
                <w:color w:val="auto"/>
              </w:rPr>
            </w:pPr>
          </w:p>
        </w:tc>
        <w:tc>
          <w:tcPr>
            <w:tcW w:w="7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P+475</w:t>
            </w:r>
          </w:p>
        </w:tc>
        <w:tc>
          <w:tcPr>
            <w:tcW w:w="92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1,917</w:t>
            </w:r>
          </w:p>
        </w:tc>
        <w:tc>
          <w:tcPr>
            <w:tcW w:w="92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1,917</w:t>
            </w:r>
          </w:p>
        </w:tc>
        <w:tc>
          <w:tcPr>
            <w:tcW w:w="90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1,917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Douglas Products and Packaging Company LLC (Revolver)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10/19/2022</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4,135</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Douglas Sewer Intermediate,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10/19/2022</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6.76 %</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3,941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3,931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3,941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Dr. Squatch,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08/31/2027</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Personal Products</w:t>
            </w:r>
          </w:p>
        </w:tc>
        <w:tc>
          <w:tcPr>
            <w:tcW w:w="96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1"/>
                <w:szCs w:val="11"/>
                <w:color w:val="auto"/>
              </w:rPr>
              <w:t>7.01 %</w:t>
            </w:r>
          </w:p>
        </w:tc>
        <w:tc>
          <w:tcPr>
            <w:tcW w:w="140" w:type="dxa"/>
            <w:vAlign w:val="bottom"/>
          </w:tcPr>
          <w:p>
            <w:pPr>
              <w:spacing w:after="0"/>
              <w:rPr>
                <w:sz w:val="10"/>
                <w:szCs w:val="10"/>
                <w:color w:val="auto"/>
              </w:rPr>
            </w:pP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L+600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4,438</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4,357</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4,438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Dr. Squatch,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08/31/2027</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3,353</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DRS Holdings III, Inc.</w:t>
            </w:r>
          </w:p>
        </w:tc>
        <w:tc>
          <w:tcPr>
            <w:tcW w:w="800" w:type="dxa"/>
            <w:vAlign w:val="bottom"/>
            <w:gridSpan w:val="2"/>
          </w:tcPr>
          <w:p>
            <w:pPr>
              <w:jc w:val="center"/>
              <w:ind w:left="106"/>
              <w:spacing w:after="0" w:line="117" w:lineRule="exact"/>
              <w:rPr>
                <w:sz w:val="20"/>
                <w:szCs w:val="20"/>
                <w:color w:val="auto"/>
              </w:rPr>
            </w:pPr>
            <w:r>
              <w:rPr>
                <w:rFonts w:ascii="Times New Roman" w:cs="Times New Roman" w:eastAsia="Times New Roman" w:hAnsi="Times New Roman"/>
                <w:sz w:val="11"/>
                <w:szCs w:val="11"/>
                <w:color w:val="auto"/>
                <w:w w:val="95"/>
              </w:rPr>
              <w:t>11/03/2025</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Personal Products</w:t>
            </w:r>
          </w:p>
        </w:tc>
        <w:tc>
          <w:tcPr>
            <w:tcW w:w="96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1"/>
                <w:szCs w:val="11"/>
                <w:color w:val="auto"/>
              </w:rPr>
              <w:t>6.75 %</w:t>
            </w:r>
          </w:p>
        </w:tc>
        <w:tc>
          <w:tcPr>
            <w:tcW w:w="140" w:type="dxa"/>
            <w:vAlign w:val="bottom"/>
          </w:tcPr>
          <w:p>
            <w:pPr>
              <w:spacing w:after="0"/>
              <w:rPr>
                <w:sz w:val="10"/>
                <w:szCs w:val="10"/>
                <w:color w:val="auto"/>
              </w:rPr>
            </w:pP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17,582</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17,444</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17,494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DRS Holdings III, Inc.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11/03/2025</w:t>
            </w:r>
          </w:p>
        </w:tc>
        <w:tc>
          <w:tcPr>
            <w:tcW w:w="14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4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1,426</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(7 )</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Duraco Specialty Tapes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06/30/2024</w:t>
            </w: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Containers and Packaging</w:t>
            </w:r>
          </w:p>
        </w:tc>
        <w:tc>
          <w:tcPr>
            <w:tcW w:w="96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6.50 %</w:t>
            </w:r>
          </w:p>
        </w:tc>
        <w:tc>
          <w:tcPr>
            <w:tcW w:w="14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3,267</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3,218</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3,212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3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ECL Entertainment, LLC</w:t>
            </w:r>
          </w:p>
        </w:tc>
        <w:tc>
          <w:tcPr>
            <w:tcW w:w="800" w:type="dxa"/>
            <w:vAlign w:val="bottom"/>
            <w:gridSpan w:val="2"/>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9"/>
              </w:rPr>
              <w:t>03/31/2028</w:t>
            </w:r>
          </w:p>
        </w:tc>
        <w:tc>
          <w:tcPr>
            <w:tcW w:w="140" w:type="dxa"/>
            <w:vAlign w:val="bottom"/>
          </w:tcPr>
          <w:p>
            <w:pPr>
              <w:spacing w:after="0"/>
              <w:rPr>
                <w:sz w:val="10"/>
                <w:szCs w:val="10"/>
                <w:color w:val="auto"/>
              </w:rPr>
            </w:pPr>
          </w:p>
        </w:tc>
        <w:tc>
          <w:tcPr>
            <w:tcW w:w="23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Hotels, Restaurants and Leisure</w:t>
            </w:r>
          </w:p>
        </w:tc>
        <w:tc>
          <w:tcPr>
            <w:tcW w:w="9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8.25 %</w:t>
            </w:r>
          </w:p>
        </w:tc>
        <w:tc>
          <w:tcPr>
            <w:tcW w:w="14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1M L+750</w:t>
            </w:r>
          </w:p>
        </w:tc>
        <w:tc>
          <w:tcPr>
            <w:tcW w:w="9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5,230</w:t>
            </w:r>
          </w:p>
        </w:tc>
        <w:tc>
          <w:tcPr>
            <w:tcW w:w="9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5,181</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5,252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ECM Industries, LLC (Revolver)</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12/23/2025</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96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1"/>
                <w:szCs w:val="11"/>
                <w:color w:val="auto"/>
              </w:rPr>
              <w:t>5.75 %</w:t>
            </w:r>
          </w:p>
        </w:tc>
        <w:tc>
          <w:tcPr>
            <w:tcW w:w="140" w:type="dxa"/>
            <w:vAlign w:val="bottom"/>
          </w:tcPr>
          <w:p>
            <w:pPr>
              <w:spacing w:after="0"/>
              <w:rPr>
                <w:sz w:val="10"/>
                <w:szCs w:val="10"/>
                <w:color w:val="auto"/>
              </w:rPr>
            </w:pP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L+475</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514</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514</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504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ECM Industries, LLC (Revolver)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12/23/2025</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(8 )</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eCommission Financial Services, Inc. </w:t>
            </w:r>
            <w:r>
              <w:rPr>
                <w:rFonts w:ascii="Times New Roman" w:cs="Times New Roman" w:eastAsia="Times New Roman" w:hAnsi="Times New Roman"/>
                <w:sz w:val="14"/>
                <w:szCs w:val="14"/>
                <w:color w:val="auto"/>
                <w:vertAlign w:val="superscript"/>
              </w:rPr>
              <w:t>(10)</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10/05/2023</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Banking, Finance, Insurance &amp; Real Estate</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6.00 %</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6,456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6,456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6,456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eCommission Financial Services, Inc. (Revolver) </w:t>
            </w:r>
            <w:r>
              <w:rPr>
                <w:rFonts w:ascii="Times New Roman" w:cs="Times New Roman" w:eastAsia="Times New Roman" w:hAnsi="Times New Roman"/>
                <w:sz w:val="14"/>
                <w:szCs w:val="14"/>
                <w:color w:val="auto"/>
                <w:vertAlign w:val="superscript"/>
              </w:rPr>
              <w:t>(7), (9), (10)</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10/05/2023</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Banking, Finance, Insurance &amp; Real Estate</w:t>
            </w:r>
          </w:p>
        </w:tc>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5,000</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Efficient Collaborative Retail Marketing Company,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06/15/2022</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Media: Diversified and Production</w:t>
            </w:r>
          </w:p>
        </w:tc>
        <w:tc>
          <w:tcPr>
            <w:tcW w:w="96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1"/>
                <w:szCs w:val="11"/>
                <w:color w:val="auto"/>
              </w:rPr>
              <w:t>7.76 %</w:t>
            </w:r>
          </w:p>
        </w:tc>
        <w:tc>
          <w:tcPr>
            <w:tcW w:w="140" w:type="dxa"/>
            <w:vAlign w:val="bottom"/>
          </w:tcPr>
          <w:p>
            <w:pPr>
              <w:spacing w:after="0"/>
              <w:rPr>
                <w:sz w:val="10"/>
                <w:szCs w:val="10"/>
                <w:color w:val="auto"/>
              </w:rPr>
            </w:pP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L+675</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7,189</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7,156</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7,009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Exigo Intermediate II, LLC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03/15/2024</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2,758</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Exigo Intermediate II, LLC (Revolver)</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03/15/2027</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rPr>
              <w:t>Software</w:t>
            </w:r>
          </w:p>
        </w:tc>
        <w:tc>
          <w:tcPr>
            <w:tcW w:w="96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1"/>
                <w:szCs w:val="11"/>
                <w:color w:val="auto"/>
              </w:rPr>
              <w:t>6.75 %</w:t>
            </w:r>
          </w:p>
        </w:tc>
        <w:tc>
          <w:tcPr>
            <w:tcW w:w="140" w:type="dxa"/>
            <w:vAlign w:val="bottom"/>
          </w:tcPr>
          <w:p>
            <w:pPr>
              <w:spacing w:after="0"/>
              <w:rPr>
                <w:sz w:val="10"/>
                <w:szCs w:val="10"/>
                <w:color w:val="auto"/>
              </w:rPr>
            </w:pP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138</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138</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138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Exigo Intermediate II, LLC (Revolver)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03/15/2027</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552</w:t>
            </w: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Findex Group Limited </w:t>
            </w:r>
            <w:r>
              <w:rPr>
                <w:rFonts w:ascii="Times New Roman" w:cs="Times New Roman" w:eastAsia="Times New Roman" w:hAnsi="Times New Roman"/>
                <w:sz w:val="14"/>
                <w:szCs w:val="14"/>
                <w:color w:val="auto"/>
                <w:vertAlign w:val="superscript"/>
              </w:rPr>
              <w:t>(5)(10)(11)</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05/31/2024</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Diversified Financial Services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4.59 %</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AUD 10,000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7,519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7,510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Gantech Acquisition Corp.</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05/14/2026</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IT Services</w:t>
            </w:r>
          </w:p>
        </w:tc>
        <w:tc>
          <w:tcPr>
            <w:tcW w:w="96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1"/>
                <w:szCs w:val="11"/>
                <w:color w:val="auto"/>
              </w:rPr>
              <w:t>7.25 %</w:t>
            </w:r>
          </w:p>
        </w:tc>
        <w:tc>
          <w:tcPr>
            <w:tcW w:w="140" w:type="dxa"/>
            <w:vAlign w:val="bottom"/>
          </w:tcPr>
          <w:p>
            <w:pPr>
              <w:spacing w:after="0"/>
              <w:rPr>
                <w:sz w:val="10"/>
                <w:szCs w:val="10"/>
                <w:color w:val="auto"/>
              </w:rPr>
            </w:pP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L+625</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22,207</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21,815</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21,985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Gantech Acquisition Corp. (Revolver)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05/14/2026</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7.25 %</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622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622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616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Gantech Acquisition Corp.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05/14/2026</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3,111</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(31 )</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Global Holdings InterCo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03/16/2026</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Diversified Financial Services</w:t>
            </w:r>
          </w:p>
        </w:tc>
        <w:tc>
          <w:tcPr>
            <w:tcW w:w="96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1"/>
                <w:szCs w:val="11"/>
                <w:color w:val="auto"/>
              </w:rPr>
              <w:t>7.00 %</w:t>
            </w:r>
          </w:p>
        </w:tc>
        <w:tc>
          <w:tcPr>
            <w:tcW w:w="140" w:type="dxa"/>
            <w:vAlign w:val="bottom"/>
          </w:tcPr>
          <w:p>
            <w:pPr>
              <w:spacing w:after="0"/>
              <w:rPr>
                <w:sz w:val="10"/>
                <w:szCs w:val="10"/>
                <w:color w:val="auto"/>
              </w:rPr>
            </w:pP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L+600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3,465</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3,422</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3,430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Graffiti Buyer, Inc.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08/10/2023</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Trading Companies &amp; Distributors</w:t>
            </w:r>
          </w:p>
        </w:tc>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1,071</w:t>
            </w: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(8 )</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Graffiti Buyer, Inc. (Revolver)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08/10/2027</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Trading Companies &amp; Distributors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6.75 %</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Graffiti Buyer, Inc.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08/10/2027</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Trading Companies &amp; Distributors</w:t>
            </w:r>
          </w:p>
        </w:tc>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591</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(16 )</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Hancock Roofing and Construction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12/31/2026</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Insurance</w:t>
            </w:r>
          </w:p>
        </w:tc>
        <w:tc>
          <w:tcPr>
            <w:tcW w:w="96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1"/>
                <w:szCs w:val="11"/>
                <w:color w:val="auto"/>
              </w:rPr>
              <w:t>6.26 %</w:t>
            </w:r>
          </w:p>
        </w:tc>
        <w:tc>
          <w:tcPr>
            <w:tcW w:w="140" w:type="dxa"/>
            <w:vAlign w:val="bottom"/>
          </w:tcPr>
          <w:p>
            <w:pPr>
              <w:spacing w:after="0"/>
              <w:rPr>
                <w:sz w:val="10"/>
                <w:szCs w:val="10"/>
                <w:color w:val="auto"/>
              </w:rPr>
            </w:pP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L+525</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4,554</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4,483</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4,554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Hancock Roofing and Construction L.L.C.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12/31/2022</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Hancock Roofing and Construction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12/31/2026</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750</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Holdco Sands Intermediate, LLC</w:t>
            </w:r>
          </w:p>
        </w:tc>
        <w:tc>
          <w:tcPr>
            <w:tcW w:w="800" w:type="dxa"/>
            <w:vAlign w:val="bottom"/>
            <w:gridSpan w:val="2"/>
          </w:tcPr>
          <w:p>
            <w:pPr>
              <w:jc w:val="center"/>
              <w:ind w:left="106"/>
              <w:spacing w:after="0" w:line="117" w:lineRule="exact"/>
              <w:rPr>
                <w:sz w:val="20"/>
                <w:szCs w:val="20"/>
                <w:color w:val="auto"/>
              </w:rPr>
            </w:pPr>
            <w:r>
              <w:rPr>
                <w:rFonts w:ascii="Times New Roman" w:cs="Times New Roman" w:eastAsia="Times New Roman" w:hAnsi="Times New Roman"/>
                <w:sz w:val="11"/>
                <w:szCs w:val="11"/>
                <w:color w:val="auto"/>
                <w:w w:val="95"/>
              </w:rPr>
              <w:t>11/23/2028</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96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1"/>
                <w:szCs w:val="11"/>
                <w:color w:val="auto"/>
              </w:rPr>
              <w:t>7.01 %</w:t>
            </w:r>
          </w:p>
        </w:tc>
        <w:tc>
          <w:tcPr>
            <w:tcW w:w="140" w:type="dxa"/>
            <w:vAlign w:val="bottom"/>
          </w:tcPr>
          <w:p>
            <w:pPr>
              <w:spacing w:after="0"/>
              <w:rPr>
                <w:sz w:val="10"/>
                <w:szCs w:val="10"/>
                <w:color w:val="auto"/>
              </w:rPr>
            </w:pP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L+600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4,988</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4,891</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4,888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Holdco Sands Intermediate, LLC (Revolver)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11/23/2027</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1,791</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(36 )</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HW Holdco,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12/10/2024</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Media</w:t>
            </w:r>
          </w:p>
        </w:tc>
        <w:tc>
          <w:tcPr>
            <w:tcW w:w="96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1"/>
                <w:szCs w:val="11"/>
                <w:color w:val="auto"/>
              </w:rPr>
              <w:t>6.75 %</w:t>
            </w:r>
          </w:p>
        </w:tc>
        <w:tc>
          <w:tcPr>
            <w:tcW w:w="140" w:type="dxa"/>
            <w:vAlign w:val="bottom"/>
          </w:tcPr>
          <w:p>
            <w:pPr>
              <w:spacing w:after="0"/>
              <w:rPr>
                <w:sz w:val="10"/>
                <w:szCs w:val="10"/>
                <w:color w:val="auto"/>
              </w:rPr>
            </w:pP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L+575</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8,501</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8,451</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8,331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HW Holdco, LLC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12/10/2024</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1,686</w:t>
            </w: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(17 )</w:t>
            </w:r>
          </w:p>
        </w:tc>
        <w:tc>
          <w:tcPr>
            <w:tcW w:w="0" w:type="dxa"/>
            <w:vAlign w:val="bottom"/>
          </w:tcPr>
          <w:p>
            <w:pPr>
              <w:spacing w:after="0"/>
              <w:rPr>
                <w:sz w:val="1"/>
                <w:szCs w:val="1"/>
                <w:color w:val="auto"/>
              </w:rPr>
            </w:pPr>
          </w:p>
        </w:tc>
      </w:tr>
      <w:tr>
        <w:trPr>
          <w:trHeight w:val="191"/>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HW Holdco,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12/10/2024</w:t>
            </w:r>
          </w:p>
        </w:tc>
        <w:tc>
          <w:tcPr>
            <w:tcW w:w="140" w:type="dxa"/>
            <w:vAlign w:val="bottom"/>
          </w:tcPr>
          <w:p>
            <w:pPr>
              <w:spacing w:after="0"/>
              <w:rPr>
                <w:sz w:val="16"/>
                <w:szCs w:val="16"/>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1,452</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-7138670</wp:posOffset>
            </wp:positionV>
            <wp:extent cx="7132320" cy="939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-6958330</wp:posOffset>
            </wp:positionV>
            <wp:extent cx="7132320" cy="857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-6786880</wp:posOffset>
            </wp:positionV>
            <wp:extent cx="7132320" cy="857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-6615430</wp:posOffset>
            </wp:positionV>
            <wp:extent cx="7132320" cy="857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-6443980</wp:posOffset>
            </wp:positionV>
            <wp:extent cx="7132320" cy="857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-6272530</wp:posOffset>
            </wp:positionV>
            <wp:extent cx="7132320" cy="857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-6101080</wp:posOffset>
            </wp:positionV>
            <wp:extent cx="7132320" cy="857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-5758180</wp:posOffset>
            </wp:positionV>
            <wp:extent cx="7132320" cy="857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-5586730</wp:posOffset>
            </wp:positionV>
            <wp:extent cx="7132320" cy="857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-5415280</wp:posOffset>
            </wp:positionV>
            <wp:extent cx="7132320" cy="857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-5243830</wp:posOffset>
            </wp:positionV>
            <wp:extent cx="7132320" cy="857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-5072380</wp:posOffset>
            </wp:positionV>
            <wp:extent cx="7132320" cy="857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-4900930</wp:posOffset>
            </wp:positionV>
            <wp:extent cx="7132320" cy="857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-4729480</wp:posOffset>
            </wp:positionV>
            <wp:extent cx="7132320" cy="857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-4558030</wp:posOffset>
            </wp:positionV>
            <wp:extent cx="7132320" cy="857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-4386580</wp:posOffset>
            </wp:positionV>
            <wp:extent cx="713232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-4129405</wp:posOffset>
            </wp:positionV>
            <wp:extent cx="7132320" cy="857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-3957955</wp:posOffset>
            </wp:positionV>
            <wp:extent cx="7132320" cy="857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-3786505</wp:posOffset>
            </wp:positionV>
            <wp:extent cx="7132320" cy="857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-3615055</wp:posOffset>
            </wp:positionV>
            <wp:extent cx="7132320" cy="857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-3443605</wp:posOffset>
            </wp:positionV>
            <wp:extent cx="7132320" cy="857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-3272155</wp:posOffset>
            </wp:positionV>
            <wp:extent cx="7132320" cy="857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-3100705</wp:posOffset>
            </wp:positionV>
            <wp:extent cx="7132320" cy="857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-2757805</wp:posOffset>
            </wp:positionV>
            <wp:extent cx="7132320" cy="857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-2586355</wp:posOffset>
            </wp:positionV>
            <wp:extent cx="7132320" cy="857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-2414905</wp:posOffset>
            </wp:positionV>
            <wp:extent cx="7132320" cy="857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-2072005</wp:posOffset>
            </wp:positionV>
            <wp:extent cx="7132320" cy="857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-1900555</wp:posOffset>
            </wp:positionV>
            <wp:extent cx="7132320" cy="857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-1729105</wp:posOffset>
            </wp:positionV>
            <wp:extent cx="7132320" cy="857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-1557655</wp:posOffset>
            </wp:positionV>
            <wp:extent cx="7132320" cy="857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-1386205</wp:posOffset>
            </wp:positionV>
            <wp:extent cx="7132320" cy="857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-1214755</wp:posOffset>
            </wp:positionV>
            <wp:extent cx="7132320" cy="857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-1043305</wp:posOffset>
            </wp:positionV>
            <wp:extent cx="7132320" cy="857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-871855</wp:posOffset>
            </wp:positionV>
            <wp:extent cx="7132320" cy="857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-700405</wp:posOffset>
            </wp:positionV>
            <wp:extent cx="7132320" cy="857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-528955</wp:posOffset>
            </wp:positionV>
            <wp:extent cx="7132320" cy="857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857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57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8" w:name="page9"/>
    <w:bookmarkEnd w:id="8"/>
    <w:p>
      <w:pPr>
        <w:ind w:left="3260"/>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Spread</w:t>
            </w: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right"/>
              <w:ind w:right="386"/>
              <w:spacing w:after="0" w:line="122" w:lineRule="exact"/>
              <w:rPr>
                <w:sz w:val="20"/>
                <w:szCs w:val="20"/>
                <w:color w:val="auto"/>
              </w:rPr>
            </w:pPr>
            <w:r>
              <w:rPr>
                <w:rFonts w:ascii="Times New Roman" w:cs="Times New Roman" w:eastAsia="Times New Roman" w:hAnsi="Times New Roman"/>
                <w:sz w:val="11"/>
                <w:szCs w:val="11"/>
                <w:b w:val="1"/>
                <w:bCs w:val="1"/>
                <w:color w:val="auto"/>
              </w:rPr>
              <w:t>Current</w:t>
            </w: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Above</w:t>
            </w:r>
          </w:p>
        </w:tc>
        <w:tc>
          <w:tcPr>
            <w:tcW w:w="160" w:type="dxa"/>
            <w:vAlign w:val="bottom"/>
          </w:tcPr>
          <w:p>
            <w:pPr>
              <w:spacing w:after="0"/>
              <w:rPr>
                <w:sz w:val="10"/>
                <w:szCs w:val="10"/>
                <w:color w:val="auto"/>
              </w:rPr>
            </w:pPr>
          </w:p>
        </w:tc>
        <w:tc>
          <w:tcPr>
            <w:tcW w:w="760" w:type="dxa"/>
            <w:vAlign w:val="bottom"/>
          </w:tcPr>
          <w:p>
            <w:pPr>
              <w:jc w:val="right"/>
              <w:ind w:right="226"/>
              <w:spacing w:after="0" w:line="122" w:lineRule="exact"/>
              <w:rPr>
                <w:sz w:val="20"/>
                <w:szCs w:val="20"/>
                <w:color w:val="auto"/>
              </w:rPr>
            </w:pPr>
            <w:r>
              <w:rPr>
                <w:rFonts w:ascii="Times New Roman" w:cs="Times New Roman" w:eastAsia="Times New Roman" w:hAnsi="Times New Roman"/>
                <w:sz w:val="11"/>
                <w:szCs w:val="11"/>
                <w:b w:val="1"/>
                <w:bCs w:val="1"/>
                <w:color w:val="auto"/>
              </w:rPr>
              <w:t>Par /</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0"/>
              </w:rPr>
              <w:t xml:space="preserve">Fair Value </w:t>
            </w:r>
            <w:r>
              <w:rPr>
                <w:rFonts w:ascii="Times New Roman" w:cs="Times New Roman" w:eastAsia="Times New Roman" w:hAnsi="Times New Roman"/>
                <w:sz w:val="14"/>
                <w:szCs w:val="14"/>
                <w:b w:val="1"/>
                <w:bCs w:val="1"/>
                <w:color w:val="auto"/>
                <w:w w:val="90"/>
                <w:vertAlign w:val="superscript"/>
              </w:rPr>
              <w:t>(2)</w:t>
            </w:r>
          </w:p>
        </w:tc>
        <w:tc>
          <w:tcPr>
            <w:tcW w:w="0" w:type="dxa"/>
            <w:vAlign w:val="bottom"/>
          </w:tcPr>
          <w:p>
            <w:pPr>
              <w:spacing w:after="0"/>
              <w:rPr>
                <w:sz w:val="1"/>
                <w:szCs w:val="1"/>
                <w:color w:val="auto"/>
              </w:rPr>
            </w:pPr>
          </w:p>
        </w:tc>
      </w:tr>
      <w:tr>
        <w:trPr>
          <w:trHeight w:val="162"/>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4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40" w:type="dxa"/>
            <w:vAlign w:val="bottom"/>
          </w:tcPr>
          <w:p>
            <w:pPr>
              <w:spacing w:after="0"/>
              <w:rPr>
                <w:sz w:val="14"/>
                <w:szCs w:val="14"/>
                <w:color w:val="auto"/>
              </w:rPr>
            </w:pPr>
          </w:p>
        </w:tc>
        <w:tc>
          <w:tcPr>
            <w:tcW w:w="980" w:type="dxa"/>
            <w:vAlign w:val="bottom"/>
            <w:gridSpan w:val="2"/>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160" w:type="dxa"/>
            <w:vAlign w:val="bottom"/>
          </w:tcPr>
          <w:p>
            <w:pPr>
              <w:spacing w:after="0"/>
              <w:rPr>
                <w:sz w:val="14"/>
                <w:szCs w:val="14"/>
                <w:color w:val="auto"/>
              </w:rPr>
            </w:pPr>
          </w:p>
        </w:tc>
        <w:tc>
          <w:tcPr>
            <w:tcW w:w="76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3320" w:type="dxa"/>
            <w:vAlign w:val="bottom"/>
            <w:tcBorders>
              <w:top w:val="single" w:sz="8" w:color="auto"/>
            </w:tcBorders>
          </w:tcPr>
          <w:p>
            <w:pPr>
              <w:ind w:left="20"/>
              <w:spacing w:after="0" w:line="97" w:lineRule="exact"/>
              <w:rPr>
                <w:sz w:val="20"/>
                <w:szCs w:val="20"/>
                <w:color w:val="auto"/>
              </w:rPr>
            </w:pPr>
            <w:r>
              <w:rPr>
                <w:rFonts w:ascii="Times New Roman" w:cs="Times New Roman" w:eastAsia="Times New Roman" w:hAnsi="Times New Roman"/>
                <w:sz w:val="11"/>
                <w:szCs w:val="11"/>
                <w:color w:val="auto"/>
              </w:rPr>
              <w:t>IDC Infusion Services, Inc.</w:t>
            </w:r>
          </w:p>
        </w:tc>
        <w:tc>
          <w:tcPr>
            <w:tcW w:w="140" w:type="dxa"/>
            <w:vAlign w:val="bottom"/>
          </w:tcPr>
          <w:p>
            <w:pPr>
              <w:spacing w:after="0"/>
              <w:rPr>
                <w:sz w:val="8"/>
                <w:szCs w:val="8"/>
                <w:color w:val="auto"/>
              </w:rPr>
            </w:pPr>
          </w:p>
        </w:tc>
        <w:tc>
          <w:tcPr>
            <w:tcW w:w="660" w:type="dxa"/>
            <w:vAlign w:val="bottom"/>
            <w:tcBorders>
              <w:top w:val="single" w:sz="8" w:color="auto"/>
            </w:tcBorders>
          </w:tcPr>
          <w:p>
            <w:pPr>
              <w:jc w:val="center"/>
              <w:spacing w:after="0" w:line="97" w:lineRule="exact"/>
              <w:rPr>
                <w:sz w:val="20"/>
                <w:szCs w:val="20"/>
                <w:color w:val="auto"/>
              </w:rPr>
            </w:pPr>
            <w:r>
              <w:rPr>
                <w:rFonts w:ascii="Times New Roman" w:cs="Times New Roman" w:eastAsia="Times New Roman" w:hAnsi="Times New Roman"/>
                <w:sz w:val="11"/>
                <w:szCs w:val="11"/>
                <w:color w:val="auto"/>
                <w:w w:val="99"/>
              </w:rPr>
              <w:t>12/30/2026</w:t>
            </w:r>
          </w:p>
        </w:tc>
        <w:tc>
          <w:tcPr>
            <w:tcW w:w="140" w:type="dxa"/>
            <w:vAlign w:val="bottom"/>
          </w:tcPr>
          <w:p>
            <w:pPr>
              <w:spacing w:after="0"/>
              <w:rPr>
                <w:sz w:val="8"/>
                <w:szCs w:val="8"/>
                <w:color w:val="auto"/>
              </w:rPr>
            </w:pPr>
          </w:p>
        </w:tc>
        <w:tc>
          <w:tcPr>
            <w:tcW w:w="2340" w:type="dxa"/>
            <w:vAlign w:val="bottom"/>
            <w:tcBorders>
              <w:top w:val="single" w:sz="8" w:color="auto"/>
            </w:tcBorders>
          </w:tcPr>
          <w:p>
            <w:pPr>
              <w:jc w:val="center"/>
              <w:spacing w:after="0" w:line="97" w:lineRule="exact"/>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40" w:type="dxa"/>
            <w:vAlign w:val="bottom"/>
          </w:tcPr>
          <w:p>
            <w:pPr>
              <w:spacing w:after="0"/>
              <w:rPr>
                <w:sz w:val="8"/>
                <w:szCs w:val="8"/>
                <w:color w:val="auto"/>
              </w:rPr>
            </w:pPr>
          </w:p>
        </w:tc>
        <w:tc>
          <w:tcPr>
            <w:tcW w:w="70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7.00</w:t>
            </w:r>
          </w:p>
        </w:tc>
        <w:tc>
          <w:tcPr>
            <w:tcW w:w="280" w:type="dxa"/>
            <w:vAlign w:val="bottom"/>
          </w:tcPr>
          <w:p>
            <w:pPr>
              <w:jc w:val="right"/>
              <w:ind w:right="106"/>
              <w:spacing w:after="0" w:line="97"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3M L+600</w:t>
            </w:r>
          </w:p>
        </w:tc>
        <w:tc>
          <w:tcPr>
            <w:tcW w:w="160" w:type="dxa"/>
            <w:vAlign w:val="bottom"/>
          </w:tcPr>
          <w:p>
            <w:pPr>
              <w:spacing w:after="0"/>
              <w:rPr>
                <w:sz w:val="8"/>
                <w:szCs w:val="8"/>
                <w:color w:val="auto"/>
              </w:rPr>
            </w:pPr>
          </w:p>
        </w:tc>
        <w:tc>
          <w:tcPr>
            <w:tcW w:w="76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2,999</w:t>
            </w:r>
          </w:p>
        </w:tc>
        <w:tc>
          <w:tcPr>
            <w:tcW w:w="16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2,966</w:t>
            </w:r>
          </w:p>
        </w:tc>
        <w:tc>
          <w:tcPr>
            <w:tcW w:w="1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2,939</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IDC Infusion Services, Inc. (Revolver)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12/30/2026</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40" w:type="dxa"/>
            <w:vAlign w:val="bottom"/>
          </w:tcPr>
          <w:p>
            <w:pPr>
              <w:spacing w:after="0"/>
              <w:rPr>
                <w:sz w:val="11"/>
                <w:szCs w:val="11"/>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4,167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(83 )</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IG Investments Holdings, LLC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09/22/2028</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12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7.01 %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4,496</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4,410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4,428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IG Investments Holdings, LLC (Revolver)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09/22/2027</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12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8.50 %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IG Investments Holdings,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09/22/2027</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40" w:type="dxa"/>
            <w:vAlign w:val="bottom"/>
          </w:tcPr>
          <w:p>
            <w:pPr>
              <w:spacing w:after="0"/>
              <w:rPr>
                <w:sz w:val="13"/>
                <w:szCs w:val="13"/>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382</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(6 )</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Imagine Acquisitionco, LLC</w:t>
            </w:r>
          </w:p>
        </w:tc>
        <w:tc>
          <w:tcPr>
            <w:tcW w:w="800" w:type="dxa"/>
            <w:vAlign w:val="bottom"/>
            <w:gridSpan w:val="2"/>
          </w:tcPr>
          <w:p>
            <w:pPr>
              <w:jc w:val="center"/>
              <w:ind w:left="106"/>
              <w:spacing w:after="0" w:line="117" w:lineRule="exact"/>
              <w:rPr>
                <w:sz w:val="20"/>
                <w:szCs w:val="20"/>
                <w:color w:val="auto"/>
              </w:rPr>
            </w:pPr>
            <w:r>
              <w:rPr>
                <w:rFonts w:ascii="Times New Roman" w:cs="Times New Roman" w:eastAsia="Times New Roman" w:hAnsi="Times New Roman"/>
                <w:sz w:val="11"/>
                <w:szCs w:val="11"/>
                <w:color w:val="auto"/>
                <w:w w:val="95"/>
              </w:rPr>
              <w:t>11/15/2027</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rPr>
              <w:t>Software</w:t>
            </w:r>
          </w:p>
        </w:tc>
        <w:tc>
          <w:tcPr>
            <w:tcW w:w="112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6.50 %</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L+550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3,999</w:t>
            </w:r>
          </w:p>
        </w:tc>
        <w:tc>
          <w:tcPr>
            <w:tcW w:w="32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3,923</w:t>
            </w:r>
          </w:p>
        </w:tc>
        <w:tc>
          <w:tcPr>
            <w:tcW w:w="2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3,919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Imagine Acquisitionco, LLC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11/15/2027</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140" w:type="dxa"/>
            <w:vAlign w:val="bottom"/>
          </w:tcPr>
          <w:p>
            <w:pPr>
              <w:spacing w:after="0"/>
              <w:rPr>
                <w:sz w:val="11"/>
                <w:szCs w:val="11"/>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1,657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(17 )</w:t>
            </w: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Imagine Acquisitionco, LLC (Revolver)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11/15/2027</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140" w:type="dxa"/>
            <w:vAlign w:val="bottom"/>
          </w:tcPr>
          <w:p>
            <w:pPr>
              <w:spacing w:after="0"/>
              <w:rPr>
                <w:sz w:val="13"/>
                <w:szCs w:val="13"/>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1,193</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(24 )</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Inception Fertility Ventures,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12/07/2023</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Healthcare Providers and Services</w:t>
            </w:r>
          </w:p>
        </w:tc>
        <w:tc>
          <w:tcPr>
            <w:tcW w:w="112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6.50 %</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L+550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3,474</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3,387</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3,387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Inception Fertility Ventures, LLC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12/07/2023</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Providers and Services</w:t>
            </w:r>
          </w:p>
        </w:tc>
        <w:tc>
          <w:tcPr>
            <w:tcW w:w="140" w:type="dxa"/>
            <w:vAlign w:val="bottom"/>
          </w:tcPr>
          <w:p>
            <w:pPr>
              <w:spacing w:after="0"/>
              <w:rPr>
                <w:sz w:val="13"/>
                <w:szCs w:val="13"/>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9,185</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(115 )</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Infolinks Media Buyco, LLC</w:t>
            </w:r>
          </w:p>
        </w:tc>
        <w:tc>
          <w:tcPr>
            <w:tcW w:w="800" w:type="dxa"/>
            <w:vAlign w:val="bottom"/>
            <w:gridSpan w:val="2"/>
          </w:tcPr>
          <w:p>
            <w:pPr>
              <w:jc w:val="center"/>
              <w:ind w:left="106"/>
              <w:spacing w:after="0" w:line="117" w:lineRule="exact"/>
              <w:rPr>
                <w:sz w:val="20"/>
                <w:szCs w:val="20"/>
                <w:color w:val="auto"/>
              </w:rPr>
            </w:pPr>
            <w:r>
              <w:rPr>
                <w:rFonts w:ascii="Times New Roman" w:cs="Times New Roman" w:eastAsia="Times New Roman" w:hAnsi="Times New Roman"/>
                <w:sz w:val="11"/>
                <w:szCs w:val="11"/>
                <w:color w:val="auto"/>
                <w:w w:val="95"/>
              </w:rPr>
              <w:t>11/01/2026</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Media</w:t>
            </w:r>
          </w:p>
        </w:tc>
        <w:tc>
          <w:tcPr>
            <w:tcW w:w="112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7.01 %</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L+600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2,638</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2,589</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2,638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Infolinks Media Buyco, LLC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11/01/2023</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969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Innova Medical Ophthalmics Inc. </w:t>
            </w:r>
            <w:r>
              <w:rPr>
                <w:rFonts w:ascii="Times New Roman" w:cs="Times New Roman" w:eastAsia="Times New Roman" w:hAnsi="Times New Roman"/>
                <w:sz w:val="14"/>
                <w:szCs w:val="14"/>
                <w:color w:val="auto"/>
                <w:vertAlign w:val="superscript"/>
              </w:rPr>
              <w:t>(5), (10)</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04/13/2023</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12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7.25 %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3,236</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3,221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3,236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Innova Medical Ophthalmics Inc. (Revolver) </w:t>
            </w:r>
            <w:r>
              <w:rPr>
                <w:rFonts w:ascii="Times New Roman" w:cs="Times New Roman" w:eastAsia="Times New Roman" w:hAnsi="Times New Roman"/>
                <w:sz w:val="14"/>
                <w:szCs w:val="14"/>
                <w:color w:val="auto"/>
                <w:vertAlign w:val="superscript"/>
              </w:rPr>
              <w:t>(5), (7), (10)</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04/13/2023</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12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7.25 %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534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534</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Integrative Nutrition,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09/29/2023</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Consumer Services</w:t>
            </w:r>
          </w:p>
        </w:tc>
        <w:tc>
          <w:tcPr>
            <w:tcW w:w="112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5.50 %</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L+450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16,062</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16,007</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16,062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Integrative Nutrition,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09/29/2023</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Services</w:t>
            </w:r>
          </w:p>
        </w:tc>
        <w:tc>
          <w:tcPr>
            <w:tcW w:w="140" w:type="dxa"/>
            <w:vAlign w:val="bottom"/>
          </w:tcPr>
          <w:p>
            <w:pPr>
              <w:spacing w:after="0"/>
              <w:rPr>
                <w:sz w:val="11"/>
                <w:szCs w:val="11"/>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Integrity Marketing Acquisition, LLC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08/27/2025</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12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6.25 %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18,060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17,901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17,886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Integrity Marketing Acquisition, LLC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07/09/2023</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40" w:type="dxa"/>
            <w:vAlign w:val="bottom"/>
          </w:tcPr>
          <w:p>
            <w:pPr>
              <w:spacing w:after="0"/>
              <w:rPr>
                <w:sz w:val="11"/>
                <w:szCs w:val="11"/>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3,842</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(8 )</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ITI Holdings, Inc. (Revolver)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03/03/2028</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40" w:type="dxa"/>
            <w:vAlign w:val="bottom"/>
          </w:tcPr>
          <w:p>
            <w:pPr>
              <w:spacing w:after="0"/>
              <w:rPr>
                <w:sz w:val="11"/>
                <w:szCs w:val="11"/>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664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K2 Pure Solutions NoCal, L.P. (Revolver)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12/20/2023</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12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9.00 %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L+800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643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643</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K2 Pure Solutions NoCal, L.P.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12/20/2023</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40" w:type="dxa"/>
            <w:vAlign w:val="bottom"/>
          </w:tcPr>
          <w:p>
            <w:pPr>
              <w:spacing w:after="0"/>
              <w:rPr>
                <w:sz w:val="13"/>
                <w:szCs w:val="13"/>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786</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(8 )</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Kinetic Purchaser, LLC</w:t>
            </w:r>
          </w:p>
        </w:tc>
        <w:tc>
          <w:tcPr>
            <w:tcW w:w="800" w:type="dxa"/>
            <w:vAlign w:val="bottom"/>
            <w:gridSpan w:val="2"/>
          </w:tcPr>
          <w:p>
            <w:pPr>
              <w:jc w:val="center"/>
              <w:ind w:left="106"/>
              <w:spacing w:after="0" w:line="117" w:lineRule="exact"/>
              <w:rPr>
                <w:sz w:val="20"/>
                <w:szCs w:val="20"/>
                <w:color w:val="auto"/>
              </w:rPr>
            </w:pPr>
            <w:r>
              <w:rPr>
                <w:rFonts w:ascii="Times New Roman" w:cs="Times New Roman" w:eastAsia="Times New Roman" w:hAnsi="Times New Roman"/>
                <w:sz w:val="11"/>
                <w:szCs w:val="11"/>
                <w:color w:val="auto"/>
                <w:w w:val="95"/>
              </w:rPr>
              <w:t>11/10/2027</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Personal Products</w:t>
            </w:r>
          </w:p>
        </w:tc>
        <w:tc>
          <w:tcPr>
            <w:tcW w:w="112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7.00 %</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L+600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20,973</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20,574</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20,763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Kinetic Purchaser, LLC - (Revolver)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11/10/2026</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40" w:type="dxa"/>
            <w:vAlign w:val="bottom"/>
          </w:tcPr>
          <w:p>
            <w:pPr>
              <w:spacing w:after="0"/>
              <w:rPr>
                <w:sz w:val="13"/>
                <w:szCs w:val="13"/>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3,435</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(34 )</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Lash OpCo,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02/18/2027</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Personal Products</w:t>
            </w:r>
          </w:p>
        </w:tc>
        <w:tc>
          <w:tcPr>
            <w:tcW w:w="112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8.01 %</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L+700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17,076</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16,730</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17,076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Lash OpCo,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08/16/2026</w:t>
            </w:r>
          </w:p>
        </w:tc>
        <w:tc>
          <w:tcPr>
            <w:tcW w:w="14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40" w:type="dxa"/>
            <w:vAlign w:val="bottom"/>
          </w:tcPr>
          <w:p>
            <w:pPr>
              <w:spacing w:after="0"/>
              <w:rPr>
                <w:sz w:val="14"/>
                <w:szCs w:val="14"/>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1,920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line="122" w:lineRule="exact"/>
              <w:rPr>
                <w:sz w:val="20"/>
                <w:szCs w:val="20"/>
                <w:color w:val="auto"/>
              </w:rPr>
            </w:pPr>
            <w:r>
              <w:rPr>
                <w:rFonts w:ascii="Times New Roman" w:cs="Times New Roman" w:eastAsia="Times New Roman" w:hAnsi="Times New Roman"/>
                <w:sz w:val="11"/>
                <w:szCs w:val="11"/>
                <w:color w:val="auto"/>
              </w:rPr>
              <w:t>LAV Gear Holdings, Inc.</w:t>
            </w:r>
          </w:p>
        </w:tc>
        <w:tc>
          <w:tcPr>
            <w:tcW w:w="800" w:type="dxa"/>
            <w:vAlign w:val="bottom"/>
            <w:gridSpan w:val="2"/>
            <w:shd w:val="clear" w:color="auto" w:fill="CCECFF"/>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9"/>
              </w:rPr>
              <w:t>10/31/2024</w:t>
            </w: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Capital Equipment</w:t>
            </w:r>
          </w:p>
        </w:tc>
        <w:tc>
          <w:tcPr>
            <w:tcW w:w="1120" w:type="dxa"/>
            <w:vAlign w:val="bottom"/>
            <w:gridSpan w:val="3"/>
            <w:shd w:val="clear" w:color="auto" w:fill="CCECFF"/>
          </w:tcPr>
          <w:p>
            <w:pPr>
              <w:jc w:val="right"/>
              <w:ind w:right="106"/>
              <w:spacing w:after="0" w:line="122" w:lineRule="exact"/>
              <w:rPr>
                <w:sz w:val="20"/>
                <w:szCs w:val="20"/>
                <w:color w:val="auto"/>
              </w:rPr>
            </w:pPr>
            <w:r>
              <w:rPr>
                <w:rFonts w:ascii="Times New Roman" w:cs="Times New Roman" w:eastAsia="Times New Roman" w:hAnsi="Times New Roman"/>
                <w:sz w:val="11"/>
                <w:szCs w:val="11"/>
                <w:color w:val="auto"/>
              </w:rPr>
              <w:t>8.51 %</w:t>
            </w: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1M L+750</w:t>
            </w:r>
          </w:p>
        </w:tc>
        <w:tc>
          <w:tcPr>
            <w:tcW w:w="92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9,538</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9,510</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9,319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LAV Gear Holdings, Inc. (Revolver) </w:t>
            </w:r>
            <w:r>
              <w:rPr>
                <w:rFonts w:ascii="Times New Roman" w:cs="Times New Roman" w:eastAsia="Times New Roman" w:hAnsi="Times New Roman"/>
                <w:sz w:val="14"/>
                <w:szCs w:val="14"/>
                <w:color w:val="auto"/>
                <w:vertAlign w:val="superscript"/>
              </w:rPr>
              <w:t>(7)</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980" w:type="dxa"/>
            <w:vAlign w:val="bottom"/>
            <w:gridSpan w:val="2"/>
            <w:shd w:val="clear" w:color="auto" w:fill="CCECFF"/>
          </w:tcPr>
          <w:p>
            <w:pPr>
              <w:jc w:val="right"/>
              <w:ind w:right="226"/>
              <w:spacing w:after="0"/>
              <w:rPr>
                <w:sz w:val="20"/>
                <w:szCs w:val="20"/>
                <w:color w:val="auto"/>
              </w:rPr>
            </w:pPr>
            <w:r>
              <w:rPr>
                <w:rFonts w:ascii="Times New Roman" w:cs="Times New Roman" w:eastAsia="Times New Roman" w:hAnsi="Times New Roman"/>
                <w:sz w:val="11"/>
                <w:szCs w:val="11"/>
                <w:color w:val="auto"/>
              </w:rPr>
              <w:t>(PIK 5.00%)</w:t>
            </w: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320" w:type="dxa"/>
            <w:vAlign w:val="bottom"/>
            <w:vMerge w:val="continue"/>
          </w:tcPr>
          <w:p>
            <w:pPr>
              <w:spacing w:after="0"/>
              <w:rPr>
                <w:sz w:val="10"/>
                <w:szCs w:val="10"/>
                <w:color w:val="auto"/>
              </w:rPr>
            </w:pPr>
          </w:p>
        </w:tc>
        <w:tc>
          <w:tcPr>
            <w:tcW w:w="800" w:type="dxa"/>
            <w:vAlign w:val="bottom"/>
            <w:gridSpan w:val="2"/>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9"/>
              </w:rPr>
              <w:t>10/31/2024</w:t>
            </w:r>
          </w:p>
        </w:tc>
        <w:tc>
          <w:tcPr>
            <w:tcW w:w="140" w:type="dxa"/>
            <w:vAlign w:val="bottom"/>
          </w:tcPr>
          <w:p>
            <w:pPr>
              <w:spacing w:after="0"/>
              <w:rPr>
                <w:sz w:val="10"/>
                <w:szCs w:val="10"/>
                <w:color w:val="auto"/>
              </w:rPr>
            </w:pPr>
          </w:p>
        </w:tc>
        <w:tc>
          <w:tcPr>
            <w:tcW w:w="23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Capital Equipment</w:t>
            </w:r>
          </w:p>
        </w:tc>
        <w:tc>
          <w:tcPr>
            <w:tcW w:w="1120" w:type="dxa"/>
            <w:vAlign w:val="bottom"/>
            <w:gridSpan w:val="3"/>
          </w:tcPr>
          <w:p>
            <w:pPr>
              <w:jc w:val="right"/>
              <w:ind w:right="106"/>
              <w:spacing w:after="0" w:line="122" w:lineRule="exact"/>
              <w:rPr>
                <w:sz w:val="20"/>
                <w:szCs w:val="20"/>
                <w:color w:val="auto"/>
              </w:rPr>
            </w:pPr>
            <w:r>
              <w:rPr>
                <w:rFonts w:ascii="Times New Roman" w:cs="Times New Roman" w:eastAsia="Times New Roman" w:hAnsi="Times New Roman"/>
                <w:sz w:val="11"/>
                <w:szCs w:val="11"/>
                <w:color w:val="auto"/>
              </w:rPr>
              <w:t>8.51 %</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1M L+750</w:t>
            </w:r>
          </w:p>
        </w:tc>
        <w:tc>
          <w:tcPr>
            <w:tcW w:w="9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1,708</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1,708</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1,669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(PIK 5.00%)</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Ledge Lounger, Inc.</w:t>
            </w:r>
          </w:p>
        </w:tc>
        <w:tc>
          <w:tcPr>
            <w:tcW w:w="80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11/09/2026</w:t>
            </w:r>
          </w:p>
        </w:tc>
        <w:tc>
          <w:tcPr>
            <w:tcW w:w="14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112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7.25 %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3,766</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3,691</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3,728</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332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Ledge Lounger, Inc. (Revolver)</w:t>
            </w:r>
          </w:p>
        </w:tc>
        <w:tc>
          <w:tcPr>
            <w:tcW w:w="800" w:type="dxa"/>
            <w:vAlign w:val="bottom"/>
            <w:gridSpan w:val="2"/>
          </w:tcPr>
          <w:p>
            <w:pPr>
              <w:jc w:val="center"/>
              <w:ind w:left="106"/>
              <w:spacing w:after="0" w:line="103" w:lineRule="exact"/>
              <w:rPr>
                <w:sz w:val="20"/>
                <w:szCs w:val="20"/>
                <w:color w:val="auto"/>
              </w:rPr>
            </w:pPr>
            <w:r>
              <w:rPr>
                <w:rFonts w:ascii="Times New Roman" w:cs="Times New Roman" w:eastAsia="Times New Roman" w:hAnsi="Times New Roman"/>
                <w:sz w:val="11"/>
                <w:szCs w:val="11"/>
                <w:color w:val="auto"/>
                <w:w w:val="95"/>
              </w:rPr>
              <w:t>11/09/2026</w:t>
            </w:r>
          </w:p>
        </w:tc>
        <w:tc>
          <w:tcPr>
            <w:tcW w:w="140" w:type="dxa"/>
            <w:vAlign w:val="bottom"/>
          </w:tcPr>
          <w:p>
            <w:pPr>
              <w:spacing w:after="0"/>
              <w:rPr>
                <w:sz w:val="8"/>
                <w:szCs w:val="8"/>
                <w:color w:val="auto"/>
              </w:rPr>
            </w:pPr>
          </w:p>
        </w:tc>
        <w:tc>
          <w:tcPr>
            <w:tcW w:w="234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6"/>
              </w:rPr>
              <w:t>Leisure Products</w:t>
            </w:r>
          </w:p>
        </w:tc>
        <w:tc>
          <w:tcPr>
            <w:tcW w:w="1120" w:type="dxa"/>
            <w:vAlign w:val="bottom"/>
            <w:gridSpan w:val="3"/>
          </w:tcPr>
          <w:p>
            <w:pPr>
              <w:jc w:val="right"/>
              <w:ind w:right="106"/>
              <w:spacing w:after="0" w:line="103" w:lineRule="exact"/>
              <w:rPr>
                <w:sz w:val="20"/>
                <w:szCs w:val="20"/>
                <w:color w:val="auto"/>
              </w:rPr>
            </w:pPr>
            <w:r>
              <w:rPr>
                <w:rFonts w:ascii="Times New Roman" w:cs="Times New Roman" w:eastAsia="Times New Roman" w:hAnsi="Times New Roman"/>
                <w:sz w:val="11"/>
                <w:szCs w:val="11"/>
                <w:color w:val="auto"/>
              </w:rPr>
              <w:t>7.25 %</w:t>
            </w:r>
          </w:p>
        </w:tc>
        <w:tc>
          <w:tcPr>
            <w:tcW w:w="7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3M L+625</w:t>
            </w:r>
          </w:p>
        </w:tc>
        <w:tc>
          <w:tcPr>
            <w:tcW w:w="92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526</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526</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521</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Ledge Lounger, Inc. (Revolver)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11/09/2026</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140" w:type="dxa"/>
            <w:vAlign w:val="bottom"/>
          </w:tcPr>
          <w:p>
            <w:pPr>
              <w:spacing w:after="0"/>
              <w:rPr>
                <w:sz w:val="13"/>
                <w:szCs w:val="13"/>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263</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(3 )</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Lightspeed Buyer Inc.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02/03/2026</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Healthcare Technology</w:t>
            </w:r>
          </w:p>
        </w:tc>
        <w:tc>
          <w:tcPr>
            <w:tcW w:w="112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6.50 %</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L+550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24,478</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24,149</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24,233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Lightspeed Buyer Inc. (Revolver)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02/03/2026</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112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6.50 %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666</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666</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Lightspeed Buyer Inc.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02/03/2026</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140" w:type="dxa"/>
            <w:vAlign w:val="bottom"/>
          </w:tcPr>
          <w:p>
            <w:pPr>
              <w:spacing w:after="0"/>
              <w:rPr>
                <w:sz w:val="13"/>
                <w:szCs w:val="13"/>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1,833</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(18 )</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Lombart Brothers, Inc.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04/13/2023</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Capital Equipment</w:t>
            </w:r>
          </w:p>
        </w:tc>
        <w:tc>
          <w:tcPr>
            <w:tcW w:w="112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7.25 %</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L+625</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14,209</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14,157</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14,209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Lombart Brothers, Inc. (Revolver)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04/13/2023</w:t>
            </w:r>
          </w:p>
        </w:tc>
        <w:tc>
          <w:tcPr>
            <w:tcW w:w="14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12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7.25 %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516</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516</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Lucky Bucks,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07/20/2027</w:t>
            </w: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Hotels, Restaurants and Leisure</w:t>
            </w:r>
          </w:p>
        </w:tc>
        <w:tc>
          <w:tcPr>
            <w:tcW w:w="112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6.25 %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4,444</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4,362</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4,344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3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MAG DS Corp.</w:t>
            </w:r>
          </w:p>
        </w:tc>
        <w:tc>
          <w:tcPr>
            <w:tcW w:w="800" w:type="dxa"/>
            <w:vAlign w:val="bottom"/>
            <w:gridSpan w:val="2"/>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9"/>
              </w:rPr>
              <w:t>04/01/2027</w:t>
            </w:r>
          </w:p>
        </w:tc>
        <w:tc>
          <w:tcPr>
            <w:tcW w:w="140" w:type="dxa"/>
            <w:vAlign w:val="bottom"/>
          </w:tcPr>
          <w:p>
            <w:pPr>
              <w:spacing w:after="0"/>
              <w:rPr>
                <w:sz w:val="10"/>
                <w:szCs w:val="10"/>
                <w:color w:val="auto"/>
              </w:rPr>
            </w:pPr>
          </w:p>
        </w:tc>
        <w:tc>
          <w:tcPr>
            <w:tcW w:w="23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120" w:type="dxa"/>
            <w:vAlign w:val="bottom"/>
            <w:gridSpan w:val="3"/>
          </w:tcPr>
          <w:p>
            <w:pPr>
              <w:jc w:val="right"/>
              <w:ind w:right="106"/>
              <w:spacing w:after="0" w:line="122" w:lineRule="exact"/>
              <w:rPr>
                <w:sz w:val="20"/>
                <w:szCs w:val="20"/>
                <w:color w:val="auto"/>
              </w:rPr>
            </w:pPr>
            <w:r>
              <w:rPr>
                <w:rFonts w:ascii="Times New Roman" w:cs="Times New Roman" w:eastAsia="Times New Roman" w:hAnsi="Times New Roman"/>
                <w:sz w:val="11"/>
                <w:szCs w:val="11"/>
                <w:color w:val="auto"/>
              </w:rPr>
              <w:t>6.50 %</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1M L+550</w:t>
            </w:r>
          </w:p>
        </w:tc>
        <w:tc>
          <w:tcPr>
            <w:tcW w:w="9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3,734</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3,583</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3,360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Mars Acquisition Holdings Corp.</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05/14/2026</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Media</w:t>
            </w:r>
          </w:p>
        </w:tc>
        <w:tc>
          <w:tcPr>
            <w:tcW w:w="112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6.50 %</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L+550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6,082</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5,978</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6,037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Mars Acquisition Holdings Corp. (Revolver)</w:t>
            </w:r>
            <w:r>
              <w:rPr>
                <w:rFonts w:ascii="Times New Roman" w:cs="Times New Roman" w:eastAsia="Times New Roman" w:hAnsi="Times New Roman"/>
                <w:sz w:val="14"/>
                <w:szCs w:val="14"/>
                <w:color w:val="auto"/>
                <w:vertAlign w:val="superscript"/>
              </w:rPr>
              <w:t>(7)(9)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05/14/2026</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1,624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(12 )</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MBS Holdings, Inc. (Revolver)</w:t>
            </w:r>
            <w:r>
              <w:rPr>
                <w:rFonts w:ascii="Times New Roman" w:cs="Times New Roman" w:eastAsia="Times New Roman" w:hAnsi="Times New Roman"/>
                <w:sz w:val="14"/>
                <w:szCs w:val="14"/>
                <w:color w:val="auto"/>
                <w:vertAlign w:val="superscript"/>
              </w:rPr>
              <w:t>(7)(9)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04/16/2027</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Internet Software and Services</w:t>
            </w:r>
          </w:p>
        </w:tc>
        <w:tc>
          <w:tcPr>
            <w:tcW w:w="140" w:type="dxa"/>
            <w:vAlign w:val="bottom"/>
          </w:tcPr>
          <w:p>
            <w:pPr>
              <w:spacing w:after="0"/>
              <w:rPr>
                <w:sz w:val="11"/>
                <w:szCs w:val="11"/>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1,157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(12 )</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Meadowlark Acquirer, LLC - Term Loan I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12/10/2027</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40" w:type="dxa"/>
            <w:vAlign w:val="bottom"/>
          </w:tcPr>
          <w:p>
            <w:pPr>
              <w:spacing w:after="0"/>
              <w:rPr>
                <w:sz w:val="11"/>
                <w:szCs w:val="11"/>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3,103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(31 )</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Meadowlark Acquirer, LLC - Term Loan II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12/10/2027</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40" w:type="dxa"/>
            <w:vAlign w:val="bottom"/>
          </w:tcPr>
          <w:p>
            <w:pPr>
              <w:spacing w:after="0"/>
              <w:rPr>
                <w:sz w:val="11"/>
                <w:szCs w:val="11"/>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9,483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(95 )</w:t>
            </w: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Meadowlark Acquirer, LLC (Revolver)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12/10/2027</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40" w:type="dxa"/>
            <w:vAlign w:val="bottom"/>
          </w:tcPr>
          <w:p>
            <w:pPr>
              <w:spacing w:after="0"/>
              <w:rPr>
                <w:sz w:val="13"/>
                <w:szCs w:val="13"/>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1,693</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(34 )</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MeritDirect,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05/23/2024</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Media</w:t>
            </w:r>
          </w:p>
        </w:tc>
        <w:tc>
          <w:tcPr>
            <w:tcW w:w="112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6.50 %</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L+550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14,958</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14,850</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14,958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MeritDirect,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05/23/2024</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3"/>
                <w:szCs w:val="13"/>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2,869</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Mission Critical Electronics, Inc.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09/28/2022</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Capital Equipment</w:t>
            </w:r>
          </w:p>
        </w:tc>
        <w:tc>
          <w:tcPr>
            <w:tcW w:w="112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6.01 %</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L+500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603</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602</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603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Mission Critical Electronics, Inc. (Revolver)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09/28/2022</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12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6.62 %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645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Mission Critical Electronics, Inc.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09/28/2022</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40" w:type="dxa"/>
            <w:vAlign w:val="bottom"/>
          </w:tcPr>
          <w:p>
            <w:pPr>
              <w:spacing w:after="0"/>
              <w:rPr>
                <w:sz w:val="11"/>
                <w:szCs w:val="11"/>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680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Municipal Emergency Services, Inc.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09/28/2027</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12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6.01 %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273</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Municipal Emergency Services, Inc.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09/28/2027</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40" w:type="dxa"/>
            <w:vAlign w:val="bottom"/>
          </w:tcPr>
          <w:p>
            <w:pPr>
              <w:spacing w:after="0"/>
              <w:rPr>
                <w:sz w:val="11"/>
                <w:szCs w:val="11"/>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671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(15 )</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Municipal Emergency Services, Inc. (Revolver)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09/28/2027</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12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6.00 %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142</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Municipal Emergency Services, Inc.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09/28/2027</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40" w:type="dxa"/>
            <w:vAlign w:val="bottom"/>
          </w:tcPr>
          <w:p>
            <w:pPr>
              <w:spacing w:after="0"/>
              <w:rPr>
                <w:sz w:val="11"/>
                <w:szCs w:val="11"/>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805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(27 )</w:t>
            </w: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NBH Group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08/19/2026</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40" w:type="dxa"/>
            <w:vAlign w:val="bottom"/>
          </w:tcPr>
          <w:p>
            <w:pPr>
              <w:spacing w:after="0"/>
              <w:rPr>
                <w:sz w:val="13"/>
                <w:szCs w:val="13"/>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1,677</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(8 )</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OIS Management Services,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07/09/2026</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12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5.75 %</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L+450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5,085</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5,037</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5,034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OIS Management Services, LLC (Revolver)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07/09/2026</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12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5.75 %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444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444</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One Stop Mailing,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05/07/2027</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Air Freight and Logistics</w:t>
            </w:r>
          </w:p>
        </w:tc>
        <w:tc>
          <w:tcPr>
            <w:tcW w:w="112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7.25 %</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L+625</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8,907</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8,746</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8,818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ORL Acquisition, Inc.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09/03/2027</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Finance</w:t>
            </w:r>
          </w:p>
        </w:tc>
        <w:tc>
          <w:tcPr>
            <w:tcW w:w="112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6.26 %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7,232</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7,095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7,232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ORL Acquisition, Inc.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09/03/2027</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Finance</w:t>
            </w:r>
          </w:p>
        </w:tc>
        <w:tc>
          <w:tcPr>
            <w:tcW w:w="140" w:type="dxa"/>
            <w:vAlign w:val="bottom"/>
          </w:tcPr>
          <w:p>
            <w:pPr>
              <w:spacing w:after="0"/>
              <w:rPr>
                <w:sz w:val="13"/>
                <w:szCs w:val="13"/>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861</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Output Services Group, Inc.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03/27/2024</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12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5.50 %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4,875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4,290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Owl Acquisition,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02/04/2028</w:t>
            </w:r>
          </w:p>
        </w:tc>
        <w:tc>
          <w:tcPr>
            <w:tcW w:w="14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12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6.75 %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4,000</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3,922</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3,900</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332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Ox Two, LLC</w:t>
            </w:r>
          </w:p>
        </w:tc>
        <w:tc>
          <w:tcPr>
            <w:tcW w:w="800" w:type="dxa"/>
            <w:vAlign w:val="bottom"/>
            <w:gridSpan w:val="2"/>
          </w:tcPr>
          <w:p>
            <w:pPr>
              <w:jc w:val="center"/>
              <w:ind w:left="86"/>
              <w:spacing w:after="0" w:line="103" w:lineRule="exact"/>
              <w:rPr>
                <w:sz w:val="20"/>
                <w:szCs w:val="20"/>
                <w:color w:val="auto"/>
              </w:rPr>
            </w:pPr>
            <w:r>
              <w:rPr>
                <w:rFonts w:ascii="Times New Roman" w:cs="Times New Roman" w:eastAsia="Times New Roman" w:hAnsi="Times New Roman"/>
                <w:sz w:val="11"/>
                <w:szCs w:val="11"/>
                <w:color w:val="auto"/>
                <w:w w:val="99"/>
              </w:rPr>
              <w:t>05/18/2026</w:t>
            </w:r>
          </w:p>
        </w:tc>
        <w:tc>
          <w:tcPr>
            <w:tcW w:w="140" w:type="dxa"/>
            <w:vAlign w:val="bottom"/>
          </w:tcPr>
          <w:p>
            <w:pPr>
              <w:spacing w:after="0"/>
              <w:rPr>
                <w:sz w:val="8"/>
                <w:szCs w:val="8"/>
                <w:color w:val="auto"/>
              </w:rPr>
            </w:pPr>
          </w:p>
        </w:tc>
        <w:tc>
          <w:tcPr>
            <w:tcW w:w="234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7"/>
              </w:rPr>
              <w:t>Construction and Building</w:t>
            </w:r>
          </w:p>
        </w:tc>
        <w:tc>
          <w:tcPr>
            <w:tcW w:w="1120" w:type="dxa"/>
            <w:vAlign w:val="bottom"/>
            <w:gridSpan w:val="3"/>
          </w:tcPr>
          <w:p>
            <w:pPr>
              <w:jc w:val="right"/>
              <w:ind w:right="106"/>
              <w:spacing w:after="0" w:line="103" w:lineRule="exact"/>
              <w:rPr>
                <w:sz w:val="20"/>
                <w:szCs w:val="20"/>
                <w:color w:val="auto"/>
              </w:rPr>
            </w:pPr>
            <w:r>
              <w:rPr>
                <w:rFonts w:ascii="Times New Roman" w:cs="Times New Roman" w:eastAsia="Times New Roman" w:hAnsi="Times New Roman"/>
                <w:sz w:val="11"/>
                <w:szCs w:val="11"/>
                <w:color w:val="auto"/>
              </w:rPr>
              <w:t>8.00 %</w:t>
            </w:r>
          </w:p>
        </w:tc>
        <w:tc>
          <w:tcPr>
            <w:tcW w:w="7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1M L+700</w:t>
            </w:r>
          </w:p>
        </w:tc>
        <w:tc>
          <w:tcPr>
            <w:tcW w:w="92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22,523</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22,219</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22,072</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Ox Two, LLC (Revolver)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05/18/2026</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Construction and Building</w:t>
            </w:r>
          </w:p>
        </w:tc>
        <w:tc>
          <w:tcPr>
            <w:tcW w:w="112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8.00 %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2,935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2,935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2,877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Ox Two,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05/18/2026</w:t>
            </w:r>
          </w:p>
        </w:tc>
        <w:tc>
          <w:tcPr>
            <w:tcW w:w="14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Construction and Building</w:t>
            </w:r>
          </w:p>
        </w:tc>
        <w:tc>
          <w:tcPr>
            <w:tcW w:w="140" w:type="dxa"/>
            <w:vAlign w:val="bottom"/>
          </w:tcPr>
          <w:p>
            <w:pPr>
              <w:spacing w:after="0"/>
              <w:rPr>
                <w:sz w:val="14"/>
                <w:szCs w:val="14"/>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452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(9 )</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PL Acquisitionco, LLC</w:t>
            </w:r>
          </w:p>
        </w:tc>
        <w:tc>
          <w:tcPr>
            <w:tcW w:w="80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11/09/2027</w:t>
            </w: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Textiles, Apparel and Luxury Goods</w:t>
            </w:r>
          </w:p>
        </w:tc>
        <w:tc>
          <w:tcPr>
            <w:tcW w:w="112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7.51 %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L+650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6,141</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6,040</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6,034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32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PL Acquisitionco, LLC (Revolver)</w:t>
            </w:r>
          </w:p>
        </w:tc>
        <w:tc>
          <w:tcPr>
            <w:tcW w:w="800" w:type="dxa"/>
            <w:vAlign w:val="bottom"/>
            <w:gridSpan w:val="2"/>
          </w:tcPr>
          <w:p>
            <w:pPr>
              <w:jc w:val="center"/>
              <w:ind w:left="106"/>
              <w:spacing w:after="0" w:line="103" w:lineRule="exact"/>
              <w:rPr>
                <w:sz w:val="20"/>
                <w:szCs w:val="20"/>
                <w:color w:val="auto"/>
              </w:rPr>
            </w:pPr>
            <w:r>
              <w:rPr>
                <w:rFonts w:ascii="Times New Roman" w:cs="Times New Roman" w:eastAsia="Times New Roman" w:hAnsi="Times New Roman"/>
                <w:sz w:val="11"/>
                <w:szCs w:val="11"/>
                <w:color w:val="auto"/>
                <w:w w:val="95"/>
              </w:rPr>
              <w:t>11/09/2027</w:t>
            </w:r>
          </w:p>
        </w:tc>
        <w:tc>
          <w:tcPr>
            <w:tcW w:w="140" w:type="dxa"/>
            <w:vAlign w:val="bottom"/>
          </w:tcPr>
          <w:p>
            <w:pPr>
              <w:spacing w:after="0"/>
              <w:rPr>
                <w:sz w:val="8"/>
                <w:szCs w:val="8"/>
                <w:color w:val="auto"/>
              </w:rPr>
            </w:pPr>
          </w:p>
        </w:tc>
        <w:tc>
          <w:tcPr>
            <w:tcW w:w="234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7"/>
              </w:rPr>
              <w:t>Textiles, Apparel and Luxury Goods</w:t>
            </w:r>
          </w:p>
        </w:tc>
        <w:tc>
          <w:tcPr>
            <w:tcW w:w="1120" w:type="dxa"/>
            <w:vAlign w:val="bottom"/>
            <w:gridSpan w:val="3"/>
          </w:tcPr>
          <w:p>
            <w:pPr>
              <w:jc w:val="right"/>
              <w:ind w:right="106"/>
              <w:spacing w:after="0" w:line="103" w:lineRule="exact"/>
              <w:rPr>
                <w:sz w:val="20"/>
                <w:szCs w:val="20"/>
                <w:color w:val="auto"/>
              </w:rPr>
            </w:pPr>
            <w:r>
              <w:rPr>
                <w:rFonts w:ascii="Times New Roman" w:cs="Times New Roman" w:eastAsia="Times New Roman" w:hAnsi="Times New Roman"/>
                <w:sz w:val="11"/>
                <w:szCs w:val="11"/>
                <w:color w:val="auto"/>
              </w:rPr>
              <w:t>8.00 %</w:t>
            </w:r>
          </w:p>
        </w:tc>
        <w:tc>
          <w:tcPr>
            <w:tcW w:w="7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3M L+650</w:t>
            </w:r>
          </w:p>
        </w:tc>
        <w:tc>
          <w:tcPr>
            <w:tcW w:w="92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916</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916</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900</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PL Acquisitionco, LLC - (Revolver)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11/09/2027</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Textiles, Apparel and Luxury Goods</w:t>
            </w:r>
          </w:p>
        </w:tc>
        <w:tc>
          <w:tcPr>
            <w:tcW w:w="140" w:type="dxa"/>
            <w:vAlign w:val="bottom"/>
          </w:tcPr>
          <w:p>
            <w:pPr>
              <w:spacing w:after="0"/>
              <w:rPr>
                <w:sz w:val="13"/>
                <w:szCs w:val="13"/>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1,374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(24 )</w:t>
            </w:r>
          </w:p>
        </w:tc>
        <w:tc>
          <w:tcPr>
            <w:tcW w:w="0" w:type="dxa"/>
            <w:vAlign w:val="bottom"/>
          </w:tcPr>
          <w:p>
            <w:pPr>
              <w:spacing w:after="0"/>
              <w:rPr>
                <w:sz w:val="1"/>
                <w:szCs w:val="1"/>
                <w:color w:val="auto"/>
              </w:rPr>
            </w:pPr>
          </w:p>
        </w:tc>
      </w:tr>
      <w:tr>
        <w:trPr>
          <w:trHeight w:val="144"/>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Plant Health Intermediate, Inc.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10/19/2022</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12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6.76 %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641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PlayPower,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05/08/2026</w:t>
            </w:r>
          </w:p>
        </w:tc>
        <w:tc>
          <w:tcPr>
            <w:tcW w:w="14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112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6.50 %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3,459</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3,436</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3,262</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PRA Events, Inc.</w:t>
            </w:r>
          </w:p>
        </w:tc>
        <w:tc>
          <w:tcPr>
            <w:tcW w:w="800" w:type="dxa"/>
            <w:vAlign w:val="bottom"/>
            <w:gridSpan w:val="2"/>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9"/>
              </w:rPr>
              <w:t>08/07/2025</w:t>
            </w:r>
          </w:p>
        </w:tc>
        <w:tc>
          <w:tcPr>
            <w:tcW w:w="140" w:type="dxa"/>
            <w:vAlign w:val="bottom"/>
          </w:tcPr>
          <w:p>
            <w:pPr>
              <w:spacing w:after="0"/>
              <w:rPr>
                <w:sz w:val="10"/>
                <w:szCs w:val="10"/>
                <w:color w:val="auto"/>
              </w:rPr>
            </w:pPr>
          </w:p>
        </w:tc>
        <w:tc>
          <w:tcPr>
            <w:tcW w:w="23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120" w:type="dxa"/>
            <w:vAlign w:val="bottom"/>
            <w:gridSpan w:val="3"/>
          </w:tcPr>
          <w:p>
            <w:pPr>
              <w:jc w:val="right"/>
              <w:ind w:right="106"/>
              <w:spacing w:after="0" w:line="122" w:lineRule="exact"/>
              <w:rPr>
                <w:sz w:val="20"/>
                <w:szCs w:val="20"/>
                <w:color w:val="auto"/>
              </w:rPr>
            </w:pPr>
            <w:r>
              <w:rPr>
                <w:rFonts w:ascii="Times New Roman" w:cs="Times New Roman" w:eastAsia="Times New Roman" w:hAnsi="Times New Roman"/>
                <w:sz w:val="11"/>
                <w:szCs w:val="11"/>
                <w:color w:val="auto"/>
              </w:rPr>
              <w:t>11.50 %</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1M L+1,050</w:t>
            </w:r>
          </w:p>
        </w:tc>
        <w:tc>
          <w:tcPr>
            <w:tcW w:w="9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3,317</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2,885</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3,317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(PIK 11.50%)</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Quantic Electronics, LLC</w:t>
            </w:r>
          </w:p>
        </w:tc>
        <w:tc>
          <w:tcPr>
            <w:tcW w:w="800" w:type="dxa"/>
            <w:vAlign w:val="bottom"/>
            <w:gridSpan w:val="2"/>
          </w:tcPr>
          <w:p>
            <w:pPr>
              <w:jc w:val="center"/>
              <w:ind w:left="106"/>
              <w:spacing w:after="0" w:line="117" w:lineRule="exact"/>
              <w:rPr>
                <w:sz w:val="20"/>
                <w:szCs w:val="20"/>
                <w:color w:val="auto"/>
              </w:rPr>
            </w:pPr>
            <w:r>
              <w:rPr>
                <w:rFonts w:ascii="Times New Roman" w:cs="Times New Roman" w:eastAsia="Times New Roman" w:hAnsi="Times New Roman"/>
                <w:sz w:val="11"/>
                <w:szCs w:val="11"/>
                <w:color w:val="auto"/>
                <w:w w:val="95"/>
              </w:rPr>
              <w:t>11/19/2026</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112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7.01 %</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L+600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4,730</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4,647</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4,636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Quantic Electronics, LLC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11/19/2026</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140" w:type="dxa"/>
            <w:vAlign w:val="bottom"/>
          </w:tcPr>
          <w:p>
            <w:pPr>
              <w:spacing w:after="0"/>
              <w:rPr>
                <w:sz w:val="11"/>
                <w:szCs w:val="11"/>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2,810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(28 )</w:t>
            </w: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Quantic Electronics,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11/19/2026</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140" w:type="dxa"/>
            <w:vAlign w:val="bottom"/>
          </w:tcPr>
          <w:p>
            <w:pPr>
              <w:spacing w:after="0"/>
              <w:rPr>
                <w:sz w:val="13"/>
                <w:szCs w:val="13"/>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670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(13 )</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Questex,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09/09/2024</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12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6.00 %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7,238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7,172</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6,876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Questex, LLC (Revolver)</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09/09/2024</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12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6.00 %</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L+500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479</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479</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455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Questex,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09/09/2024</w:t>
            </w:r>
          </w:p>
        </w:tc>
        <w:tc>
          <w:tcPr>
            <w:tcW w:w="140" w:type="dxa"/>
            <w:vAlign w:val="bottom"/>
          </w:tcPr>
          <w:p>
            <w:pPr>
              <w:spacing w:after="0"/>
              <w:rPr>
                <w:sz w:val="16"/>
                <w:szCs w:val="16"/>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40" w:type="dxa"/>
            <w:vAlign w:val="bottom"/>
          </w:tcPr>
          <w:p>
            <w:pPr>
              <w:spacing w:after="0"/>
              <w:rPr>
                <w:sz w:val="16"/>
                <w:szCs w:val="16"/>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718</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-6615430</wp:posOffset>
            </wp:positionV>
            <wp:extent cx="7132320" cy="857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-6443980</wp:posOffset>
            </wp:positionV>
            <wp:extent cx="7132320" cy="857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-6272530</wp:posOffset>
            </wp:positionV>
            <wp:extent cx="7132320" cy="857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-6101080</wp:posOffset>
            </wp:positionV>
            <wp:extent cx="7132320" cy="857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-5929630</wp:posOffset>
            </wp:positionV>
            <wp:extent cx="7132320" cy="857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-5758180</wp:posOffset>
            </wp:positionV>
            <wp:extent cx="7132320" cy="857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-5586730</wp:posOffset>
            </wp:positionV>
            <wp:extent cx="7132320" cy="857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-5415280</wp:posOffset>
            </wp:positionV>
            <wp:extent cx="7132320" cy="857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-5243830</wp:posOffset>
            </wp:positionV>
            <wp:extent cx="7132320" cy="857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-5072380</wp:posOffset>
            </wp:positionV>
            <wp:extent cx="7132320" cy="857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-4900930</wp:posOffset>
            </wp:positionV>
            <wp:extent cx="7132320" cy="857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-4729480</wp:posOffset>
            </wp:positionV>
            <wp:extent cx="7132320" cy="857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-4558030</wp:posOffset>
            </wp:positionV>
            <wp:extent cx="2108835"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0883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-4043680</wp:posOffset>
            </wp:positionV>
            <wp:extent cx="7132320" cy="857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-3872230</wp:posOffset>
            </wp:positionV>
            <wp:extent cx="7132320" cy="857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-3700780</wp:posOffset>
            </wp:positionV>
            <wp:extent cx="7132320" cy="857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-3357880</wp:posOffset>
            </wp:positionV>
            <wp:extent cx="7132320" cy="857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-3186430</wp:posOffset>
            </wp:positionV>
            <wp:extent cx="7132320" cy="857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-3014980</wp:posOffset>
            </wp:positionV>
            <wp:extent cx="7132320" cy="857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-2843530</wp:posOffset>
            </wp:positionV>
            <wp:extent cx="7132320" cy="857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-2672080</wp:posOffset>
            </wp:positionV>
            <wp:extent cx="7132320" cy="857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-2500630</wp:posOffset>
            </wp:positionV>
            <wp:extent cx="7132320" cy="857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-2329180</wp:posOffset>
            </wp:positionV>
            <wp:extent cx="7132320" cy="857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-2157730</wp:posOffset>
            </wp:positionV>
            <wp:extent cx="7132320" cy="857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-1986280</wp:posOffset>
            </wp:positionV>
            <wp:extent cx="7132320" cy="857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-1814830</wp:posOffset>
            </wp:positionV>
            <wp:extent cx="7132320" cy="857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-1643380</wp:posOffset>
            </wp:positionV>
            <wp:extent cx="7132320" cy="857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-1300480</wp:posOffset>
            </wp:positionV>
            <wp:extent cx="7132320" cy="857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-957580</wp:posOffset>
            </wp:positionV>
            <wp:extent cx="7132320" cy="857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-528955</wp:posOffset>
            </wp:positionV>
            <wp:extent cx="7132320" cy="857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857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57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9" w:name="page10"/>
    <w:bookmarkEnd w:id="9"/>
    <w:p>
      <w:pPr>
        <w:ind w:left="3260"/>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bl>
      <w:tblPr>
        <w:tblLayout w:type="fixed"/>
        <w:tblInd w:w="0" w:type="dxa"/>
        <w:tblCellMar>
          <w:top w:w="0" w:type="dxa"/>
          <w:left w:w="0" w:type="dxa"/>
          <w:bottom w:w="0" w:type="dxa"/>
          <w:right w:w="0" w:type="dxa"/>
        </w:tblCellMar>
      </w:tblPr>
      <w:tr>
        <w:trPr>
          <w:trHeight w:val="116"/>
        </w:trPr>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w w:val="99"/>
              </w:rPr>
              <w:t>Basis Point</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Spread</w:t>
            </w: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right"/>
              <w:ind w:right="386"/>
              <w:spacing w:after="0" w:line="122" w:lineRule="exact"/>
              <w:rPr>
                <w:sz w:val="20"/>
                <w:szCs w:val="20"/>
                <w:color w:val="auto"/>
              </w:rPr>
            </w:pPr>
            <w:r>
              <w:rPr>
                <w:rFonts w:ascii="Times New Roman" w:cs="Times New Roman" w:eastAsia="Times New Roman" w:hAnsi="Times New Roman"/>
                <w:sz w:val="11"/>
                <w:szCs w:val="11"/>
                <w:b w:val="1"/>
                <w:bCs w:val="1"/>
                <w:color w:val="auto"/>
              </w:rPr>
              <w:t>Current</w:t>
            </w: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Above</w:t>
            </w:r>
          </w:p>
        </w:tc>
        <w:tc>
          <w:tcPr>
            <w:tcW w:w="160" w:type="dxa"/>
            <w:vAlign w:val="bottom"/>
          </w:tcPr>
          <w:p>
            <w:pPr>
              <w:spacing w:after="0"/>
              <w:rPr>
                <w:sz w:val="10"/>
                <w:szCs w:val="10"/>
                <w:color w:val="auto"/>
              </w:rPr>
            </w:pPr>
          </w:p>
        </w:tc>
        <w:tc>
          <w:tcPr>
            <w:tcW w:w="760" w:type="dxa"/>
            <w:vAlign w:val="bottom"/>
          </w:tcPr>
          <w:p>
            <w:pPr>
              <w:jc w:val="right"/>
              <w:ind w:right="226"/>
              <w:spacing w:after="0" w:line="122" w:lineRule="exact"/>
              <w:rPr>
                <w:sz w:val="20"/>
                <w:szCs w:val="20"/>
                <w:color w:val="auto"/>
              </w:rPr>
            </w:pPr>
            <w:r>
              <w:rPr>
                <w:rFonts w:ascii="Times New Roman" w:cs="Times New Roman" w:eastAsia="Times New Roman" w:hAnsi="Times New Roman"/>
                <w:sz w:val="11"/>
                <w:szCs w:val="11"/>
                <w:b w:val="1"/>
                <w:bCs w:val="1"/>
                <w:color w:val="auto"/>
              </w:rPr>
              <w:t>Par /</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0"/>
              </w:rPr>
              <w:t xml:space="preserve">Fair Value </w:t>
            </w:r>
            <w:r>
              <w:rPr>
                <w:rFonts w:ascii="Times New Roman" w:cs="Times New Roman" w:eastAsia="Times New Roman" w:hAnsi="Times New Roman"/>
                <w:sz w:val="14"/>
                <w:szCs w:val="14"/>
                <w:b w:val="1"/>
                <w:bCs w:val="1"/>
                <w:color w:val="auto"/>
                <w:w w:val="90"/>
                <w:vertAlign w:val="superscript"/>
              </w:rPr>
              <w:t>(2)</w:t>
            </w: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40" w:type="dxa"/>
            <w:vAlign w:val="bottom"/>
          </w:tcPr>
          <w:p>
            <w:pPr>
              <w:spacing w:after="0"/>
              <w:rPr>
                <w:sz w:val="13"/>
                <w:szCs w:val="13"/>
                <w:color w:val="auto"/>
              </w:rPr>
            </w:pPr>
          </w:p>
        </w:tc>
        <w:tc>
          <w:tcPr>
            <w:tcW w:w="980" w:type="dxa"/>
            <w:vAlign w:val="bottom"/>
            <w:gridSpan w:val="2"/>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760" w:type="dxa"/>
            <w:vAlign w:val="bottom"/>
          </w:tcPr>
          <w:p>
            <w:pPr>
              <w:jc w:val="center"/>
              <w:spacing w:after="0" w:line="143" w:lineRule="exact"/>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160" w:type="dxa"/>
            <w:vAlign w:val="bottom"/>
          </w:tcPr>
          <w:p>
            <w:pPr>
              <w:spacing w:after="0"/>
              <w:rPr>
                <w:sz w:val="13"/>
                <w:szCs w:val="13"/>
                <w:color w:val="auto"/>
              </w:rPr>
            </w:pPr>
          </w:p>
        </w:tc>
        <w:tc>
          <w:tcPr>
            <w:tcW w:w="76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3320" w:type="dxa"/>
            <w:vAlign w:val="bottom"/>
          </w:tcPr>
          <w:p>
            <w:pPr>
              <w:ind w:left="20"/>
              <w:spacing w:after="0" w:line="103" w:lineRule="exact"/>
              <w:rPr>
                <w:sz w:val="20"/>
                <w:szCs w:val="20"/>
                <w:color w:val="auto"/>
              </w:rPr>
            </w:pPr>
            <w:r>
              <w:rPr>
                <w:rFonts w:ascii="Times New Roman" w:cs="Times New Roman" w:eastAsia="Times New Roman" w:hAnsi="Times New Roman"/>
                <w:sz w:val="9"/>
                <w:szCs w:val="9"/>
                <w:color w:val="auto"/>
              </w:rPr>
              <w:t xml:space="preserve">Rancho Health MSO, Inc. </w:t>
            </w:r>
            <w:r>
              <w:rPr>
                <w:rFonts w:ascii="Times New Roman" w:cs="Times New Roman" w:eastAsia="Times New Roman" w:hAnsi="Times New Roman"/>
                <w:sz w:val="11"/>
                <w:szCs w:val="11"/>
                <w:color w:val="auto"/>
                <w:vertAlign w:val="superscript"/>
              </w:rPr>
              <w:t>(7)</w:t>
            </w:r>
          </w:p>
        </w:tc>
        <w:tc>
          <w:tcPr>
            <w:tcW w:w="140" w:type="dxa"/>
            <w:vAlign w:val="bottom"/>
          </w:tcPr>
          <w:p>
            <w:pPr>
              <w:spacing w:after="0"/>
              <w:rPr>
                <w:sz w:val="8"/>
                <w:szCs w:val="8"/>
                <w:color w:val="auto"/>
              </w:rPr>
            </w:pPr>
          </w:p>
        </w:tc>
        <w:tc>
          <w:tcPr>
            <w:tcW w:w="660" w:type="dxa"/>
            <w:vAlign w:val="bottom"/>
            <w:tcBorders>
              <w:top w:val="single" w:sz="8" w:color="auto"/>
            </w:tcBorders>
          </w:tcPr>
          <w:p>
            <w:pPr>
              <w:jc w:val="center"/>
              <w:spacing w:after="0" w:line="103" w:lineRule="exact"/>
              <w:rPr>
                <w:sz w:val="20"/>
                <w:szCs w:val="20"/>
                <w:color w:val="auto"/>
              </w:rPr>
            </w:pPr>
            <w:r>
              <w:rPr>
                <w:rFonts w:ascii="Times New Roman" w:cs="Times New Roman" w:eastAsia="Times New Roman" w:hAnsi="Times New Roman"/>
                <w:sz w:val="11"/>
                <w:szCs w:val="11"/>
                <w:color w:val="auto"/>
                <w:w w:val="99"/>
              </w:rPr>
              <w:t>12/18/2025</w:t>
            </w:r>
          </w:p>
        </w:tc>
        <w:tc>
          <w:tcPr>
            <w:tcW w:w="140" w:type="dxa"/>
            <w:vAlign w:val="bottom"/>
          </w:tcPr>
          <w:p>
            <w:pPr>
              <w:spacing w:after="0"/>
              <w:rPr>
                <w:sz w:val="8"/>
                <w:szCs w:val="8"/>
                <w:color w:val="auto"/>
              </w:rPr>
            </w:pPr>
          </w:p>
        </w:tc>
        <w:tc>
          <w:tcPr>
            <w:tcW w:w="2340" w:type="dxa"/>
            <w:vAlign w:val="bottom"/>
            <w:tcBorders>
              <w:top w:val="single" w:sz="8" w:color="auto"/>
            </w:tcBorders>
          </w:tcPr>
          <w:p>
            <w:pPr>
              <w:jc w:val="center"/>
              <w:spacing w:after="0" w:line="103" w:lineRule="exact"/>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40" w:type="dxa"/>
            <w:vAlign w:val="bottom"/>
          </w:tcPr>
          <w:p>
            <w:pPr>
              <w:spacing w:after="0"/>
              <w:rPr>
                <w:sz w:val="8"/>
                <w:szCs w:val="8"/>
                <w:color w:val="auto"/>
              </w:rPr>
            </w:pPr>
          </w:p>
        </w:tc>
        <w:tc>
          <w:tcPr>
            <w:tcW w:w="70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color w:val="auto"/>
              </w:rPr>
              <w:t>6.75</w:t>
            </w:r>
          </w:p>
        </w:tc>
        <w:tc>
          <w:tcPr>
            <w:tcW w:w="280" w:type="dxa"/>
            <w:vAlign w:val="bottom"/>
          </w:tcPr>
          <w:p>
            <w:pPr>
              <w:jc w:val="right"/>
              <w:ind w:right="106"/>
              <w:spacing w:after="0" w:line="103"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color w:val="auto"/>
              </w:rPr>
              <w:t>3M L+575</w:t>
            </w:r>
          </w:p>
        </w:tc>
        <w:tc>
          <w:tcPr>
            <w:tcW w:w="160" w:type="dxa"/>
            <w:vAlign w:val="bottom"/>
          </w:tcPr>
          <w:p>
            <w:pPr>
              <w:spacing w:after="0"/>
              <w:rPr>
                <w:sz w:val="8"/>
                <w:szCs w:val="8"/>
                <w:color w:val="auto"/>
              </w:rPr>
            </w:pPr>
          </w:p>
        </w:tc>
        <w:tc>
          <w:tcPr>
            <w:tcW w:w="76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color w:val="auto"/>
              </w:rPr>
              <w:t>1,045</w:t>
            </w:r>
          </w:p>
        </w:tc>
        <w:tc>
          <w:tcPr>
            <w:tcW w:w="160" w:type="dxa"/>
            <w:vAlign w:val="bottom"/>
          </w:tcPr>
          <w:p>
            <w:pPr>
              <w:spacing w:after="0"/>
              <w:rPr>
                <w:sz w:val="8"/>
                <w:szCs w:val="8"/>
                <w:color w:val="auto"/>
              </w:rPr>
            </w:pPr>
          </w:p>
        </w:tc>
        <w:tc>
          <w:tcPr>
            <w:tcW w:w="160" w:type="dxa"/>
            <w:vAlign w:val="bottom"/>
            <w:tcBorders>
              <w:top w:val="single" w:sz="8" w:color="auto"/>
            </w:tcBorders>
          </w:tcPr>
          <w:p>
            <w:pPr>
              <w:jc w:val="right"/>
              <w:ind w:right="46"/>
              <w:spacing w:after="0" w:line="103"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color w:val="auto"/>
              </w:rPr>
              <w:t>1,045</w:t>
            </w:r>
          </w:p>
        </w:tc>
        <w:tc>
          <w:tcPr>
            <w:tcW w:w="160" w:type="dxa"/>
            <w:vAlign w:val="bottom"/>
          </w:tcPr>
          <w:p>
            <w:pPr>
              <w:spacing w:after="0"/>
              <w:rPr>
                <w:sz w:val="8"/>
                <w:szCs w:val="8"/>
                <w:color w:val="auto"/>
              </w:rPr>
            </w:pPr>
          </w:p>
        </w:tc>
        <w:tc>
          <w:tcPr>
            <w:tcW w:w="6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color w:val="auto"/>
              </w:rPr>
              <w:t>1,045</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Rancho Health MSO, Inc.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12/18/2025</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40" w:type="dxa"/>
            <w:vAlign w:val="bottom"/>
          </w:tcPr>
          <w:p>
            <w:pPr>
              <w:spacing w:after="0"/>
              <w:rPr>
                <w:sz w:val="13"/>
                <w:szCs w:val="13"/>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525</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Recteq,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01/29/2026</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6"/>
              </w:rPr>
              <w:t>Leisure Products</w:t>
            </w:r>
          </w:p>
        </w:tc>
        <w:tc>
          <w:tcPr>
            <w:tcW w:w="112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7.00 %</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L+600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1,485</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1,461</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1,463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Recteq,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01/29/2026</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140" w:type="dxa"/>
            <w:vAlign w:val="bottom"/>
          </w:tcPr>
          <w:p>
            <w:pPr>
              <w:spacing w:after="0"/>
              <w:rPr>
                <w:sz w:val="13"/>
                <w:szCs w:val="13"/>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1,296</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(19 )</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Research Now Group, Inc. and Dynata,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12/20/2024</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12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6.50 %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17,232</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17,041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16,891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Riverpoint Medical,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06/20/2025</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12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6.75 %</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8,074</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8,007</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8,049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Riverpoint Medical,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06/20/2025</w:t>
            </w:r>
          </w:p>
        </w:tc>
        <w:tc>
          <w:tcPr>
            <w:tcW w:w="14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40" w:type="dxa"/>
            <w:vAlign w:val="bottom"/>
          </w:tcPr>
          <w:p>
            <w:pPr>
              <w:spacing w:after="0"/>
              <w:rPr>
                <w:sz w:val="14"/>
                <w:szCs w:val="14"/>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909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(3 )</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Riverside Assessments,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03/10/2025</w:t>
            </w: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12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6.51 %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15,435</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15,250</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15,435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32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Sales Benchmark Index LLC</w:t>
            </w:r>
          </w:p>
        </w:tc>
        <w:tc>
          <w:tcPr>
            <w:tcW w:w="800" w:type="dxa"/>
            <w:vAlign w:val="bottom"/>
            <w:gridSpan w:val="2"/>
          </w:tcPr>
          <w:p>
            <w:pPr>
              <w:jc w:val="center"/>
              <w:ind w:left="86"/>
              <w:spacing w:after="0" w:line="103" w:lineRule="exact"/>
              <w:rPr>
                <w:sz w:val="20"/>
                <w:szCs w:val="20"/>
                <w:color w:val="auto"/>
              </w:rPr>
            </w:pPr>
            <w:r>
              <w:rPr>
                <w:rFonts w:ascii="Times New Roman" w:cs="Times New Roman" w:eastAsia="Times New Roman" w:hAnsi="Times New Roman"/>
                <w:sz w:val="11"/>
                <w:szCs w:val="11"/>
                <w:color w:val="auto"/>
                <w:w w:val="99"/>
              </w:rPr>
              <w:t>01/03/2025</w:t>
            </w:r>
          </w:p>
        </w:tc>
        <w:tc>
          <w:tcPr>
            <w:tcW w:w="140" w:type="dxa"/>
            <w:vAlign w:val="bottom"/>
          </w:tcPr>
          <w:p>
            <w:pPr>
              <w:spacing w:after="0"/>
              <w:rPr>
                <w:sz w:val="8"/>
                <w:szCs w:val="8"/>
                <w:color w:val="auto"/>
              </w:rPr>
            </w:pPr>
          </w:p>
        </w:tc>
        <w:tc>
          <w:tcPr>
            <w:tcW w:w="234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7"/>
              </w:rPr>
              <w:t>Professional Services</w:t>
            </w:r>
          </w:p>
        </w:tc>
        <w:tc>
          <w:tcPr>
            <w:tcW w:w="1120" w:type="dxa"/>
            <w:vAlign w:val="bottom"/>
            <w:gridSpan w:val="3"/>
          </w:tcPr>
          <w:p>
            <w:pPr>
              <w:jc w:val="right"/>
              <w:ind w:right="106"/>
              <w:spacing w:after="0" w:line="103" w:lineRule="exact"/>
              <w:rPr>
                <w:sz w:val="20"/>
                <w:szCs w:val="20"/>
                <w:color w:val="auto"/>
              </w:rPr>
            </w:pPr>
            <w:r>
              <w:rPr>
                <w:rFonts w:ascii="Times New Roman" w:cs="Times New Roman" w:eastAsia="Times New Roman" w:hAnsi="Times New Roman"/>
                <w:sz w:val="11"/>
                <w:szCs w:val="11"/>
                <w:color w:val="auto"/>
              </w:rPr>
              <w:t>7.75 %</w:t>
            </w:r>
          </w:p>
        </w:tc>
        <w:tc>
          <w:tcPr>
            <w:tcW w:w="7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3M L+600</w:t>
            </w:r>
          </w:p>
        </w:tc>
        <w:tc>
          <w:tcPr>
            <w:tcW w:w="92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7,527</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7,436</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7,527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Sales Benchmark Index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01/03/2025</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40" w:type="dxa"/>
            <w:vAlign w:val="bottom"/>
          </w:tcPr>
          <w:p>
            <w:pPr>
              <w:spacing w:after="0"/>
              <w:rPr>
                <w:sz w:val="13"/>
                <w:szCs w:val="13"/>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1,293</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Sargent &amp; Greenleaf Inc.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12/20/2024</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112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7.00 %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3,626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3,594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3,626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Sargent &amp; Greenleaf Inc. (Revolver)</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12/20/2024</w:t>
            </w:r>
          </w:p>
        </w:tc>
        <w:tc>
          <w:tcPr>
            <w:tcW w:w="14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112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7.00 %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1,056</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1,056</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1,056</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Schlesinger Global, Inc.</w:t>
            </w:r>
          </w:p>
        </w:tc>
        <w:tc>
          <w:tcPr>
            <w:tcW w:w="800" w:type="dxa"/>
            <w:vAlign w:val="bottom"/>
            <w:gridSpan w:val="2"/>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9"/>
              </w:rPr>
              <w:t>07/14/2025</w:t>
            </w:r>
          </w:p>
        </w:tc>
        <w:tc>
          <w:tcPr>
            <w:tcW w:w="140" w:type="dxa"/>
            <w:vAlign w:val="bottom"/>
          </w:tcPr>
          <w:p>
            <w:pPr>
              <w:spacing w:after="0"/>
              <w:rPr>
                <w:sz w:val="10"/>
                <w:szCs w:val="10"/>
                <w:color w:val="auto"/>
              </w:rPr>
            </w:pPr>
          </w:p>
        </w:tc>
        <w:tc>
          <w:tcPr>
            <w:tcW w:w="23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Professional Services</w:t>
            </w:r>
          </w:p>
        </w:tc>
        <w:tc>
          <w:tcPr>
            <w:tcW w:w="1120" w:type="dxa"/>
            <w:vAlign w:val="bottom"/>
            <w:gridSpan w:val="3"/>
          </w:tcPr>
          <w:p>
            <w:pPr>
              <w:jc w:val="right"/>
              <w:ind w:right="106"/>
              <w:spacing w:after="0" w:line="122" w:lineRule="exact"/>
              <w:rPr>
                <w:sz w:val="20"/>
                <w:szCs w:val="20"/>
                <w:color w:val="auto"/>
              </w:rPr>
            </w:pPr>
            <w:r>
              <w:rPr>
                <w:rFonts w:ascii="Times New Roman" w:cs="Times New Roman" w:eastAsia="Times New Roman" w:hAnsi="Times New Roman"/>
                <w:sz w:val="11"/>
                <w:szCs w:val="11"/>
                <w:color w:val="auto"/>
              </w:rPr>
              <w:t>8.01 %</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1M L+700</w:t>
            </w:r>
          </w:p>
        </w:tc>
        <w:tc>
          <w:tcPr>
            <w:tcW w:w="9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13,405</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13,315</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13,271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Schlesinger Global, Inc. (Revolver)</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07/14/2025</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Professional Services</w:t>
            </w:r>
          </w:p>
        </w:tc>
        <w:tc>
          <w:tcPr>
            <w:tcW w:w="112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7.01 %</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L+600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1,478</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1,478</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1,464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Schlesinger Global, Inc.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07/14/2025</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40" w:type="dxa"/>
            <w:vAlign w:val="bottom"/>
          </w:tcPr>
          <w:p>
            <w:pPr>
              <w:spacing w:after="0"/>
              <w:rPr>
                <w:sz w:val="13"/>
                <w:szCs w:val="13"/>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392</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(4 )</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Sigma Defense Systems,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12/18/2025</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IT Services</w:t>
            </w:r>
          </w:p>
        </w:tc>
        <w:tc>
          <w:tcPr>
            <w:tcW w:w="112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9.50 %</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L+850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11,110</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10,850</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10,944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Sigma Defense Systems,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12/18/2025</w:t>
            </w:r>
          </w:p>
        </w:tc>
        <w:tc>
          <w:tcPr>
            <w:tcW w:w="14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40" w:type="dxa"/>
            <w:vAlign w:val="bottom"/>
          </w:tcPr>
          <w:p>
            <w:pPr>
              <w:spacing w:after="0"/>
              <w:rPr>
                <w:sz w:val="14"/>
                <w:szCs w:val="14"/>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2,621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(39 )</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Signature Systems Holding Company</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05/03/2024</w:t>
            </w: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12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7.50 %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L+650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11,375</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11,294</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11,375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32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Signature Systems Holding Company (Revolver)</w:t>
            </w:r>
          </w:p>
        </w:tc>
        <w:tc>
          <w:tcPr>
            <w:tcW w:w="800" w:type="dxa"/>
            <w:vAlign w:val="bottom"/>
            <w:gridSpan w:val="2"/>
          </w:tcPr>
          <w:p>
            <w:pPr>
              <w:jc w:val="center"/>
              <w:ind w:left="86"/>
              <w:spacing w:after="0" w:line="103" w:lineRule="exact"/>
              <w:rPr>
                <w:sz w:val="20"/>
                <w:szCs w:val="20"/>
                <w:color w:val="auto"/>
              </w:rPr>
            </w:pPr>
            <w:r>
              <w:rPr>
                <w:rFonts w:ascii="Times New Roman" w:cs="Times New Roman" w:eastAsia="Times New Roman" w:hAnsi="Times New Roman"/>
                <w:sz w:val="11"/>
                <w:szCs w:val="11"/>
                <w:color w:val="auto"/>
                <w:w w:val="99"/>
              </w:rPr>
              <w:t>05/03/2024</w:t>
            </w:r>
          </w:p>
        </w:tc>
        <w:tc>
          <w:tcPr>
            <w:tcW w:w="140" w:type="dxa"/>
            <w:vAlign w:val="bottom"/>
          </w:tcPr>
          <w:p>
            <w:pPr>
              <w:spacing w:after="0"/>
              <w:rPr>
                <w:sz w:val="8"/>
                <w:szCs w:val="8"/>
                <w:color w:val="auto"/>
              </w:rPr>
            </w:pPr>
          </w:p>
        </w:tc>
        <w:tc>
          <w:tcPr>
            <w:tcW w:w="234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120" w:type="dxa"/>
            <w:vAlign w:val="bottom"/>
            <w:gridSpan w:val="3"/>
          </w:tcPr>
          <w:p>
            <w:pPr>
              <w:jc w:val="right"/>
              <w:ind w:right="106"/>
              <w:spacing w:after="0" w:line="103" w:lineRule="exact"/>
              <w:rPr>
                <w:sz w:val="20"/>
                <w:szCs w:val="20"/>
                <w:color w:val="auto"/>
              </w:rPr>
            </w:pPr>
            <w:r>
              <w:rPr>
                <w:rFonts w:ascii="Times New Roman" w:cs="Times New Roman" w:eastAsia="Times New Roman" w:hAnsi="Times New Roman"/>
                <w:sz w:val="11"/>
                <w:szCs w:val="11"/>
                <w:color w:val="auto"/>
              </w:rPr>
              <w:t>7.50 %</w:t>
            </w:r>
          </w:p>
        </w:tc>
        <w:tc>
          <w:tcPr>
            <w:tcW w:w="7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1M L+650</w:t>
            </w:r>
          </w:p>
        </w:tc>
        <w:tc>
          <w:tcPr>
            <w:tcW w:w="92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419</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419</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419</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Signature Systems Holding Company (Revolver)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05/03/2024</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40" w:type="dxa"/>
            <w:vAlign w:val="bottom"/>
          </w:tcPr>
          <w:p>
            <w:pPr>
              <w:spacing w:after="0"/>
              <w:rPr>
                <w:sz w:val="13"/>
                <w:szCs w:val="13"/>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1,328</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Smile Brands Inc.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10/14/2024</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Healthcare and Pharmaceuticals</w:t>
            </w:r>
          </w:p>
        </w:tc>
        <w:tc>
          <w:tcPr>
            <w:tcW w:w="112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5.25 %</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L+450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1,944</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1,944</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1,891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Smile Brands Inc. (Revolver)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10/14/2024</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112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7.00 %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L+350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Smile Brands Inc.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10/14/2024</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140" w:type="dxa"/>
            <w:vAlign w:val="bottom"/>
          </w:tcPr>
          <w:p>
            <w:pPr>
              <w:spacing w:after="0"/>
              <w:rPr>
                <w:sz w:val="11"/>
                <w:szCs w:val="11"/>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1,450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(40 )</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Smile Brands Inc. 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10/14/2024</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140" w:type="dxa"/>
            <w:vAlign w:val="bottom"/>
          </w:tcPr>
          <w:p>
            <w:pPr>
              <w:spacing w:after="0"/>
              <w:rPr>
                <w:sz w:val="11"/>
                <w:szCs w:val="11"/>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(3 )</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Snak Club, LLC (Revolver)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07/19/2021</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112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7.00 %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Snak Club,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07/19/2021</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140" w:type="dxa"/>
            <w:vAlign w:val="bottom"/>
          </w:tcPr>
          <w:p>
            <w:pPr>
              <w:spacing w:after="0"/>
              <w:rPr>
                <w:sz w:val="13"/>
                <w:szCs w:val="13"/>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450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Solutionreach, Inc.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01/17/2024</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Healthcare Technology</w:t>
            </w:r>
          </w:p>
        </w:tc>
        <w:tc>
          <w:tcPr>
            <w:tcW w:w="112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6.75 %</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5,956</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5,907</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5,694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Solutionreach, Inc.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01/17/2024</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140" w:type="dxa"/>
            <w:vAlign w:val="bottom"/>
          </w:tcPr>
          <w:p>
            <w:pPr>
              <w:spacing w:after="0"/>
              <w:rPr>
                <w:sz w:val="13"/>
                <w:szCs w:val="13"/>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1,665</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(73 )</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Spear Education,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02/26/2025</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12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6.25 %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14,823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14,696</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14,823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Spendmend Holdings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03/01/2028</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Healthcare Technology</w:t>
            </w:r>
          </w:p>
        </w:tc>
        <w:tc>
          <w:tcPr>
            <w:tcW w:w="112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6.75 %</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2,029</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1,999</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1,997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Spendmend Holdings LLC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03/01/2023</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2,971</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(25 )</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Spendmend Holdings LLC (Revolver)</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03/01/2028</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Healthcare Technology</w:t>
            </w:r>
          </w:p>
        </w:tc>
        <w:tc>
          <w:tcPr>
            <w:tcW w:w="112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6.75 %</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119</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119</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117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Spendmend Holdings LLC (Revolver)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03/01/2028</w:t>
            </w:r>
          </w:p>
        </w:tc>
        <w:tc>
          <w:tcPr>
            <w:tcW w:w="14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772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(12 )</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STV Group Incorporated</w:t>
            </w:r>
          </w:p>
        </w:tc>
        <w:tc>
          <w:tcPr>
            <w:tcW w:w="80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12/11/2026</w:t>
            </w: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Construction &amp; Engineering</w:t>
            </w:r>
          </w:p>
        </w:tc>
        <w:tc>
          <w:tcPr>
            <w:tcW w:w="112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5.71 %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4,752</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4,715</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4,609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32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System Planning and Analysis, Inc. (f/k/a Management Consulting &amp;</w:t>
            </w:r>
          </w:p>
        </w:tc>
        <w:tc>
          <w:tcPr>
            <w:tcW w:w="800" w:type="dxa"/>
            <w:vAlign w:val="bottom"/>
            <w:gridSpan w:val="2"/>
          </w:tcPr>
          <w:p>
            <w:pPr>
              <w:jc w:val="center"/>
              <w:ind w:left="86"/>
              <w:spacing w:after="0" w:line="95" w:lineRule="exact"/>
              <w:rPr>
                <w:sz w:val="20"/>
                <w:szCs w:val="20"/>
                <w:color w:val="auto"/>
              </w:rPr>
            </w:pPr>
            <w:r>
              <w:rPr>
                <w:rFonts w:ascii="Times New Roman" w:cs="Times New Roman" w:eastAsia="Times New Roman" w:hAnsi="Times New Roman"/>
                <w:sz w:val="10"/>
                <w:szCs w:val="10"/>
                <w:color w:val="auto"/>
              </w:rPr>
              <w:t>08/16/2027</w:t>
            </w:r>
          </w:p>
        </w:tc>
        <w:tc>
          <w:tcPr>
            <w:tcW w:w="140" w:type="dxa"/>
            <w:vAlign w:val="bottom"/>
          </w:tcPr>
          <w:p>
            <w:pPr>
              <w:spacing w:after="0"/>
              <w:rPr>
                <w:sz w:val="8"/>
                <w:szCs w:val="8"/>
                <w:color w:val="auto"/>
              </w:rPr>
            </w:pPr>
          </w:p>
        </w:tc>
        <w:tc>
          <w:tcPr>
            <w:tcW w:w="2340" w:type="dxa"/>
            <w:vAlign w:val="bottom"/>
          </w:tcPr>
          <w:p>
            <w:pPr>
              <w:jc w:val="center"/>
              <w:spacing w:after="0" w:line="95" w:lineRule="exact"/>
              <w:rPr>
                <w:sz w:val="20"/>
                <w:szCs w:val="20"/>
                <w:color w:val="auto"/>
              </w:rPr>
            </w:pPr>
            <w:r>
              <w:rPr>
                <w:rFonts w:ascii="Times New Roman" w:cs="Times New Roman" w:eastAsia="Times New Roman" w:hAnsi="Times New Roman"/>
                <w:sz w:val="10"/>
                <w:szCs w:val="10"/>
                <w:color w:val="auto"/>
              </w:rPr>
              <w:t>Aerospace and Defense</w:t>
            </w: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3M L+600</w:t>
            </w: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18,301</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Research, LLC)</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12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7.01 %</w:t>
            </w:r>
          </w:p>
        </w:tc>
        <w:tc>
          <w:tcPr>
            <w:tcW w:w="760" w:type="dxa"/>
            <w:vAlign w:val="bottom"/>
          </w:tcPr>
          <w:p>
            <w:pPr>
              <w:spacing w:after="0"/>
              <w:rPr>
                <w:sz w:val="12"/>
                <w:szCs w:val="1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18,653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18,038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320" w:type="dxa"/>
            <w:vAlign w:val="bottom"/>
          </w:tcPr>
          <w:p>
            <w:pPr>
              <w:ind w:left="20"/>
              <w:spacing w:after="0" w:line="109" w:lineRule="exact"/>
              <w:rPr>
                <w:sz w:val="20"/>
                <w:szCs w:val="20"/>
                <w:color w:val="auto"/>
              </w:rPr>
            </w:pPr>
            <w:r>
              <w:rPr>
                <w:rFonts w:ascii="Times New Roman" w:cs="Times New Roman" w:eastAsia="Times New Roman" w:hAnsi="Times New Roman"/>
                <w:sz w:val="11"/>
                <w:szCs w:val="11"/>
                <w:color w:val="auto"/>
              </w:rPr>
              <w:t>System Planning and Analysis, Inc. (Revolver) (f/k/a Management</w:t>
            </w:r>
          </w:p>
        </w:tc>
        <w:tc>
          <w:tcPr>
            <w:tcW w:w="800" w:type="dxa"/>
            <w:vAlign w:val="bottom"/>
            <w:gridSpan w:val="2"/>
          </w:tcPr>
          <w:p>
            <w:pPr>
              <w:jc w:val="center"/>
              <w:ind w:left="86"/>
              <w:spacing w:after="0" w:line="109" w:lineRule="exact"/>
              <w:rPr>
                <w:sz w:val="20"/>
                <w:szCs w:val="20"/>
                <w:color w:val="auto"/>
              </w:rPr>
            </w:pPr>
            <w:r>
              <w:rPr>
                <w:rFonts w:ascii="Times New Roman" w:cs="Times New Roman" w:eastAsia="Times New Roman" w:hAnsi="Times New Roman"/>
                <w:sz w:val="11"/>
                <w:szCs w:val="11"/>
                <w:color w:val="auto"/>
                <w:w w:val="99"/>
              </w:rPr>
              <w:t>08/16/2027</w:t>
            </w:r>
          </w:p>
        </w:tc>
        <w:tc>
          <w:tcPr>
            <w:tcW w:w="140" w:type="dxa"/>
            <w:vAlign w:val="bottom"/>
          </w:tcPr>
          <w:p>
            <w:pPr>
              <w:spacing w:after="0"/>
              <w:rPr>
                <w:sz w:val="9"/>
                <w:szCs w:val="9"/>
                <w:color w:val="auto"/>
              </w:rPr>
            </w:pPr>
          </w:p>
        </w:tc>
        <w:tc>
          <w:tcPr>
            <w:tcW w:w="2340" w:type="dxa"/>
            <w:vAlign w:val="bottom"/>
          </w:tcPr>
          <w:p>
            <w:pPr>
              <w:jc w:val="center"/>
              <w:spacing w:after="0" w:line="109"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9"/>
                <w:szCs w:val="9"/>
                <w:color w:val="auto"/>
              </w:rPr>
            </w:pPr>
          </w:p>
        </w:tc>
        <w:tc>
          <w:tcPr>
            <w:tcW w:w="980" w:type="dxa"/>
            <w:vAlign w:val="bottom"/>
            <w:gridSpan w:val="2"/>
          </w:tcPr>
          <w:p>
            <w:pPr>
              <w:jc w:val="right"/>
              <w:ind w:right="226"/>
              <w:spacing w:after="0" w:line="109"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Consulting &amp; Research, LLC)</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5,188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(171 )</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TAC LifePort Purchaser,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03/01/2026</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12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7.00 %</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L+600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497</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489</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497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TAC LifePort Purchaser,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03/01/2026</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3"/>
                <w:szCs w:val="13"/>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1,302</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TeleGuam Holdings, LLC</w:t>
            </w:r>
          </w:p>
        </w:tc>
        <w:tc>
          <w:tcPr>
            <w:tcW w:w="8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11/20/2025</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Wireless Telecommunication Services</w:t>
            </w:r>
          </w:p>
        </w:tc>
        <w:tc>
          <w:tcPr>
            <w:tcW w:w="112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5.50 %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3,109</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3,087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3,078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Teneo Holdings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07/18/2025</w:t>
            </w:r>
          </w:p>
        </w:tc>
        <w:tc>
          <w:tcPr>
            <w:tcW w:w="14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Diversified Financial Services</w:t>
            </w:r>
          </w:p>
        </w:tc>
        <w:tc>
          <w:tcPr>
            <w:tcW w:w="112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6.25 %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5,823</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5,736</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5,754</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The Aegis Technologies Group, LLC</w:t>
            </w:r>
          </w:p>
        </w:tc>
        <w:tc>
          <w:tcPr>
            <w:tcW w:w="800" w:type="dxa"/>
            <w:vAlign w:val="bottom"/>
            <w:gridSpan w:val="2"/>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9"/>
              </w:rPr>
              <w:t>10/31/2025</w:t>
            </w:r>
          </w:p>
        </w:tc>
        <w:tc>
          <w:tcPr>
            <w:tcW w:w="140" w:type="dxa"/>
            <w:vAlign w:val="bottom"/>
          </w:tcPr>
          <w:p>
            <w:pPr>
              <w:spacing w:after="0"/>
              <w:rPr>
                <w:sz w:val="10"/>
                <w:szCs w:val="10"/>
                <w:color w:val="auto"/>
              </w:rPr>
            </w:pPr>
          </w:p>
        </w:tc>
        <w:tc>
          <w:tcPr>
            <w:tcW w:w="23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120" w:type="dxa"/>
            <w:vAlign w:val="bottom"/>
            <w:gridSpan w:val="3"/>
          </w:tcPr>
          <w:p>
            <w:pPr>
              <w:jc w:val="right"/>
              <w:ind w:right="106"/>
              <w:spacing w:after="0" w:line="122" w:lineRule="exact"/>
              <w:rPr>
                <w:sz w:val="20"/>
                <w:szCs w:val="20"/>
                <w:color w:val="auto"/>
              </w:rPr>
            </w:pPr>
            <w:r>
              <w:rPr>
                <w:rFonts w:ascii="Times New Roman" w:cs="Times New Roman" w:eastAsia="Times New Roman" w:hAnsi="Times New Roman"/>
                <w:sz w:val="11"/>
                <w:szCs w:val="11"/>
                <w:color w:val="auto"/>
              </w:rPr>
              <w:t>7.01 %</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L+600</w:t>
            </w:r>
          </w:p>
        </w:tc>
        <w:tc>
          <w:tcPr>
            <w:tcW w:w="9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4,946</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4,885</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4,897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The Bluebird Group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07/27/2026</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Professional Services</w:t>
            </w:r>
          </w:p>
        </w:tc>
        <w:tc>
          <w:tcPr>
            <w:tcW w:w="112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7.50 %</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L+650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6,329</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6,213</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6,456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The Bluebird Group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07/27/2026</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40" w:type="dxa"/>
            <w:vAlign w:val="bottom"/>
          </w:tcPr>
          <w:p>
            <w:pPr>
              <w:spacing w:after="0"/>
              <w:rPr>
                <w:sz w:val="13"/>
                <w:szCs w:val="13"/>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862</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The Infosoft Group,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09/16/2024</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Media: Broadcasting and Subscription</w:t>
            </w:r>
          </w:p>
        </w:tc>
        <w:tc>
          <w:tcPr>
            <w:tcW w:w="112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6.75 %</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15,524</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15,427</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15,524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The Vertex Companies, LLC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08/30/2027</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Construction &amp; Engineering</w:t>
            </w:r>
          </w:p>
        </w:tc>
        <w:tc>
          <w:tcPr>
            <w:tcW w:w="140" w:type="dxa"/>
            <w:vAlign w:val="bottom"/>
          </w:tcPr>
          <w:p>
            <w:pPr>
              <w:spacing w:after="0"/>
              <w:rPr>
                <w:sz w:val="11"/>
                <w:szCs w:val="11"/>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2,734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(8 )</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The Vertex Companies,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08/30/2027</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Construction &amp; Engineering</w:t>
            </w:r>
          </w:p>
        </w:tc>
        <w:tc>
          <w:tcPr>
            <w:tcW w:w="140" w:type="dxa"/>
            <w:vAlign w:val="bottom"/>
          </w:tcPr>
          <w:p>
            <w:pPr>
              <w:spacing w:after="0"/>
              <w:rPr>
                <w:sz w:val="11"/>
                <w:szCs w:val="11"/>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911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(12 )</w:t>
            </w: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TPC Canada Parent, Inc. and TPC US Parent, LLC </w:t>
            </w:r>
            <w:r>
              <w:rPr>
                <w:rFonts w:ascii="Times New Roman" w:cs="Times New Roman" w:eastAsia="Times New Roman" w:hAnsi="Times New Roman"/>
                <w:sz w:val="14"/>
                <w:szCs w:val="14"/>
                <w:color w:val="auto"/>
                <w:vertAlign w:val="superscript"/>
              </w:rPr>
              <w:t>(5), (10)</w:t>
            </w:r>
          </w:p>
        </w:tc>
        <w:tc>
          <w:tcPr>
            <w:tcW w:w="8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11/24/2025</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Food Products</w:t>
            </w:r>
          </w:p>
        </w:tc>
        <w:tc>
          <w:tcPr>
            <w:tcW w:w="112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6.50 %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4,888</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4,855</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4,741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TVC Enterprises,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03/26/2026</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12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7.00 %</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L+600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24,845</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24,511</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24,348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TVC Enterprises,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03/26/2026</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40" w:type="dxa"/>
            <w:vAlign w:val="bottom"/>
          </w:tcPr>
          <w:p>
            <w:pPr>
              <w:spacing w:after="0"/>
              <w:rPr>
                <w:sz w:val="13"/>
                <w:szCs w:val="13"/>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661</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(13 )</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TWS Acquisition Corporation</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06/16/2025</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Diversified Consumer Services</w:t>
            </w:r>
          </w:p>
        </w:tc>
        <w:tc>
          <w:tcPr>
            <w:tcW w:w="112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7.25 %</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L+625</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6,291</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6,197</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6,291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TWS Acquisition Corporation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06/16/2025</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40" w:type="dxa"/>
            <w:vAlign w:val="bottom"/>
          </w:tcPr>
          <w:p>
            <w:pPr>
              <w:spacing w:after="0"/>
              <w:rPr>
                <w:sz w:val="13"/>
                <w:szCs w:val="13"/>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2,628</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Tyto Athene,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04/01/2028</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IT Services</w:t>
            </w:r>
          </w:p>
        </w:tc>
        <w:tc>
          <w:tcPr>
            <w:tcW w:w="112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6.25 %</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L+550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12,708</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12,538</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12,390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Tyto Athene,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04/01/2026</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40" w:type="dxa"/>
            <w:vAlign w:val="bottom"/>
          </w:tcPr>
          <w:p>
            <w:pPr>
              <w:spacing w:after="0"/>
              <w:rPr>
                <w:sz w:val="13"/>
                <w:szCs w:val="13"/>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1,040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(26 )</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UBEO,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04/03/2024</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Capital Equipment</w:t>
            </w:r>
          </w:p>
        </w:tc>
        <w:tc>
          <w:tcPr>
            <w:tcW w:w="112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5.51 %</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L+450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18,019</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17,928</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17,658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UBEO, LLC (Revolver)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04/03/2024</w:t>
            </w:r>
          </w:p>
        </w:tc>
        <w:tc>
          <w:tcPr>
            <w:tcW w:w="14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40" w:type="dxa"/>
            <w:vAlign w:val="bottom"/>
          </w:tcPr>
          <w:p>
            <w:pPr>
              <w:spacing w:after="0"/>
              <w:rPr>
                <w:sz w:val="14"/>
                <w:szCs w:val="14"/>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2,933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(73 )</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Vision Purchaser Corporation</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06/10/2025</w:t>
            </w: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2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7.25 %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14,212</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14,034</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14,212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3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Walker Edison Furniture Company LLC</w:t>
            </w:r>
          </w:p>
        </w:tc>
        <w:tc>
          <w:tcPr>
            <w:tcW w:w="800" w:type="dxa"/>
            <w:vAlign w:val="bottom"/>
            <w:gridSpan w:val="2"/>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9"/>
              </w:rPr>
              <w:t>03/31/2027</w:t>
            </w:r>
          </w:p>
        </w:tc>
        <w:tc>
          <w:tcPr>
            <w:tcW w:w="140" w:type="dxa"/>
            <w:vAlign w:val="bottom"/>
          </w:tcPr>
          <w:p>
            <w:pPr>
              <w:spacing w:after="0"/>
              <w:rPr>
                <w:sz w:val="10"/>
                <w:szCs w:val="10"/>
                <w:color w:val="auto"/>
              </w:rPr>
            </w:pPr>
          </w:p>
        </w:tc>
        <w:tc>
          <w:tcPr>
            <w:tcW w:w="23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Wholesale</w:t>
            </w:r>
          </w:p>
        </w:tc>
        <w:tc>
          <w:tcPr>
            <w:tcW w:w="1120" w:type="dxa"/>
            <w:vAlign w:val="bottom"/>
            <w:gridSpan w:val="3"/>
          </w:tcPr>
          <w:p>
            <w:pPr>
              <w:jc w:val="right"/>
              <w:ind w:right="106"/>
              <w:spacing w:after="0" w:line="122" w:lineRule="exact"/>
              <w:rPr>
                <w:sz w:val="20"/>
                <w:szCs w:val="20"/>
                <w:color w:val="auto"/>
              </w:rPr>
            </w:pPr>
            <w:r>
              <w:rPr>
                <w:rFonts w:ascii="Times New Roman" w:cs="Times New Roman" w:eastAsia="Times New Roman" w:hAnsi="Times New Roman"/>
                <w:sz w:val="11"/>
                <w:szCs w:val="11"/>
                <w:color w:val="auto"/>
              </w:rPr>
              <w:t>9.76 %</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1M L+875</w:t>
            </w:r>
          </w:p>
        </w:tc>
        <w:tc>
          <w:tcPr>
            <w:tcW w:w="9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12,555</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12,287</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12,367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Wildcat Buyerco, Inc.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02/27/2026</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112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6.76 %</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9,405</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9,286</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9,405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Wildcat Buyerco, Inc. Term Loan C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05/11/2023</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140" w:type="dxa"/>
            <w:vAlign w:val="bottom"/>
          </w:tcPr>
          <w:p>
            <w:pPr>
              <w:spacing w:after="0"/>
              <w:rPr>
                <w:sz w:val="11"/>
                <w:szCs w:val="11"/>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1,530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Wildcat Buyerco, Inc.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02/27/2026</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140" w:type="dxa"/>
            <w:vAlign w:val="bottom"/>
          </w:tcPr>
          <w:p>
            <w:pPr>
              <w:spacing w:after="0"/>
              <w:rPr>
                <w:sz w:val="13"/>
                <w:szCs w:val="13"/>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534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Zips Car Wash,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03/01/2024</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Automobiles</w:t>
            </w:r>
          </w:p>
        </w:tc>
        <w:tc>
          <w:tcPr>
            <w:tcW w:w="112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8.25 %</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L+725</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19,843</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19,604</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19,644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Zips Car Wash, LLC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03/01/2024</w:t>
            </w:r>
          </w:p>
        </w:tc>
        <w:tc>
          <w:tcPr>
            <w:tcW w:w="14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Automobiles</w:t>
            </w:r>
          </w:p>
        </w:tc>
        <w:tc>
          <w:tcPr>
            <w:tcW w:w="140" w:type="dxa"/>
            <w:vAlign w:val="bottom"/>
          </w:tcPr>
          <w:p>
            <w:pPr>
              <w:spacing w:after="0"/>
              <w:rPr>
                <w:sz w:val="14"/>
                <w:szCs w:val="14"/>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1,140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8"/>
        </w:trPr>
        <w:tc>
          <w:tcPr>
            <w:tcW w:w="33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841,412</w:t>
            </w:r>
          </w:p>
        </w:tc>
        <w:tc>
          <w:tcPr>
            <w:tcW w:w="16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831,765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3320" w:type="dxa"/>
            <w:vAlign w:val="bottom"/>
          </w:tcPr>
          <w:p>
            <w:pPr>
              <w:ind w:left="20"/>
              <w:spacing w:after="0" w:line="97" w:lineRule="exact"/>
              <w:rPr>
                <w:sz w:val="20"/>
                <w:szCs w:val="20"/>
                <w:color w:val="auto"/>
              </w:rPr>
            </w:pPr>
            <w:r>
              <w:rPr>
                <w:rFonts w:ascii="Times New Roman" w:cs="Times New Roman" w:eastAsia="Times New Roman" w:hAnsi="Times New Roman"/>
                <w:sz w:val="11"/>
                <w:szCs w:val="11"/>
                <w:b w:val="1"/>
                <w:bCs w:val="1"/>
                <w:color w:val="auto"/>
              </w:rPr>
              <w:t>Second Lien Secured Debt—0.2%</w:t>
            </w: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Mailsouth Inc.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04/23/2025</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Media: Advertising, Printing and Publishing</w:t>
            </w:r>
          </w:p>
        </w:tc>
        <w:tc>
          <w:tcPr>
            <w:tcW w:w="112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15.00 %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932</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932</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(PIK 15.00%)</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3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QuantiTech LLC</w:t>
            </w:r>
          </w:p>
        </w:tc>
        <w:tc>
          <w:tcPr>
            <w:tcW w:w="800" w:type="dxa"/>
            <w:vAlign w:val="bottom"/>
            <w:tcBorders>
              <w:bottom w:val="single" w:sz="8" w:color="CCECFF"/>
            </w:tcBorders>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02/04/2027</w:t>
            </w:r>
          </w:p>
        </w:tc>
        <w:tc>
          <w:tcPr>
            <w:tcW w:w="140" w:type="dxa"/>
            <w:vAlign w:val="bottom"/>
            <w:tcBorders>
              <w:bottom w:val="single" w:sz="8" w:color="CCECFF"/>
            </w:tcBorders>
            <w:shd w:val="clear" w:color="auto" w:fill="CCECFF"/>
          </w:tcPr>
          <w:p>
            <w:pPr>
              <w:spacing w:after="0"/>
              <w:rPr>
                <w:sz w:val="12"/>
                <w:szCs w:val="12"/>
                <w:color w:val="auto"/>
              </w:rPr>
            </w:pPr>
          </w:p>
        </w:tc>
        <w:tc>
          <w:tcPr>
            <w:tcW w:w="234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20" w:type="dxa"/>
            <w:vAlign w:val="bottom"/>
            <w:tcBorders>
              <w:bottom w:val="single" w:sz="8" w:color="CCECFF"/>
            </w:tcBorders>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11.00 %</w:t>
            </w:r>
          </w:p>
        </w:tc>
        <w:tc>
          <w:tcPr>
            <w:tcW w:w="7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L+1,000</w:t>
            </w:r>
          </w:p>
        </w:tc>
        <w:tc>
          <w:tcPr>
            <w:tcW w:w="92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6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160" w:type="dxa"/>
            <w:vAlign w:val="bottom"/>
            <w:tcBorders>
              <w:bottom w:val="single" w:sz="8" w:color="CCECFF"/>
            </w:tcBorders>
            <w:shd w:val="clear" w:color="auto" w:fill="CCECFF"/>
          </w:tcPr>
          <w:p>
            <w:pPr>
              <w:spacing w:after="0"/>
              <w:rPr>
                <w:sz w:val="12"/>
                <w:szCs w:val="12"/>
                <w:color w:val="auto"/>
              </w:rPr>
            </w:pPr>
          </w:p>
        </w:tc>
        <w:tc>
          <w:tcPr>
            <w:tcW w:w="6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4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1,079</w:t>
            </w: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1,035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-6025515</wp:posOffset>
            </wp:positionV>
            <wp:extent cx="21088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08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-5931535</wp:posOffset>
            </wp:positionV>
            <wp:extent cx="7132320" cy="857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-5760085</wp:posOffset>
            </wp:positionV>
            <wp:extent cx="7132320" cy="857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-5588635</wp:posOffset>
            </wp:positionV>
            <wp:extent cx="7132320" cy="857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-5245735</wp:posOffset>
            </wp:positionV>
            <wp:extent cx="7132320" cy="857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-4902835</wp:posOffset>
            </wp:positionV>
            <wp:extent cx="7132320" cy="857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-4731385</wp:posOffset>
            </wp:positionV>
            <wp:extent cx="7132320" cy="857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-4388485</wp:posOffset>
            </wp:positionV>
            <wp:extent cx="7132320" cy="857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-4217035</wp:posOffset>
            </wp:positionV>
            <wp:extent cx="7132320" cy="857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-4045585</wp:posOffset>
            </wp:positionV>
            <wp:extent cx="7132320" cy="857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-3874135</wp:posOffset>
            </wp:positionV>
            <wp:extent cx="7132320" cy="857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-3702685</wp:posOffset>
            </wp:positionV>
            <wp:extent cx="7132320" cy="857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-3531235</wp:posOffset>
            </wp:positionV>
            <wp:extent cx="7132320" cy="857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-3359785</wp:posOffset>
            </wp:positionV>
            <wp:extent cx="7132320" cy="857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-2939415</wp:posOffset>
            </wp:positionV>
            <wp:extent cx="7132320" cy="1625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-2691130</wp:posOffset>
            </wp:positionV>
            <wp:extent cx="7132320" cy="857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-2348230</wp:posOffset>
            </wp:positionV>
            <wp:extent cx="7132320" cy="857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-2176780</wp:posOffset>
            </wp:positionV>
            <wp:extent cx="7132320" cy="857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-2005330</wp:posOffset>
            </wp:positionV>
            <wp:extent cx="7132320" cy="857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-1833880</wp:posOffset>
            </wp:positionV>
            <wp:extent cx="7132320" cy="857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-1662430</wp:posOffset>
            </wp:positionV>
            <wp:extent cx="7132320" cy="857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-1490980</wp:posOffset>
            </wp:positionV>
            <wp:extent cx="7132320" cy="857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-1319530</wp:posOffset>
            </wp:positionV>
            <wp:extent cx="7132320" cy="857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-976630</wp:posOffset>
            </wp:positionV>
            <wp:extent cx="7132320" cy="857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857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7132320" cy="946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857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-102235</wp:posOffset>
            </wp:positionV>
            <wp:extent cx="260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-102235</wp:posOffset>
            </wp:positionV>
            <wp:extent cx="260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0" w:name="page11"/>
    <w:bookmarkEnd w:id="10"/>
    <w:p>
      <w:pPr>
        <w:ind w:left="3260"/>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6524625</wp:posOffset>
            </wp:positionH>
            <wp:positionV relativeFrom="paragraph">
              <wp:posOffset>635</wp:posOffset>
            </wp:positionV>
            <wp:extent cx="51435" cy="3422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342265"/>
                    </a:xfrm>
                    <a:prstGeom prst="rect">
                      <a:avLst/>
                    </a:prstGeom>
                    <a:noFill/>
                  </pic:spPr>
                </pic:pic>
              </a:graphicData>
            </a:graphic>
          </wp:anchor>
        </w:drawing>
        <w:drawing>
          <wp:anchor simplePos="0" relativeHeight="251657728" behindDoc="1" locked="0" layoutInCell="0" allowOverlap="1">
            <wp:simplePos x="0" y="0"/>
            <wp:positionH relativeFrom="column">
              <wp:posOffset>7098665</wp:posOffset>
            </wp:positionH>
            <wp:positionV relativeFrom="paragraph">
              <wp:posOffset>635</wp:posOffset>
            </wp:positionV>
            <wp:extent cx="51435" cy="3422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3422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96"/>
        </w:trPr>
        <w:tc>
          <w:tcPr>
            <w:tcW w:w="3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jc w:val="center"/>
              <w:spacing w:after="0" w:line="96" w:lineRule="exact"/>
              <w:rPr>
                <w:sz w:val="20"/>
                <w:szCs w:val="20"/>
                <w:color w:val="auto"/>
              </w:rPr>
            </w:pPr>
            <w:r>
              <w:rPr>
                <w:rFonts w:ascii="Times New Roman" w:cs="Times New Roman" w:eastAsia="Times New Roman" w:hAnsi="Times New Roman"/>
                <w:sz w:val="11"/>
                <w:szCs w:val="11"/>
                <w:b w:val="1"/>
                <w:bCs w:val="1"/>
                <w:color w:val="auto"/>
                <w:w w:val="99"/>
              </w:rPr>
              <w:t>Basis Point</w:t>
            </w: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Spread</w:t>
            </w: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right"/>
              <w:ind w:right="400"/>
              <w:spacing w:after="0" w:line="122" w:lineRule="exact"/>
              <w:rPr>
                <w:sz w:val="20"/>
                <w:szCs w:val="20"/>
                <w:color w:val="auto"/>
              </w:rPr>
            </w:pPr>
            <w:r>
              <w:rPr>
                <w:rFonts w:ascii="Times New Roman" w:cs="Times New Roman" w:eastAsia="Times New Roman" w:hAnsi="Times New Roman"/>
                <w:sz w:val="11"/>
                <w:szCs w:val="11"/>
                <w:b w:val="1"/>
                <w:bCs w:val="1"/>
                <w:color w:val="auto"/>
              </w:rPr>
              <w:t>Current</w:t>
            </w: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Above</w:t>
            </w:r>
          </w:p>
        </w:tc>
        <w:tc>
          <w:tcPr>
            <w:tcW w:w="160" w:type="dxa"/>
            <w:vAlign w:val="bottom"/>
          </w:tcPr>
          <w:p>
            <w:pPr>
              <w:spacing w:after="0"/>
              <w:rPr>
                <w:sz w:val="10"/>
                <w:szCs w:val="10"/>
                <w:color w:val="auto"/>
              </w:rPr>
            </w:pPr>
          </w:p>
        </w:tc>
        <w:tc>
          <w:tcPr>
            <w:tcW w:w="760" w:type="dxa"/>
            <w:vAlign w:val="bottom"/>
          </w:tcPr>
          <w:p>
            <w:pPr>
              <w:jc w:val="right"/>
              <w:ind w:right="226"/>
              <w:spacing w:after="0" w:line="122" w:lineRule="exact"/>
              <w:rPr>
                <w:sz w:val="20"/>
                <w:szCs w:val="20"/>
                <w:color w:val="auto"/>
              </w:rPr>
            </w:pPr>
            <w:r>
              <w:rPr>
                <w:rFonts w:ascii="Times New Roman" w:cs="Times New Roman" w:eastAsia="Times New Roman" w:hAnsi="Times New Roman"/>
                <w:sz w:val="11"/>
                <w:szCs w:val="11"/>
                <w:b w:val="1"/>
                <w:bCs w:val="1"/>
                <w:color w:val="auto"/>
              </w:rPr>
              <w:t>Par /</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0"/>
              </w:rPr>
              <w:t xml:space="preserve">Fair Value </w:t>
            </w:r>
            <w:r>
              <w:rPr>
                <w:rFonts w:ascii="Times New Roman" w:cs="Times New Roman" w:eastAsia="Times New Roman" w:hAnsi="Times New Roman"/>
                <w:sz w:val="14"/>
                <w:szCs w:val="14"/>
                <w:b w:val="1"/>
                <w:bCs w:val="1"/>
                <w:color w:val="auto"/>
                <w:w w:val="90"/>
                <w:vertAlign w:val="superscript"/>
              </w:rPr>
              <w:t>(2)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8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760" w:type="dxa"/>
            <w:vAlign w:val="bottom"/>
          </w:tcPr>
          <w:p>
            <w:pPr>
              <w:jc w:val="center"/>
              <w:spacing w:after="0" w:line="143" w:lineRule="exact"/>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160" w:type="dxa"/>
            <w:vAlign w:val="bottom"/>
          </w:tcPr>
          <w:p>
            <w:pPr>
              <w:spacing w:after="0"/>
              <w:rPr>
                <w:sz w:val="13"/>
                <w:szCs w:val="13"/>
                <w:color w:val="auto"/>
              </w:rPr>
            </w:pPr>
          </w:p>
        </w:tc>
        <w:tc>
          <w:tcPr>
            <w:tcW w:w="76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3320" w:type="dxa"/>
            <w:vAlign w:val="bottom"/>
          </w:tcPr>
          <w:p>
            <w:pPr>
              <w:ind w:left="20"/>
              <w:spacing w:after="0" w:line="103" w:lineRule="exact"/>
              <w:rPr>
                <w:sz w:val="20"/>
                <w:szCs w:val="20"/>
                <w:color w:val="auto"/>
              </w:rPr>
            </w:pPr>
            <w:r>
              <w:rPr>
                <w:rFonts w:ascii="Times New Roman" w:cs="Times New Roman" w:eastAsia="Times New Roman" w:hAnsi="Times New Roman"/>
                <w:sz w:val="9"/>
                <w:szCs w:val="9"/>
                <w:b w:val="1"/>
                <w:bCs w:val="1"/>
                <w:color w:val="auto"/>
              </w:rPr>
              <w:t xml:space="preserve">Preferred Equity— 1.6% </w:t>
            </w:r>
            <w:r>
              <w:rPr>
                <w:rFonts w:ascii="Times New Roman" w:cs="Times New Roman" w:eastAsia="Times New Roman" w:hAnsi="Times New Roman"/>
                <w:sz w:val="11"/>
                <w:szCs w:val="11"/>
                <w:b w:val="1"/>
                <w:bCs w:val="1"/>
                <w:color w:val="auto"/>
                <w:vertAlign w:val="superscript"/>
              </w:rPr>
              <w:t>(6)</w:t>
            </w:r>
          </w:p>
        </w:tc>
        <w:tc>
          <w:tcPr>
            <w:tcW w:w="14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3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Ad.net Holdings, Inc. </w:t>
            </w:r>
            <w:r>
              <w:rPr>
                <w:rFonts w:ascii="Times New Roman" w:cs="Times New Roman" w:eastAsia="Times New Roman" w:hAnsi="Times New Roman"/>
                <w:sz w:val="14"/>
                <w:szCs w:val="14"/>
                <w:color w:val="auto"/>
                <w:vertAlign w:val="superscript"/>
              </w:rPr>
              <w:t>(7),(8)</w:t>
            </w:r>
          </w:p>
        </w:tc>
        <w:tc>
          <w:tcPr>
            <w:tcW w:w="14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6,720</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Imagine Topco, LP</w:t>
            </w:r>
          </w:p>
        </w:tc>
        <w:tc>
          <w:tcPr>
            <w:tcW w:w="140" w:type="dxa"/>
            <w:vAlign w:val="bottom"/>
          </w:tcPr>
          <w:p>
            <w:pPr>
              <w:spacing w:after="0"/>
              <w:rPr>
                <w:sz w:val="10"/>
                <w:szCs w:val="10"/>
                <w:color w:val="auto"/>
              </w:rPr>
            </w:pPr>
          </w:p>
        </w:tc>
        <w:tc>
          <w:tcPr>
            <w:tcW w:w="640" w:type="dxa"/>
            <w:vAlign w:val="bottom"/>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0"/>
                <w:szCs w:val="10"/>
                <w:color w:val="auto"/>
              </w:rPr>
            </w:pPr>
          </w:p>
        </w:tc>
        <w:tc>
          <w:tcPr>
            <w:tcW w:w="23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rPr>
              <w:t>Software</w:t>
            </w:r>
          </w:p>
        </w:tc>
        <w:tc>
          <w:tcPr>
            <w:tcW w:w="108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8.00 %</w:t>
            </w:r>
          </w:p>
        </w:tc>
        <w:tc>
          <w:tcPr>
            <w:tcW w:w="760" w:type="dxa"/>
            <w:vAlign w:val="bottom"/>
          </w:tcPr>
          <w:p>
            <w:pPr>
              <w:ind w:left="6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1,236,027</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1,236</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1,236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Mars Intermediate Holdings II, Inc.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835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MeritDirect Holdings, LP </w:t>
            </w:r>
            <w:r>
              <w:rPr>
                <w:rFonts w:ascii="Times New Roman" w:cs="Times New Roman" w:eastAsia="Times New Roman" w:hAnsi="Times New Roman"/>
                <w:sz w:val="14"/>
                <w:szCs w:val="14"/>
                <w:color w:val="auto"/>
                <w:vertAlign w:val="superscript"/>
              </w:rPr>
              <w:t>(7), (8)</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2,018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2,018</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2,415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NXOF Holdings, Inc. (Tyto Athene, LLC)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IT Services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733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733</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ORL Holdco, Inc.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Consumer Finance</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1,327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Signature CR Intermediate Holdco, Inc.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12.00 %</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1,323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1,323</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TPC Holding Company, LP </w:t>
            </w:r>
            <w:r>
              <w:rPr>
                <w:rFonts w:ascii="Times New Roman" w:cs="Times New Roman" w:eastAsia="Times New Roman" w:hAnsi="Times New Roman"/>
                <w:sz w:val="14"/>
                <w:szCs w:val="14"/>
                <w:color w:val="auto"/>
                <w:vertAlign w:val="superscript"/>
              </w:rPr>
              <w:t>(5), (7), (10)</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Food Products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409</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TWD Parent Holdings, LLC (The Vertex Companies, LLC)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Construction &amp; Engineering</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UniTek Global Services, Inc. -</w:t>
            </w:r>
          </w:p>
        </w:tc>
        <w:tc>
          <w:tcPr>
            <w:tcW w:w="140" w:type="dxa"/>
            <w:vAlign w:val="bottom"/>
          </w:tcPr>
          <w:p>
            <w:pPr>
              <w:spacing w:after="0"/>
              <w:rPr>
                <w:sz w:val="10"/>
                <w:szCs w:val="10"/>
                <w:color w:val="auto"/>
              </w:rPr>
            </w:pPr>
          </w:p>
        </w:tc>
        <w:tc>
          <w:tcPr>
            <w:tcW w:w="640" w:type="dxa"/>
            <w:vAlign w:val="bottom"/>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0"/>
                <w:szCs w:val="10"/>
                <w:color w:val="auto"/>
              </w:rPr>
            </w:pPr>
          </w:p>
        </w:tc>
        <w:tc>
          <w:tcPr>
            <w:tcW w:w="23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Telecommunications</w:t>
            </w:r>
          </w:p>
        </w:tc>
        <w:tc>
          <w:tcPr>
            <w:tcW w:w="108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20.00 %</w:t>
            </w:r>
          </w:p>
        </w:tc>
        <w:tc>
          <w:tcPr>
            <w:tcW w:w="760" w:type="dxa"/>
            <w:vAlign w:val="bottom"/>
          </w:tcPr>
          <w:p>
            <w:pPr>
              <w:ind w:left="6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343,861</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344</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Super Senior Preferred Equity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UniTek Global Services, Inc. - Senior Preferred Equity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19.00 %</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448,851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449</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UniTek Global Services, Inc.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4"/>
                <w:szCs w:val="14"/>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13.50 %</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1,047,317</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670</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2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b w:val="1"/>
                <w:bCs w:val="1"/>
                <w:color w:val="auto"/>
              </w:rPr>
              <w:t>Total Preferred Equity</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8,859</w:t>
            </w:r>
          </w:p>
        </w:tc>
        <w:tc>
          <w:tcPr>
            <w:tcW w:w="1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8,499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320" w:type="dxa"/>
            <w:vAlign w:val="bottom"/>
          </w:tcPr>
          <w:p>
            <w:pPr>
              <w:ind w:left="20"/>
              <w:spacing w:after="0" w:line="103" w:lineRule="exact"/>
              <w:rPr>
                <w:sz w:val="20"/>
                <w:szCs w:val="20"/>
                <w:color w:val="auto"/>
              </w:rPr>
            </w:pPr>
            <w:r>
              <w:rPr>
                <w:rFonts w:ascii="Times New Roman" w:cs="Times New Roman" w:eastAsia="Times New Roman" w:hAnsi="Times New Roman"/>
                <w:sz w:val="9"/>
                <w:szCs w:val="9"/>
                <w:b w:val="1"/>
                <w:bCs w:val="1"/>
                <w:color w:val="auto"/>
              </w:rPr>
              <w:t xml:space="preserve">Common Equity/Warrants— 17.6% </w:t>
            </w:r>
            <w:r>
              <w:rPr>
                <w:rFonts w:ascii="Times New Roman" w:cs="Times New Roman" w:eastAsia="Times New Roman" w:hAnsi="Times New Roman"/>
                <w:sz w:val="11"/>
                <w:szCs w:val="11"/>
                <w:b w:val="1"/>
                <w:bCs w:val="1"/>
                <w:color w:val="auto"/>
                <w:vertAlign w:val="superscript"/>
              </w:rPr>
              <w:t>(6)</w:t>
            </w: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Ad.net Holdings, Inc. </w:t>
            </w:r>
            <w:r>
              <w:rPr>
                <w:rFonts w:ascii="Times New Roman" w:cs="Times New Roman" w:eastAsia="Times New Roman" w:hAnsi="Times New Roman"/>
                <w:sz w:val="14"/>
                <w:szCs w:val="14"/>
                <w:color w:val="auto"/>
                <w:vertAlign w:val="superscript"/>
              </w:rPr>
              <w:t>(7),(8)</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7,467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Affinion Group Holdings, Inc. (Warrants)</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04/10/2024</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8,893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AG Investco LP </w:t>
            </w:r>
            <w:r>
              <w:rPr>
                <w:rFonts w:ascii="Times New Roman" w:cs="Times New Roman" w:eastAsia="Times New Roman" w:hAnsi="Times New Roman"/>
                <w:sz w:val="14"/>
                <w:szCs w:val="14"/>
                <w:color w:val="auto"/>
                <w:vertAlign w:val="superscript"/>
              </w:rPr>
              <w:t>(7), (8)</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805,164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AG Investco LP </w:t>
            </w:r>
            <w:r>
              <w:rPr>
                <w:rFonts w:ascii="Times New Roman" w:cs="Times New Roman" w:eastAsia="Times New Roman" w:hAnsi="Times New Roman"/>
                <w:sz w:val="14"/>
                <w:szCs w:val="14"/>
                <w:color w:val="auto"/>
                <w:vertAlign w:val="superscript"/>
              </w:rPr>
              <w:t>(7), (8), (9)</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194,836</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Altamira Intermediate Company II, Inc.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IT Services</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1,437,500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1,438</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Athletico Holdings, LLC</w:t>
            </w:r>
          </w:p>
        </w:tc>
        <w:tc>
          <w:tcPr>
            <w:tcW w:w="140" w:type="dxa"/>
            <w:vAlign w:val="bottom"/>
          </w:tcPr>
          <w:p>
            <w:pPr>
              <w:spacing w:after="0"/>
              <w:rPr>
                <w:sz w:val="10"/>
                <w:szCs w:val="10"/>
                <w:color w:val="auto"/>
              </w:rPr>
            </w:pPr>
          </w:p>
        </w:tc>
        <w:tc>
          <w:tcPr>
            <w:tcW w:w="640" w:type="dxa"/>
            <w:vAlign w:val="bottom"/>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0"/>
                <w:szCs w:val="10"/>
                <w:color w:val="auto"/>
              </w:rPr>
            </w:pPr>
          </w:p>
        </w:tc>
        <w:tc>
          <w:tcPr>
            <w:tcW w:w="23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Healthcare Providers and Services</w:t>
            </w:r>
          </w:p>
        </w:tc>
        <w:tc>
          <w:tcPr>
            <w:tcW w:w="140" w:type="dxa"/>
            <w:vAlign w:val="bottom"/>
          </w:tcPr>
          <w:p>
            <w:pPr>
              <w:spacing w:after="0"/>
              <w:rPr>
                <w:sz w:val="10"/>
                <w:szCs w:val="10"/>
                <w:color w:val="auto"/>
              </w:rPr>
            </w:pPr>
          </w:p>
        </w:tc>
        <w:tc>
          <w:tcPr>
            <w:tcW w:w="940" w:type="dxa"/>
            <w:vAlign w:val="bottom"/>
            <w:gridSpan w:val="2"/>
          </w:tcPr>
          <w:p>
            <w:pPr>
              <w:jc w:val="right"/>
              <w:ind w:right="2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4,678</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5,000</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5,012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By Light Investco LP </w:t>
            </w:r>
            <w:r>
              <w:rPr>
                <w:rFonts w:ascii="Times New Roman" w:cs="Times New Roman" w:eastAsia="Times New Roman" w:hAnsi="Times New Roman"/>
                <w:sz w:val="14"/>
                <w:szCs w:val="14"/>
                <w:color w:val="auto"/>
                <w:vertAlign w:val="superscript"/>
              </w:rPr>
              <w:t>(7), (8)</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21,908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15,540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By Light Investco LP </w:t>
            </w:r>
            <w:r>
              <w:rPr>
                <w:rFonts w:ascii="Times New Roman" w:cs="Times New Roman" w:eastAsia="Times New Roman" w:hAnsi="Times New Roman"/>
                <w:sz w:val="14"/>
                <w:szCs w:val="14"/>
                <w:color w:val="auto"/>
                <w:vertAlign w:val="superscript"/>
              </w:rPr>
              <w:t>(7), (8), (9)</w:t>
            </w:r>
          </w:p>
        </w:tc>
        <w:tc>
          <w:tcPr>
            <w:tcW w:w="14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7,401</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CI (Allied) Investment Holdings, LLC</w:t>
            </w:r>
          </w:p>
        </w:tc>
        <w:tc>
          <w:tcPr>
            <w:tcW w:w="140" w:type="dxa"/>
            <w:vAlign w:val="bottom"/>
          </w:tcPr>
          <w:p>
            <w:pPr>
              <w:spacing w:after="0"/>
              <w:rPr>
                <w:sz w:val="10"/>
                <w:szCs w:val="10"/>
                <w:color w:val="auto"/>
              </w:rPr>
            </w:pPr>
          </w:p>
        </w:tc>
        <w:tc>
          <w:tcPr>
            <w:tcW w:w="640" w:type="dxa"/>
            <w:vAlign w:val="bottom"/>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0"/>
                <w:szCs w:val="10"/>
                <w:color w:val="auto"/>
              </w:rPr>
            </w:pPr>
          </w:p>
        </w:tc>
        <w:tc>
          <w:tcPr>
            <w:tcW w:w="23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tcPr>
          <w:p>
            <w:pPr>
              <w:spacing w:after="0"/>
              <w:rPr>
                <w:sz w:val="10"/>
                <w:szCs w:val="10"/>
                <w:color w:val="auto"/>
              </w:rPr>
            </w:pPr>
          </w:p>
        </w:tc>
        <w:tc>
          <w:tcPr>
            <w:tcW w:w="940" w:type="dxa"/>
            <w:vAlign w:val="bottom"/>
            <w:gridSpan w:val="2"/>
          </w:tcPr>
          <w:p>
            <w:pPr>
              <w:jc w:val="right"/>
              <w:ind w:right="2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120,962</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1,243</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863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3320" w:type="dxa"/>
            <w:vAlign w:val="bottom"/>
            <w:vMerge w:val="restart"/>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(PRA Events, Inc.) </w:t>
            </w:r>
            <w:r>
              <w:rPr>
                <w:rFonts w:ascii="Times New Roman" w:cs="Times New Roman" w:eastAsia="Times New Roman" w:hAnsi="Times New Roman"/>
                <w:sz w:val="14"/>
                <w:szCs w:val="14"/>
                <w:color w:val="auto"/>
                <w:vertAlign w:val="superscript"/>
              </w:rPr>
              <w:t>(7), (8)</w:t>
            </w: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3320" w:type="dxa"/>
            <w:vAlign w:val="bottom"/>
            <w:vMerge w:val="continue"/>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640" w:type="dxa"/>
            <w:vAlign w:val="bottom"/>
            <w:tcBorders>
              <w:bottom w:val="single" w:sz="8" w:color="CCECFF"/>
            </w:tcBorders>
            <w:shd w:val="clear" w:color="auto" w:fill="CCECFF"/>
          </w:tcPr>
          <w:p>
            <w:pPr>
              <w:spacing w:after="0"/>
              <w:rPr>
                <w:sz w:val="10"/>
                <w:szCs w:val="10"/>
                <w:color w:val="auto"/>
              </w:rPr>
            </w:pPr>
          </w:p>
        </w:tc>
        <w:tc>
          <w:tcPr>
            <w:tcW w:w="180" w:type="dxa"/>
            <w:vAlign w:val="bottom"/>
            <w:tcBorders>
              <w:bottom w:val="single" w:sz="8" w:color="CCECFF"/>
            </w:tcBorders>
            <w:shd w:val="clear" w:color="auto" w:fill="CCECFF"/>
          </w:tcPr>
          <w:p>
            <w:pPr>
              <w:spacing w:after="0"/>
              <w:rPr>
                <w:sz w:val="10"/>
                <w:szCs w:val="10"/>
                <w:color w:val="auto"/>
              </w:rPr>
            </w:pPr>
          </w:p>
        </w:tc>
        <w:tc>
          <w:tcPr>
            <w:tcW w:w="2360" w:type="dxa"/>
            <w:vAlign w:val="bottom"/>
            <w:tcBorders>
              <w:bottom w:val="single" w:sz="8" w:color="CCECFF"/>
            </w:tcBorders>
            <w:shd w:val="clear" w:color="auto" w:fill="CCECFF"/>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700" w:type="dxa"/>
            <w:vAlign w:val="bottom"/>
            <w:tcBorders>
              <w:bottom w:val="single" w:sz="8" w:color="CCECFF"/>
            </w:tcBorders>
            <w:shd w:val="clear" w:color="auto" w:fill="CCECFF"/>
          </w:tcPr>
          <w:p>
            <w:pPr>
              <w:spacing w:after="0"/>
              <w:rPr>
                <w:sz w:val="10"/>
                <w:szCs w:val="10"/>
                <w:color w:val="auto"/>
              </w:rPr>
            </w:pPr>
          </w:p>
        </w:tc>
        <w:tc>
          <w:tcPr>
            <w:tcW w:w="240" w:type="dxa"/>
            <w:vAlign w:val="bottom"/>
            <w:tcBorders>
              <w:bottom w:val="single" w:sz="8" w:color="CCECFF"/>
            </w:tcBorders>
            <w:shd w:val="clear" w:color="auto" w:fill="CCECFF"/>
          </w:tcPr>
          <w:p>
            <w:pPr>
              <w:spacing w:after="0"/>
              <w:rPr>
                <w:sz w:val="10"/>
                <w:szCs w:val="10"/>
                <w:color w:val="auto"/>
              </w:rPr>
            </w:pPr>
          </w:p>
        </w:tc>
        <w:tc>
          <w:tcPr>
            <w:tcW w:w="76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76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58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60" w:type="dxa"/>
            <w:vAlign w:val="bottom"/>
            <w:tcBorders>
              <w:bottom w:val="single" w:sz="8" w:color="CCECFF"/>
            </w:tcBorders>
            <w:shd w:val="clear" w:color="auto" w:fill="CCECFF"/>
          </w:tcPr>
          <w:p>
            <w:pPr>
              <w:spacing w:after="0"/>
              <w:rPr>
                <w:sz w:val="10"/>
                <w:szCs w:val="10"/>
                <w:color w:val="auto"/>
              </w:rPr>
            </w:pPr>
          </w:p>
        </w:tc>
        <w:tc>
          <w:tcPr>
            <w:tcW w:w="680" w:type="dxa"/>
            <w:vAlign w:val="bottom"/>
            <w:tcBorders>
              <w:bottom w:val="single" w:sz="8" w:color="CCECFF"/>
            </w:tcBorders>
            <w:shd w:val="clear" w:color="auto" w:fill="CCECFF"/>
          </w:tcPr>
          <w:p>
            <w:pPr>
              <w:spacing w:after="0"/>
              <w:rPr>
                <w:sz w:val="10"/>
                <w:szCs w:val="10"/>
                <w:color w:val="auto"/>
              </w:rPr>
            </w:pPr>
          </w:p>
        </w:tc>
        <w:tc>
          <w:tcPr>
            <w:tcW w:w="4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320" w:type="dxa"/>
            <w:vAlign w:val="bottom"/>
          </w:tcPr>
          <w:p>
            <w:pPr>
              <w:ind w:left="20"/>
              <w:spacing w:after="0" w:line="103" w:lineRule="exact"/>
              <w:rPr>
                <w:sz w:val="20"/>
                <w:szCs w:val="20"/>
                <w:color w:val="auto"/>
              </w:rPr>
            </w:pPr>
            <w:r>
              <w:rPr>
                <w:rFonts w:ascii="Times New Roman" w:cs="Times New Roman" w:eastAsia="Times New Roman" w:hAnsi="Times New Roman"/>
                <w:sz w:val="9"/>
                <w:szCs w:val="9"/>
                <w:color w:val="auto"/>
              </w:rPr>
              <w:t xml:space="preserve">Connatix Parent, LLC </w:t>
            </w:r>
            <w:r>
              <w:rPr>
                <w:rFonts w:ascii="Times New Roman" w:cs="Times New Roman" w:eastAsia="Times New Roman" w:hAnsi="Times New Roman"/>
                <w:sz w:val="11"/>
                <w:szCs w:val="11"/>
                <w:color w:val="auto"/>
                <w:vertAlign w:val="superscript"/>
              </w:rPr>
              <w:t>(7)</w:t>
            </w:r>
          </w:p>
        </w:tc>
        <w:tc>
          <w:tcPr>
            <w:tcW w:w="140" w:type="dxa"/>
            <w:vAlign w:val="bottom"/>
          </w:tcPr>
          <w:p>
            <w:pPr>
              <w:spacing w:after="0"/>
              <w:rPr>
                <w:sz w:val="8"/>
                <w:szCs w:val="8"/>
                <w:color w:val="auto"/>
              </w:rPr>
            </w:pPr>
          </w:p>
        </w:tc>
        <w:tc>
          <w:tcPr>
            <w:tcW w:w="640" w:type="dxa"/>
            <w:vAlign w:val="bottom"/>
          </w:tcPr>
          <w:p>
            <w:pPr>
              <w:ind w:left="52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8"/>
                <w:szCs w:val="8"/>
                <w:color w:val="auto"/>
              </w:rPr>
            </w:pPr>
          </w:p>
        </w:tc>
        <w:tc>
          <w:tcPr>
            <w:tcW w:w="236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8"/>
                <w:szCs w:val="8"/>
                <w:color w:val="auto"/>
              </w:rPr>
            </w:pPr>
          </w:p>
        </w:tc>
        <w:tc>
          <w:tcPr>
            <w:tcW w:w="940" w:type="dxa"/>
            <w:vAlign w:val="bottom"/>
            <w:gridSpan w:val="2"/>
          </w:tcPr>
          <w:p>
            <w:pPr>
              <w:jc w:val="right"/>
              <w:ind w:right="260"/>
              <w:spacing w:after="0" w:line="103"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38,278</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421</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558</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Crane 1 Acquisition Parent Holdings, L.P.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Crash Champions Holdings, LLC </w:t>
            </w:r>
            <w:r>
              <w:rPr>
                <w:rFonts w:ascii="Times New Roman" w:cs="Times New Roman" w:eastAsia="Times New Roman" w:hAnsi="Times New Roman"/>
                <w:sz w:val="14"/>
                <w:szCs w:val="14"/>
                <w:color w:val="auto"/>
                <w:vertAlign w:val="superscript"/>
              </w:rPr>
              <w:t>(7),(8)</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Automobiles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678</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Delta InvestCo LP (Sigma Defense Systems, LLC) </w:t>
            </w:r>
            <w:r>
              <w:rPr>
                <w:rFonts w:ascii="Times New Roman" w:cs="Times New Roman" w:eastAsia="Times New Roman" w:hAnsi="Times New Roman"/>
                <w:sz w:val="14"/>
                <w:szCs w:val="14"/>
                <w:color w:val="auto"/>
                <w:vertAlign w:val="superscript"/>
              </w:rPr>
              <w:t>(7), (8)</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IT Services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615,484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Delta InvestCo LP (Sigma Defense Systems, LLC) </w:t>
            </w:r>
            <w:r>
              <w:rPr>
                <w:rFonts w:ascii="Times New Roman" w:cs="Times New Roman" w:eastAsia="Times New Roman" w:hAnsi="Times New Roman"/>
                <w:sz w:val="14"/>
                <w:szCs w:val="14"/>
                <w:color w:val="auto"/>
                <w:vertAlign w:val="superscript"/>
              </w:rPr>
              <w:t>(7), (8),(9)</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IT Services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389,386</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ECM Investors, LLC </w:t>
            </w:r>
            <w:r>
              <w:rPr>
                <w:rFonts w:ascii="Times New Roman" w:cs="Times New Roman" w:eastAsia="Times New Roman" w:hAnsi="Times New Roman"/>
                <w:sz w:val="14"/>
                <w:szCs w:val="14"/>
                <w:color w:val="auto"/>
                <w:vertAlign w:val="superscript"/>
              </w:rPr>
              <w:t>(7), (8)</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295,982</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eCommission Holding Corporation </w:t>
            </w:r>
            <w:r>
              <w:rPr>
                <w:rFonts w:ascii="Times New Roman" w:cs="Times New Roman" w:eastAsia="Times New Roman" w:hAnsi="Times New Roman"/>
                <w:sz w:val="14"/>
                <w:szCs w:val="14"/>
                <w:color w:val="auto"/>
                <w:vertAlign w:val="superscript"/>
              </w:rPr>
              <w:t>(7), (10)</w:t>
            </w:r>
          </w:p>
        </w:tc>
        <w:tc>
          <w:tcPr>
            <w:tcW w:w="14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Banking, Finance, Insurance &amp; Real Estate</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Exigo, LLC</w:t>
            </w:r>
          </w:p>
        </w:tc>
        <w:tc>
          <w:tcPr>
            <w:tcW w:w="140" w:type="dxa"/>
            <w:vAlign w:val="bottom"/>
          </w:tcPr>
          <w:p>
            <w:pPr>
              <w:spacing w:after="0"/>
              <w:rPr>
                <w:sz w:val="10"/>
                <w:szCs w:val="10"/>
                <w:color w:val="auto"/>
              </w:rPr>
            </w:pPr>
          </w:p>
        </w:tc>
        <w:tc>
          <w:tcPr>
            <w:tcW w:w="640" w:type="dxa"/>
            <w:vAlign w:val="bottom"/>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0"/>
                <w:szCs w:val="10"/>
                <w:color w:val="auto"/>
              </w:rPr>
            </w:pPr>
          </w:p>
        </w:tc>
        <w:tc>
          <w:tcPr>
            <w:tcW w:w="23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rPr>
              <w:t>Software</w:t>
            </w:r>
          </w:p>
        </w:tc>
        <w:tc>
          <w:tcPr>
            <w:tcW w:w="140" w:type="dxa"/>
            <w:vAlign w:val="bottom"/>
          </w:tcPr>
          <w:p>
            <w:pPr>
              <w:spacing w:after="0"/>
              <w:rPr>
                <w:sz w:val="10"/>
                <w:szCs w:val="10"/>
                <w:color w:val="auto"/>
              </w:rPr>
            </w:pPr>
          </w:p>
        </w:tc>
        <w:tc>
          <w:tcPr>
            <w:tcW w:w="940" w:type="dxa"/>
            <w:vAlign w:val="bottom"/>
            <w:gridSpan w:val="2"/>
          </w:tcPr>
          <w:p>
            <w:pPr>
              <w:jc w:val="right"/>
              <w:ind w:right="2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541,667</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542</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542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FedHC InvestCo LP </w:t>
            </w:r>
            <w:r>
              <w:rPr>
                <w:rFonts w:ascii="Times New Roman" w:cs="Times New Roman" w:eastAsia="Times New Roman" w:hAnsi="Times New Roman"/>
                <w:sz w:val="14"/>
                <w:szCs w:val="14"/>
                <w:color w:val="auto"/>
                <w:vertAlign w:val="superscript"/>
              </w:rPr>
              <w:t>(7),(8)</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21,083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759</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FedHC InvestCo LP </w:t>
            </w:r>
            <w:r>
              <w:rPr>
                <w:rFonts w:ascii="Times New Roman" w:cs="Times New Roman" w:eastAsia="Times New Roman" w:hAnsi="Times New Roman"/>
                <w:sz w:val="14"/>
                <w:szCs w:val="14"/>
                <w:color w:val="auto"/>
                <w:vertAlign w:val="superscript"/>
              </w:rPr>
              <w:t>(7),(8),(9)</w:t>
            </w:r>
          </w:p>
        </w:tc>
        <w:tc>
          <w:tcPr>
            <w:tcW w:w="14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9,488</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Gauge InfosoftCoInvest, LLC</w:t>
            </w:r>
          </w:p>
        </w:tc>
        <w:tc>
          <w:tcPr>
            <w:tcW w:w="140" w:type="dxa"/>
            <w:vAlign w:val="bottom"/>
          </w:tcPr>
          <w:p>
            <w:pPr>
              <w:spacing w:after="0"/>
              <w:rPr>
                <w:sz w:val="10"/>
                <w:szCs w:val="10"/>
                <w:color w:val="auto"/>
              </w:rPr>
            </w:pPr>
          </w:p>
        </w:tc>
        <w:tc>
          <w:tcPr>
            <w:tcW w:w="640" w:type="dxa"/>
            <w:vAlign w:val="bottom"/>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0"/>
                <w:szCs w:val="10"/>
                <w:color w:val="auto"/>
              </w:rPr>
            </w:pPr>
          </w:p>
        </w:tc>
        <w:tc>
          <w:tcPr>
            <w:tcW w:w="23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Media: Broadcasting and Subscription</w:t>
            </w:r>
          </w:p>
        </w:tc>
        <w:tc>
          <w:tcPr>
            <w:tcW w:w="140" w:type="dxa"/>
            <w:vAlign w:val="bottom"/>
          </w:tcPr>
          <w:p>
            <w:pPr>
              <w:spacing w:after="0"/>
              <w:rPr>
                <w:sz w:val="10"/>
                <w:szCs w:val="10"/>
                <w:color w:val="auto"/>
              </w:rPr>
            </w:pPr>
          </w:p>
        </w:tc>
        <w:tc>
          <w:tcPr>
            <w:tcW w:w="940" w:type="dxa"/>
            <w:vAlign w:val="bottom"/>
            <w:gridSpan w:val="2"/>
          </w:tcPr>
          <w:p>
            <w:pPr>
              <w:jc w:val="right"/>
              <w:ind w:right="2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500</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144</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2,277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(The Infosoft Group, LLC)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Gauge Lash Coinvest LLC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1,485,953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227</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7,544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Gauge Schlesinger Coinvest LLC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437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437</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Gauge TVC Coinvest, LLC (TVC Enterprises, LLC)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391,144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GCOM InvestCo LP </w:t>
            </w:r>
            <w:r>
              <w:rPr>
                <w:rFonts w:ascii="Times New Roman" w:cs="Times New Roman" w:eastAsia="Times New Roman" w:hAnsi="Times New Roman"/>
                <w:sz w:val="14"/>
                <w:szCs w:val="14"/>
                <w:color w:val="auto"/>
                <w:vertAlign w:val="superscript"/>
              </w:rPr>
              <w:t>(7),(8)</w:t>
            </w:r>
          </w:p>
        </w:tc>
        <w:tc>
          <w:tcPr>
            <w:tcW w:w="14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IT Services</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19,184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3,342</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4,638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Go Dawgs Capital III, LP</w:t>
            </w:r>
          </w:p>
        </w:tc>
        <w:tc>
          <w:tcPr>
            <w:tcW w:w="140" w:type="dxa"/>
            <w:vAlign w:val="bottom"/>
          </w:tcPr>
          <w:p>
            <w:pPr>
              <w:spacing w:after="0"/>
              <w:rPr>
                <w:sz w:val="10"/>
                <w:szCs w:val="10"/>
                <w:color w:val="auto"/>
              </w:rPr>
            </w:pPr>
          </w:p>
        </w:tc>
        <w:tc>
          <w:tcPr>
            <w:tcW w:w="640" w:type="dxa"/>
            <w:vAlign w:val="bottom"/>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0"/>
                <w:szCs w:val="10"/>
                <w:color w:val="auto"/>
              </w:rPr>
            </w:pPr>
          </w:p>
        </w:tc>
        <w:tc>
          <w:tcPr>
            <w:tcW w:w="23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Building Products</w:t>
            </w:r>
          </w:p>
        </w:tc>
        <w:tc>
          <w:tcPr>
            <w:tcW w:w="140" w:type="dxa"/>
            <w:vAlign w:val="bottom"/>
          </w:tcPr>
          <w:p>
            <w:pPr>
              <w:spacing w:after="0"/>
              <w:rPr>
                <w:sz w:val="10"/>
                <w:szCs w:val="10"/>
                <w:color w:val="auto"/>
              </w:rPr>
            </w:pPr>
          </w:p>
        </w:tc>
        <w:tc>
          <w:tcPr>
            <w:tcW w:w="940" w:type="dxa"/>
            <w:vAlign w:val="bottom"/>
            <w:gridSpan w:val="2"/>
          </w:tcPr>
          <w:p>
            <w:pPr>
              <w:jc w:val="right"/>
              <w:ind w:right="2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324,675</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325</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377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3320" w:type="dxa"/>
            <w:vAlign w:val="bottom"/>
            <w:vMerge w:val="restart"/>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(American Insulated Glass, LLC) </w:t>
            </w:r>
            <w:r>
              <w:rPr>
                <w:rFonts w:ascii="Times New Roman" w:cs="Times New Roman" w:eastAsia="Times New Roman" w:hAnsi="Times New Roman"/>
                <w:sz w:val="14"/>
                <w:szCs w:val="14"/>
                <w:color w:val="auto"/>
                <w:vertAlign w:val="superscript"/>
              </w:rPr>
              <w:t>(7), (8)</w:t>
            </w: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3320" w:type="dxa"/>
            <w:vAlign w:val="bottom"/>
            <w:vMerge w:val="continue"/>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640" w:type="dxa"/>
            <w:vAlign w:val="bottom"/>
            <w:tcBorders>
              <w:bottom w:val="single" w:sz="8" w:color="CCECFF"/>
            </w:tcBorders>
            <w:shd w:val="clear" w:color="auto" w:fill="CCECFF"/>
          </w:tcPr>
          <w:p>
            <w:pPr>
              <w:spacing w:after="0"/>
              <w:rPr>
                <w:sz w:val="10"/>
                <w:szCs w:val="10"/>
                <w:color w:val="auto"/>
              </w:rPr>
            </w:pPr>
          </w:p>
        </w:tc>
        <w:tc>
          <w:tcPr>
            <w:tcW w:w="180" w:type="dxa"/>
            <w:vAlign w:val="bottom"/>
            <w:tcBorders>
              <w:bottom w:val="single" w:sz="8" w:color="CCECFF"/>
            </w:tcBorders>
            <w:shd w:val="clear" w:color="auto" w:fill="CCECFF"/>
          </w:tcPr>
          <w:p>
            <w:pPr>
              <w:spacing w:after="0"/>
              <w:rPr>
                <w:sz w:val="10"/>
                <w:szCs w:val="10"/>
                <w:color w:val="auto"/>
              </w:rPr>
            </w:pPr>
          </w:p>
        </w:tc>
        <w:tc>
          <w:tcPr>
            <w:tcW w:w="2360" w:type="dxa"/>
            <w:vAlign w:val="bottom"/>
            <w:tcBorders>
              <w:bottom w:val="single" w:sz="8" w:color="CCECFF"/>
            </w:tcBorders>
            <w:shd w:val="clear" w:color="auto" w:fill="CCECFF"/>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700" w:type="dxa"/>
            <w:vAlign w:val="bottom"/>
            <w:tcBorders>
              <w:bottom w:val="single" w:sz="8" w:color="CCECFF"/>
            </w:tcBorders>
            <w:shd w:val="clear" w:color="auto" w:fill="CCECFF"/>
          </w:tcPr>
          <w:p>
            <w:pPr>
              <w:spacing w:after="0"/>
              <w:rPr>
                <w:sz w:val="10"/>
                <w:szCs w:val="10"/>
                <w:color w:val="auto"/>
              </w:rPr>
            </w:pPr>
          </w:p>
        </w:tc>
        <w:tc>
          <w:tcPr>
            <w:tcW w:w="240" w:type="dxa"/>
            <w:vAlign w:val="bottom"/>
            <w:tcBorders>
              <w:bottom w:val="single" w:sz="8" w:color="CCECFF"/>
            </w:tcBorders>
            <w:shd w:val="clear" w:color="auto" w:fill="CCECFF"/>
          </w:tcPr>
          <w:p>
            <w:pPr>
              <w:spacing w:after="0"/>
              <w:rPr>
                <w:sz w:val="10"/>
                <w:szCs w:val="10"/>
                <w:color w:val="auto"/>
              </w:rPr>
            </w:pPr>
          </w:p>
        </w:tc>
        <w:tc>
          <w:tcPr>
            <w:tcW w:w="76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76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58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60" w:type="dxa"/>
            <w:vAlign w:val="bottom"/>
            <w:tcBorders>
              <w:bottom w:val="single" w:sz="8" w:color="CCECFF"/>
            </w:tcBorders>
            <w:shd w:val="clear" w:color="auto" w:fill="CCECFF"/>
          </w:tcPr>
          <w:p>
            <w:pPr>
              <w:spacing w:after="0"/>
              <w:rPr>
                <w:sz w:val="10"/>
                <w:szCs w:val="10"/>
                <w:color w:val="auto"/>
              </w:rPr>
            </w:pPr>
          </w:p>
        </w:tc>
        <w:tc>
          <w:tcPr>
            <w:tcW w:w="680" w:type="dxa"/>
            <w:vAlign w:val="bottom"/>
            <w:tcBorders>
              <w:bottom w:val="single" w:sz="8" w:color="CCECFF"/>
            </w:tcBorders>
            <w:shd w:val="clear" w:color="auto" w:fill="CCECFF"/>
          </w:tcPr>
          <w:p>
            <w:pPr>
              <w:spacing w:after="0"/>
              <w:rPr>
                <w:sz w:val="10"/>
                <w:szCs w:val="10"/>
                <w:color w:val="auto"/>
              </w:rPr>
            </w:pPr>
          </w:p>
        </w:tc>
        <w:tc>
          <w:tcPr>
            <w:tcW w:w="4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2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 xml:space="preserve">Hancock Claims Consultants Investors, LLC </w:t>
            </w:r>
            <w:r>
              <w:rPr>
                <w:rFonts w:ascii="Times New Roman" w:cs="Times New Roman" w:eastAsia="Times New Roman" w:hAnsi="Times New Roman"/>
                <w:sz w:val="14"/>
                <w:szCs w:val="14"/>
                <w:color w:val="auto"/>
                <w:vertAlign w:val="superscript"/>
              </w:rPr>
              <w:t>(7), (8)</w:t>
            </w:r>
          </w:p>
        </w:tc>
        <w:tc>
          <w:tcPr>
            <w:tcW w:w="140" w:type="dxa"/>
            <w:vAlign w:val="bottom"/>
          </w:tcPr>
          <w:p>
            <w:pPr>
              <w:spacing w:after="0"/>
              <w:rPr>
                <w:sz w:val="10"/>
                <w:szCs w:val="10"/>
                <w:color w:val="auto"/>
              </w:rPr>
            </w:pPr>
          </w:p>
        </w:tc>
        <w:tc>
          <w:tcPr>
            <w:tcW w:w="640" w:type="dxa"/>
            <w:vAlign w:val="bottom"/>
          </w:tcPr>
          <w:p>
            <w:pPr>
              <w:ind w:left="5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0"/>
                <w:szCs w:val="10"/>
                <w:color w:val="auto"/>
              </w:rPr>
            </w:pPr>
          </w:p>
        </w:tc>
        <w:tc>
          <w:tcPr>
            <w:tcW w:w="2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Insurance</w:t>
            </w:r>
          </w:p>
        </w:tc>
        <w:tc>
          <w:tcPr>
            <w:tcW w:w="140" w:type="dxa"/>
            <w:vAlign w:val="bottom"/>
          </w:tcPr>
          <w:p>
            <w:pPr>
              <w:spacing w:after="0"/>
              <w:rPr>
                <w:sz w:val="10"/>
                <w:szCs w:val="10"/>
                <w:color w:val="auto"/>
              </w:rPr>
            </w:pPr>
          </w:p>
        </w:tc>
        <w:tc>
          <w:tcPr>
            <w:tcW w:w="94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450,000</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450</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608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Icon Partners V C, L.P.</w:t>
            </w:r>
          </w:p>
        </w:tc>
        <w:tc>
          <w:tcPr>
            <w:tcW w:w="140" w:type="dxa"/>
            <w:vAlign w:val="bottom"/>
          </w:tcPr>
          <w:p>
            <w:pPr>
              <w:spacing w:after="0"/>
              <w:rPr>
                <w:sz w:val="10"/>
                <w:szCs w:val="10"/>
                <w:color w:val="auto"/>
              </w:rPr>
            </w:pPr>
          </w:p>
        </w:tc>
        <w:tc>
          <w:tcPr>
            <w:tcW w:w="640" w:type="dxa"/>
            <w:vAlign w:val="bottom"/>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0"/>
                <w:szCs w:val="10"/>
                <w:color w:val="auto"/>
              </w:rPr>
            </w:pPr>
          </w:p>
        </w:tc>
        <w:tc>
          <w:tcPr>
            <w:tcW w:w="23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Internet Software and Services</w:t>
            </w:r>
          </w:p>
        </w:tc>
        <w:tc>
          <w:tcPr>
            <w:tcW w:w="140" w:type="dxa"/>
            <w:vAlign w:val="bottom"/>
          </w:tcPr>
          <w:p>
            <w:pPr>
              <w:spacing w:after="0"/>
              <w:rPr>
                <w:sz w:val="10"/>
                <w:szCs w:val="10"/>
                <w:color w:val="auto"/>
              </w:rPr>
            </w:pPr>
          </w:p>
        </w:tc>
        <w:tc>
          <w:tcPr>
            <w:tcW w:w="940" w:type="dxa"/>
            <w:vAlign w:val="bottom"/>
            <w:gridSpan w:val="2"/>
          </w:tcPr>
          <w:p>
            <w:pPr>
              <w:jc w:val="right"/>
              <w:ind w:right="2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1,851,852</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1,852</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1,852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Icon Partners V C, L.P. </w:t>
            </w:r>
            <w:r>
              <w:rPr>
                <w:rFonts w:ascii="Times New Roman" w:cs="Times New Roman" w:eastAsia="Times New Roman" w:hAnsi="Times New Roman"/>
                <w:sz w:val="14"/>
                <w:szCs w:val="14"/>
                <w:color w:val="auto"/>
                <w:vertAlign w:val="superscript"/>
              </w:rPr>
              <w:t>(7)(8)</w:t>
            </w:r>
          </w:p>
        </w:tc>
        <w:tc>
          <w:tcPr>
            <w:tcW w:w="14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Internet Software and Services</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648,148</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320" w:type="dxa"/>
            <w:vAlign w:val="bottom"/>
            <w:shd w:val="clear" w:color="auto" w:fill="CCECFF"/>
          </w:tcPr>
          <w:p>
            <w:pPr>
              <w:ind w:left="20"/>
              <w:spacing w:after="0" w:line="117" w:lineRule="exact"/>
              <w:rPr>
                <w:sz w:val="20"/>
                <w:szCs w:val="20"/>
                <w:color w:val="auto"/>
              </w:rPr>
            </w:pPr>
            <w:r>
              <w:rPr>
                <w:rFonts w:ascii="Times New Roman" w:cs="Times New Roman" w:eastAsia="Times New Roman" w:hAnsi="Times New Roman"/>
                <w:sz w:val="11"/>
                <w:szCs w:val="11"/>
                <w:color w:val="auto"/>
              </w:rPr>
              <w:t>IIN Group Holdings, LLC</w:t>
            </w:r>
          </w:p>
        </w:tc>
        <w:tc>
          <w:tcPr>
            <w:tcW w:w="140" w:type="dxa"/>
            <w:vAlign w:val="bottom"/>
          </w:tcPr>
          <w:p>
            <w:pPr>
              <w:spacing w:after="0"/>
              <w:rPr>
                <w:sz w:val="10"/>
                <w:szCs w:val="10"/>
                <w:color w:val="auto"/>
              </w:rPr>
            </w:pPr>
          </w:p>
        </w:tc>
        <w:tc>
          <w:tcPr>
            <w:tcW w:w="640" w:type="dxa"/>
            <w:vAlign w:val="bottom"/>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0"/>
                <w:szCs w:val="10"/>
                <w:color w:val="auto"/>
              </w:rPr>
            </w:pPr>
          </w:p>
        </w:tc>
        <w:tc>
          <w:tcPr>
            <w:tcW w:w="23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Consumer Services</w:t>
            </w:r>
          </w:p>
        </w:tc>
        <w:tc>
          <w:tcPr>
            <w:tcW w:w="140" w:type="dxa"/>
            <w:vAlign w:val="bottom"/>
          </w:tcPr>
          <w:p>
            <w:pPr>
              <w:spacing w:after="0"/>
              <w:rPr>
                <w:sz w:val="10"/>
                <w:szCs w:val="10"/>
                <w:color w:val="auto"/>
              </w:rPr>
            </w:pPr>
          </w:p>
        </w:tc>
        <w:tc>
          <w:tcPr>
            <w:tcW w:w="940" w:type="dxa"/>
            <w:vAlign w:val="bottom"/>
            <w:gridSpan w:val="2"/>
          </w:tcPr>
          <w:p>
            <w:pPr>
              <w:jc w:val="right"/>
              <w:ind w:right="2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1,268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3320" w:type="dxa"/>
            <w:vAlign w:val="bottom"/>
            <w:vMerge w:val="restart"/>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 xml:space="preserve">(Integrative Nutrition, LLC) </w:t>
            </w:r>
            <w:r>
              <w:rPr>
                <w:rFonts w:ascii="Times New Roman" w:cs="Times New Roman" w:eastAsia="Times New Roman" w:hAnsi="Times New Roman"/>
                <w:sz w:val="14"/>
                <w:szCs w:val="14"/>
                <w:color w:val="auto"/>
                <w:vertAlign w:val="superscript"/>
              </w:rPr>
              <w:t>(7), (8)</w:t>
            </w: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320" w:type="dxa"/>
            <w:vAlign w:val="bottom"/>
            <w:vMerge w:val="continue"/>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3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32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Imagine Topco, LP (Common)</w:t>
            </w:r>
          </w:p>
        </w:tc>
        <w:tc>
          <w:tcPr>
            <w:tcW w:w="140" w:type="dxa"/>
            <w:vAlign w:val="bottom"/>
          </w:tcPr>
          <w:p>
            <w:pPr>
              <w:spacing w:after="0"/>
              <w:rPr>
                <w:sz w:val="8"/>
                <w:szCs w:val="8"/>
                <w:color w:val="auto"/>
              </w:rPr>
            </w:pPr>
          </w:p>
        </w:tc>
        <w:tc>
          <w:tcPr>
            <w:tcW w:w="640" w:type="dxa"/>
            <w:vAlign w:val="bottom"/>
          </w:tcPr>
          <w:p>
            <w:pPr>
              <w:ind w:left="52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8"/>
                <w:szCs w:val="8"/>
                <w:color w:val="auto"/>
              </w:rPr>
            </w:pPr>
          </w:p>
        </w:tc>
        <w:tc>
          <w:tcPr>
            <w:tcW w:w="236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rPr>
              <w:t>Software</w:t>
            </w:r>
          </w:p>
        </w:tc>
        <w:tc>
          <w:tcPr>
            <w:tcW w:w="140" w:type="dxa"/>
            <w:vAlign w:val="bottom"/>
          </w:tcPr>
          <w:p>
            <w:pPr>
              <w:spacing w:after="0"/>
              <w:rPr>
                <w:sz w:val="8"/>
                <w:szCs w:val="8"/>
                <w:color w:val="auto"/>
              </w:rPr>
            </w:pPr>
          </w:p>
        </w:tc>
        <w:tc>
          <w:tcPr>
            <w:tcW w:w="940" w:type="dxa"/>
            <w:vAlign w:val="bottom"/>
            <w:gridSpan w:val="2"/>
          </w:tcPr>
          <w:p>
            <w:pPr>
              <w:jc w:val="right"/>
              <w:ind w:right="260"/>
              <w:spacing w:after="0" w:line="103"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1,236,027</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Ironclad Holdco, LLC (Applied Technical Services, LLC) </w:t>
            </w:r>
            <w:r>
              <w:rPr>
                <w:rFonts w:ascii="Times New Roman" w:cs="Times New Roman" w:eastAsia="Times New Roman" w:hAnsi="Times New Roman"/>
                <w:sz w:val="14"/>
                <w:szCs w:val="14"/>
                <w:color w:val="auto"/>
                <w:vertAlign w:val="superscript"/>
              </w:rPr>
              <w:t>(7), (8)</w:t>
            </w:r>
          </w:p>
        </w:tc>
        <w:tc>
          <w:tcPr>
            <w:tcW w:w="14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5,811</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573</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ITC Infusion Co-invest, LP</w:t>
            </w:r>
          </w:p>
        </w:tc>
        <w:tc>
          <w:tcPr>
            <w:tcW w:w="140" w:type="dxa"/>
            <w:vAlign w:val="bottom"/>
          </w:tcPr>
          <w:p>
            <w:pPr>
              <w:spacing w:after="0"/>
              <w:rPr>
                <w:sz w:val="10"/>
                <w:szCs w:val="10"/>
                <w:color w:val="auto"/>
              </w:rPr>
            </w:pPr>
          </w:p>
        </w:tc>
        <w:tc>
          <w:tcPr>
            <w:tcW w:w="640" w:type="dxa"/>
            <w:vAlign w:val="bottom"/>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0"/>
                <w:szCs w:val="10"/>
                <w:color w:val="auto"/>
              </w:rPr>
            </w:pPr>
          </w:p>
        </w:tc>
        <w:tc>
          <w:tcPr>
            <w:tcW w:w="23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Healthcare Equipment and Supplied</w:t>
            </w:r>
          </w:p>
        </w:tc>
        <w:tc>
          <w:tcPr>
            <w:tcW w:w="140" w:type="dxa"/>
            <w:vAlign w:val="bottom"/>
          </w:tcPr>
          <w:p>
            <w:pPr>
              <w:spacing w:after="0"/>
              <w:rPr>
                <w:sz w:val="10"/>
                <w:szCs w:val="10"/>
                <w:color w:val="auto"/>
              </w:rPr>
            </w:pPr>
          </w:p>
        </w:tc>
        <w:tc>
          <w:tcPr>
            <w:tcW w:w="940" w:type="dxa"/>
            <w:vAlign w:val="bottom"/>
            <w:gridSpan w:val="2"/>
          </w:tcPr>
          <w:p>
            <w:pPr>
              <w:jc w:val="right"/>
              <w:ind w:right="2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59,211</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592</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592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ITC Rumba, LLC (Cano Health, LLC) </w:t>
            </w:r>
            <w:r>
              <w:rPr>
                <w:rFonts w:ascii="Times New Roman" w:cs="Times New Roman" w:eastAsia="Times New Roman" w:hAnsi="Times New Roman"/>
                <w:sz w:val="14"/>
                <w:szCs w:val="14"/>
                <w:color w:val="auto"/>
                <w:vertAlign w:val="superscript"/>
              </w:rPr>
              <w:t>(7),(8)</w:t>
            </w:r>
          </w:p>
        </w:tc>
        <w:tc>
          <w:tcPr>
            <w:tcW w:w="14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Healthcare and Pharmaceuticals</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46,763</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3,854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JWC-WE Holdings, L.P.</w:t>
            </w:r>
          </w:p>
        </w:tc>
        <w:tc>
          <w:tcPr>
            <w:tcW w:w="140" w:type="dxa"/>
            <w:vAlign w:val="bottom"/>
          </w:tcPr>
          <w:p>
            <w:pPr>
              <w:spacing w:after="0"/>
              <w:rPr>
                <w:sz w:val="10"/>
                <w:szCs w:val="10"/>
                <w:color w:val="auto"/>
              </w:rPr>
            </w:pPr>
          </w:p>
        </w:tc>
        <w:tc>
          <w:tcPr>
            <w:tcW w:w="640" w:type="dxa"/>
            <w:vAlign w:val="bottom"/>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0"/>
                <w:szCs w:val="10"/>
                <w:color w:val="auto"/>
              </w:rPr>
            </w:pPr>
          </w:p>
        </w:tc>
        <w:tc>
          <w:tcPr>
            <w:tcW w:w="23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Wholesale</w:t>
            </w:r>
          </w:p>
        </w:tc>
        <w:tc>
          <w:tcPr>
            <w:tcW w:w="140" w:type="dxa"/>
            <w:vAlign w:val="bottom"/>
          </w:tcPr>
          <w:p>
            <w:pPr>
              <w:spacing w:after="0"/>
              <w:rPr>
                <w:sz w:val="10"/>
                <w:szCs w:val="10"/>
                <w:color w:val="auto"/>
              </w:rPr>
            </w:pPr>
          </w:p>
        </w:tc>
        <w:tc>
          <w:tcPr>
            <w:tcW w:w="940" w:type="dxa"/>
            <w:vAlign w:val="bottom"/>
            <w:gridSpan w:val="2"/>
          </w:tcPr>
          <w:p>
            <w:pPr>
              <w:jc w:val="right"/>
              <w:ind w:right="2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1,948</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568</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1,948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100"/>
              <w:spacing w:after="0" w:line="153" w:lineRule="exact"/>
              <w:rPr>
                <w:sz w:val="20"/>
                <w:szCs w:val="20"/>
                <w:color w:val="auto"/>
              </w:rPr>
            </w:pPr>
            <w:r>
              <w:rPr>
                <w:rFonts w:ascii="Times New Roman" w:cs="Times New Roman" w:eastAsia="Times New Roman" w:hAnsi="Times New Roman"/>
                <w:sz w:val="11"/>
                <w:szCs w:val="11"/>
                <w:color w:val="auto"/>
              </w:rPr>
              <w:t xml:space="preserve">(Walker Edison Furniture Company LLC) </w:t>
            </w:r>
            <w:r>
              <w:rPr>
                <w:rFonts w:ascii="Times New Roman" w:cs="Times New Roman" w:eastAsia="Times New Roman" w:hAnsi="Times New Roman"/>
                <w:sz w:val="14"/>
                <w:szCs w:val="14"/>
                <w:color w:val="auto"/>
                <w:vertAlign w:val="superscript"/>
              </w:rPr>
              <w:t>(7), (8)</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Kinetic Purchaser, LLC</w:t>
            </w:r>
          </w:p>
        </w:tc>
        <w:tc>
          <w:tcPr>
            <w:tcW w:w="140" w:type="dxa"/>
            <w:vAlign w:val="bottom"/>
          </w:tcPr>
          <w:p>
            <w:pPr>
              <w:spacing w:after="0"/>
              <w:rPr>
                <w:sz w:val="10"/>
                <w:szCs w:val="10"/>
                <w:color w:val="auto"/>
              </w:rPr>
            </w:pPr>
          </w:p>
        </w:tc>
        <w:tc>
          <w:tcPr>
            <w:tcW w:w="640" w:type="dxa"/>
            <w:vAlign w:val="bottom"/>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0"/>
                <w:szCs w:val="10"/>
                <w:color w:val="auto"/>
              </w:rPr>
            </w:pPr>
          </w:p>
        </w:tc>
        <w:tc>
          <w:tcPr>
            <w:tcW w:w="23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Personal Products</w:t>
            </w:r>
          </w:p>
        </w:tc>
        <w:tc>
          <w:tcPr>
            <w:tcW w:w="140" w:type="dxa"/>
            <w:vAlign w:val="bottom"/>
          </w:tcPr>
          <w:p>
            <w:pPr>
              <w:spacing w:after="0"/>
              <w:rPr>
                <w:sz w:val="10"/>
                <w:szCs w:val="10"/>
                <w:color w:val="auto"/>
              </w:rPr>
            </w:pPr>
          </w:p>
        </w:tc>
        <w:tc>
          <w:tcPr>
            <w:tcW w:w="940" w:type="dxa"/>
            <w:vAlign w:val="bottom"/>
            <w:gridSpan w:val="2"/>
          </w:tcPr>
          <w:p>
            <w:pPr>
              <w:jc w:val="right"/>
              <w:ind w:right="2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1,734,775</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1,735</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2,200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KL Stockton Co-Invest LP (Any Hour Services) </w:t>
            </w:r>
            <w:r>
              <w:rPr>
                <w:rFonts w:ascii="Times New Roman" w:cs="Times New Roman" w:eastAsia="Times New Roman" w:hAnsi="Times New Roman"/>
                <w:sz w:val="14"/>
                <w:szCs w:val="14"/>
                <w:color w:val="auto"/>
                <w:vertAlign w:val="superscript"/>
              </w:rPr>
              <w:t>(7),(8)</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Energy Equipment and Services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382,353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Kentucky Racing Holdco, LLC (Warrants) </w:t>
            </w:r>
            <w:r>
              <w:rPr>
                <w:rFonts w:ascii="Times New Roman" w:cs="Times New Roman" w:eastAsia="Times New Roman" w:hAnsi="Times New Roman"/>
                <w:sz w:val="14"/>
                <w:szCs w:val="14"/>
                <w:color w:val="auto"/>
                <w:vertAlign w:val="superscript"/>
              </w:rPr>
              <w:t>(7), (8)</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Hotels, Restaurants and Leisure</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87,345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Lightspeed Investment Holdco LLC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585,587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586</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Mars Intermediate Holdings II, Inc.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835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MeritDirect Holdings, LP </w:t>
            </w:r>
            <w:r>
              <w:rPr>
                <w:rFonts w:ascii="Times New Roman" w:cs="Times New Roman" w:eastAsia="Times New Roman" w:hAnsi="Times New Roman"/>
                <w:sz w:val="14"/>
                <w:szCs w:val="14"/>
                <w:color w:val="auto"/>
                <w:vertAlign w:val="superscript"/>
              </w:rPr>
              <w:t>(7), (8)</w:t>
            </w:r>
          </w:p>
        </w:tc>
        <w:tc>
          <w:tcPr>
            <w:tcW w:w="140" w:type="dxa"/>
            <w:vAlign w:val="bottom"/>
          </w:tcPr>
          <w:p>
            <w:pPr>
              <w:spacing w:after="0"/>
              <w:rPr>
                <w:sz w:val="14"/>
                <w:szCs w:val="14"/>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2,018</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Meadowlark Title, LLC</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819,231</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819</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32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MSpark, LLC</w:t>
            </w:r>
          </w:p>
        </w:tc>
        <w:tc>
          <w:tcPr>
            <w:tcW w:w="140" w:type="dxa"/>
            <w:vAlign w:val="bottom"/>
          </w:tcPr>
          <w:p>
            <w:pPr>
              <w:spacing w:after="0"/>
              <w:rPr>
                <w:sz w:val="8"/>
                <w:szCs w:val="8"/>
                <w:color w:val="auto"/>
              </w:rPr>
            </w:pPr>
          </w:p>
        </w:tc>
        <w:tc>
          <w:tcPr>
            <w:tcW w:w="640" w:type="dxa"/>
            <w:vAlign w:val="bottom"/>
          </w:tcPr>
          <w:p>
            <w:pPr>
              <w:ind w:left="52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8"/>
                <w:szCs w:val="8"/>
                <w:color w:val="auto"/>
              </w:rPr>
            </w:pPr>
          </w:p>
        </w:tc>
        <w:tc>
          <w:tcPr>
            <w:tcW w:w="236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8"/>
              </w:rPr>
              <w:t>Media: Advertising, Printing and Publishing</w:t>
            </w:r>
          </w:p>
        </w:tc>
        <w:tc>
          <w:tcPr>
            <w:tcW w:w="140" w:type="dxa"/>
            <w:vAlign w:val="bottom"/>
          </w:tcPr>
          <w:p>
            <w:pPr>
              <w:spacing w:after="0"/>
              <w:rPr>
                <w:sz w:val="8"/>
                <w:szCs w:val="8"/>
                <w:color w:val="auto"/>
              </w:rPr>
            </w:pPr>
          </w:p>
        </w:tc>
        <w:tc>
          <w:tcPr>
            <w:tcW w:w="940" w:type="dxa"/>
            <w:vAlign w:val="bottom"/>
            <w:gridSpan w:val="2"/>
          </w:tcPr>
          <w:p>
            <w:pPr>
              <w:jc w:val="right"/>
              <w:ind w:right="260"/>
              <w:spacing w:after="0" w:line="103"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3,988</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1,288</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Municipal Emergency Services, Inc.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1,973,370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NEPRT Parent Holdings, LLC (Recteq, LLC) </w:t>
            </w:r>
            <w:r>
              <w:rPr>
                <w:rFonts w:ascii="Times New Roman" w:cs="Times New Roman" w:eastAsia="Times New Roman" w:hAnsi="Times New Roman"/>
                <w:sz w:val="14"/>
                <w:szCs w:val="14"/>
                <w:color w:val="auto"/>
                <w:vertAlign w:val="superscript"/>
              </w:rPr>
              <w:t>(7), (8)</w:t>
            </w:r>
          </w:p>
        </w:tc>
        <w:tc>
          <w:tcPr>
            <w:tcW w:w="14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North Haven Saints Equity Holdings, LP</w:t>
            </w:r>
          </w:p>
        </w:tc>
        <w:tc>
          <w:tcPr>
            <w:tcW w:w="140" w:type="dxa"/>
            <w:vAlign w:val="bottom"/>
          </w:tcPr>
          <w:p>
            <w:pPr>
              <w:spacing w:after="0"/>
              <w:rPr>
                <w:sz w:val="10"/>
                <w:szCs w:val="10"/>
                <w:color w:val="auto"/>
              </w:rPr>
            </w:pPr>
          </w:p>
        </w:tc>
        <w:tc>
          <w:tcPr>
            <w:tcW w:w="640" w:type="dxa"/>
            <w:vAlign w:val="bottom"/>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0"/>
                <w:szCs w:val="10"/>
                <w:color w:val="auto"/>
              </w:rPr>
            </w:pPr>
          </w:p>
        </w:tc>
        <w:tc>
          <w:tcPr>
            <w:tcW w:w="23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Healthcare Technology</w:t>
            </w:r>
          </w:p>
        </w:tc>
        <w:tc>
          <w:tcPr>
            <w:tcW w:w="140" w:type="dxa"/>
            <w:vAlign w:val="bottom"/>
          </w:tcPr>
          <w:p>
            <w:pPr>
              <w:spacing w:after="0"/>
              <w:rPr>
                <w:sz w:val="10"/>
                <w:szCs w:val="10"/>
                <w:color w:val="auto"/>
              </w:rPr>
            </w:pPr>
          </w:p>
        </w:tc>
        <w:tc>
          <w:tcPr>
            <w:tcW w:w="940" w:type="dxa"/>
            <w:vAlign w:val="bottom"/>
            <w:gridSpan w:val="2"/>
          </w:tcPr>
          <w:p>
            <w:pPr>
              <w:jc w:val="right"/>
              <w:ind w:right="2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223,602</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224</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230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NXOF Holdings, Inc. (Tyto Athene, LLC)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IT Services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14,960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w w:val="96"/>
              </w:rPr>
              <w:t xml:space="preserve">OceanSound Discovery Equity, LP (Holdco Sands Intermediate, LLC) </w:t>
            </w:r>
            <w:r>
              <w:rPr>
                <w:rFonts w:ascii="Times New Roman" w:cs="Times New Roman" w:eastAsia="Times New Roman" w:hAnsi="Times New Roman"/>
                <w:sz w:val="14"/>
                <w:szCs w:val="14"/>
                <w:color w:val="auto"/>
                <w:w w:val="96"/>
                <w:vertAlign w:val="superscript"/>
              </w:rPr>
              <w:t>(7), (8)</w:t>
            </w:r>
          </w:p>
        </w:tc>
        <w:tc>
          <w:tcPr>
            <w:tcW w:w="14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173,638</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1,729</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3,017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OHCP V BC COI, L.P.</w:t>
            </w:r>
          </w:p>
        </w:tc>
        <w:tc>
          <w:tcPr>
            <w:tcW w:w="140" w:type="dxa"/>
            <w:vAlign w:val="bottom"/>
          </w:tcPr>
          <w:p>
            <w:pPr>
              <w:spacing w:after="0"/>
              <w:rPr>
                <w:sz w:val="10"/>
                <w:szCs w:val="10"/>
                <w:color w:val="auto"/>
              </w:rPr>
            </w:pPr>
          </w:p>
        </w:tc>
        <w:tc>
          <w:tcPr>
            <w:tcW w:w="640" w:type="dxa"/>
            <w:vAlign w:val="bottom"/>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0"/>
                <w:szCs w:val="10"/>
                <w:color w:val="auto"/>
              </w:rPr>
            </w:pPr>
          </w:p>
        </w:tc>
        <w:tc>
          <w:tcPr>
            <w:tcW w:w="23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Distributors</w:t>
            </w:r>
          </w:p>
        </w:tc>
        <w:tc>
          <w:tcPr>
            <w:tcW w:w="140" w:type="dxa"/>
            <w:vAlign w:val="bottom"/>
          </w:tcPr>
          <w:p>
            <w:pPr>
              <w:spacing w:after="0"/>
              <w:rPr>
                <w:sz w:val="10"/>
                <w:szCs w:val="10"/>
                <w:color w:val="auto"/>
              </w:rPr>
            </w:pPr>
          </w:p>
        </w:tc>
        <w:tc>
          <w:tcPr>
            <w:tcW w:w="940" w:type="dxa"/>
            <w:vAlign w:val="bottom"/>
            <w:gridSpan w:val="2"/>
          </w:tcPr>
          <w:p>
            <w:pPr>
              <w:jc w:val="right"/>
              <w:ind w:right="2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743,750</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744</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744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OHCP V BC COI, L.P. </w:t>
            </w:r>
            <w:r>
              <w:rPr>
                <w:rFonts w:ascii="Times New Roman" w:cs="Times New Roman" w:eastAsia="Times New Roman" w:hAnsi="Times New Roman"/>
                <w:sz w:val="14"/>
                <w:szCs w:val="14"/>
                <w:color w:val="auto"/>
                <w:vertAlign w:val="superscript"/>
              </w:rPr>
              <w:t>(8) (9)</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506,250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Oral Surgery (ITC) Holdings, LLC </w:t>
            </w:r>
            <w:r>
              <w:rPr>
                <w:rFonts w:ascii="Times New Roman" w:cs="Times New Roman" w:eastAsia="Times New Roman" w:hAnsi="Times New Roman"/>
                <w:sz w:val="14"/>
                <w:szCs w:val="14"/>
                <w:color w:val="auto"/>
                <w:vertAlign w:val="superscript"/>
              </w:rPr>
              <w:t>(7),(8)</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3,872</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ORL Holdco, Inc.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Consumer Finance</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1,474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PennantPark-TSO Senior Loan Fund, LP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11,167,847</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11,168</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11,350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Pink Lily Holdco, LLC (PL Acquisitions, LLC)</w:t>
            </w:r>
          </w:p>
        </w:tc>
        <w:tc>
          <w:tcPr>
            <w:tcW w:w="140" w:type="dxa"/>
            <w:vAlign w:val="bottom"/>
          </w:tcPr>
          <w:p>
            <w:pPr>
              <w:spacing w:after="0"/>
              <w:rPr>
                <w:sz w:val="10"/>
                <w:szCs w:val="10"/>
                <w:color w:val="auto"/>
              </w:rPr>
            </w:pPr>
          </w:p>
        </w:tc>
        <w:tc>
          <w:tcPr>
            <w:tcW w:w="640" w:type="dxa"/>
            <w:vAlign w:val="bottom"/>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0"/>
                <w:szCs w:val="10"/>
                <w:color w:val="auto"/>
              </w:rPr>
            </w:pPr>
          </w:p>
        </w:tc>
        <w:tc>
          <w:tcPr>
            <w:tcW w:w="23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Textiles, Apparel and Luxury Goods</w:t>
            </w:r>
          </w:p>
        </w:tc>
        <w:tc>
          <w:tcPr>
            <w:tcW w:w="140" w:type="dxa"/>
            <w:vAlign w:val="bottom"/>
          </w:tcPr>
          <w:p>
            <w:pPr>
              <w:spacing w:after="0"/>
              <w:rPr>
                <w:sz w:val="10"/>
                <w:szCs w:val="10"/>
                <w:color w:val="auto"/>
              </w:rPr>
            </w:pPr>
          </w:p>
        </w:tc>
        <w:tc>
          <w:tcPr>
            <w:tcW w:w="940" w:type="dxa"/>
            <w:vAlign w:val="bottom"/>
            <w:gridSpan w:val="2"/>
          </w:tcPr>
          <w:p>
            <w:pPr>
              <w:jc w:val="right"/>
              <w:ind w:right="2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1,735</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1,735</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1,425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QuantiTech InvestCo LP </w:t>
            </w:r>
            <w:r>
              <w:rPr>
                <w:rFonts w:ascii="Times New Roman" w:cs="Times New Roman" w:eastAsia="Times New Roman" w:hAnsi="Times New Roman"/>
                <w:sz w:val="14"/>
                <w:szCs w:val="14"/>
                <w:color w:val="auto"/>
                <w:vertAlign w:val="superscript"/>
              </w:rPr>
              <w:t>(7), (8)</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QuantiTech InvestCo LP </w:t>
            </w:r>
            <w:r>
              <w:rPr>
                <w:rFonts w:ascii="Times New Roman" w:cs="Times New Roman" w:eastAsia="Times New Roman" w:hAnsi="Times New Roman"/>
                <w:sz w:val="14"/>
                <w:szCs w:val="14"/>
                <w:color w:val="auto"/>
                <w:vertAlign w:val="superscript"/>
              </w:rPr>
              <w:t>(7), (8), (9)</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967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QuantiTech InvestCo II LP </w:t>
            </w:r>
            <w:r>
              <w:rPr>
                <w:rFonts w:ascii="Times New Roman" w:cs="Times New Roman" w:eastAsia="Times New Roman" w:hAnsi="Times New Roman"/>
                <w:sz w:val="14"/>
                <w:szCs w:val="14"/>
                <w:color w:val="auto"/>
                <w:vertAlign w:val="superscript"/>
              </w:rPr>
              <w:t>(7), (8),</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RFMG Parent, LP (Rancho Health MSO, Inc.)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4"/>
                <w:szCs w:val="14"/>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4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1,050,000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1,050</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-6711315</wp:posOffset>
            </wp:positionV>
            <wp:extent cx="21088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108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-6617335</wp:posOffset>
            </wp:positionV>
            <wp:extent cx="7132320" cy="857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-6445885</wp:posOffset>
            </wp:positionV>
            <wp:extent cx="7132320" cy="857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-6274435</wp:posOffset>
            </wp:positionV>
            <wp:extent cx="7132320" cy="857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-6102985</wp:posOffset>
            </wp:positionV>
            <wp:extent cx="7132320" cy="857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-5931535</wp:posOffset>
            </wp:positionV>
            <wp:extent cx="7132320" cy="857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-5674360</wp:posOffset>
            </wp:positionV>
            <wp:extent cx="7132320" cy="857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-5494020</wp:posOffset>
            </wp:positionV>
            <wp:extent cx="7132320" cy="939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-5314315</wp:posOffset>
            </wp:positionV>
            <wp:extent cx="7132320" cy="857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-5142865</wp:posOffset>
            </wp:positionV>
            <wp:extent cx="7132320" cy="857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-4971415</wp:posOffset>
            </wp:positionV>
            <wp:extent cx="7132320" cy="857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-4799965</wp:posOffset>
            </wp:positionV>
            <wp:extent cx="7132320" cy="857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-4628515</wp:posOffset>
            </wp:positionV>
            <wp:extent cx="7132320" cy="1714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-4371340</wp:posOffset>
            </wp:positionV>
            <wp:extent cx="7132320" cy="857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-4199890</wp:posOffset>
            </wp:positionV>
            <wp:extent cx="7132320" cy="857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-4028440</wp:posOffset>
            </wp:positionV>
            <wp:extent cx="7132320" cy="857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-3856990</wp:posOffset>
            </wp:positionV>
            <wp:extent cx="7132320" cy="857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-3685540</wp:posOffset>
            </wp:positionV>
            <wp:extent cx="7132320" cy="857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-3428365</wp:posOffset>
            </wp:positionV>
            <wp:extent cx="7132320" cy="8572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-3256915</wp:posOffset>
            </wp:positionV>
            <wp:extent cx="7132320" cy="857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-3085465</wp:posOffset>
            </wp:positionV>
            <wp:extent cx="7132320" cy="1714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-2828290</wp:posOffset>
            </wp:positionV>
            <wp:extent cx="7132320" cy="857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-2656840</wp:posOffset>
            </wp:positionV>
            <wp:extent cx="7132320" cy="857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-2399665</wp:posOffset>
            </wp:positionV>
            <wp:extent cx="7132320" cy="857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-2228215</wp:posOffset>
            </wp:positionV>
            <wp:extent cx="7132320" cy="8572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-1971040</wp:posOffset>
            </wp:positionV>
            <wp:extent cx="7132320" cy="857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-1799590</wp:posOffset>
            </wp:positionV>
            <wp:extent cx="7132320" cy="857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-1628140</wp:posOffset>
            </wp:positionV>
            <wp:extent cx="7132320" cy="857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-1285240</wp:posOffset>
            </wp:positionV>
            <wp:extent cx="7132320" cy="857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-1113790</wp:posOffset>
            </wp:positionV>
            <wp:extent cx="7132320" cy="8572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-942340</wp:posOffset>
            </wp:positionV>
            <wp:extent cx="7132320" cy="857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-770890</wp:posOffset>
            </wp:positionV>
            <wp:extent cx="7132320" cy="857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857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57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8572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57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1" w:name="page12"/>
    <w:bookmarkEnd w:id="11"/>
    <w:p>
      <w:pPr>
        <w:ind w:left="3260"/>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bl>
      <w:tblPr>
        <w:tblLayout w:type="fixed"/>
        <w:tblInd w:w="0" w:type="dxa"/>
        <w:tblCellMar>
          <w:top w:w="0" w:type="dxa"/>
          <w:left w:w="0" w:type="dxa"/>
          <w:bottom w:w="0" w:type="dxa"/>
          <w:right w:w="0" w:type="dxa"/>
        </w:tblCellMar>
      </w:tblPr>
      <w:tr>
        <w:trPr>
          <w:trHeight w:val="116"/>
        </w:trPr>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w w:val="99"/>
              </w:rPr>
              <w:t>Basis Point</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Spread</w:t>
            </w: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right"/>
              <w:ind w:right="280"/>
              <w:spacing w:after="0" w:line="122" w:lineRule="exact"/>
              <w:rPr>
                <w:sz w:val="20"/>
                <w:szCs w:val="20"/>
                <w:color w:val="auto"/>
              </w:rPr>
            </w:pPr>
            <w:r>
              <w:rPr>
                <w:rFonts w:ascii="Times New Roman" w:cs="Times New Roman" w:eastAsia="Times New Roman" w:hAnsi="Times New Roman"/>
                <w:sz w:val="11"/>
                <w:szCs w:val="11"/>
                <w:b w:val="1"/>
                <w:bCs w:val="1"/>
                <w:color w:val="auto"/>
              </w:rPr>
              <w:t>Current</w:t>
            </w:r>
          </w:p>
        </w:tc>
        <w:tc>
          <w:tcPr>
            <w:tcW w:w="14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Above</w:t>
            </w:r>
          </w:p>
        </w:tc>
        <w:tc>
          <w:tcPr>
            <w:tcW w:w="160" w:type="dxa"/>
            <w:vAlign w:val="bottom"/>
          </w:tcPr>
          <w:p>
            <w:pPr>
              <w:spacing w:after="0"/>
              <w:rPr>
                <w:sz w:val="10"/>
                <w:szCs w:val="10"/>
                <w:color w:val="auto"/>
              </w:rPr>
            </w:pPr>
          </w:p>
        </w:tc>
        <w:tc>
          <w:tcPr>
            <w:tcW w:w="760" w:type="dxa"/>
            <w:vAlign w:val="bottom"/>
          </w:tcPr>
          <w:p>
            <w:pPr>
              <w:jc w:val="right"/>
              <w:ind w:right="226"/>
              <w:spacing w:after="0" w:line="122" w:lineRule="exact"/>
              <w:rPr>
                <w:sz w:val="20"/>
                <w:szCs w:val="20"/>
                <w:color w:val="auto"/>
              </w:rPr>
            </w:pPr>
            <w:r>
              <w:rPr>
                <w:rFonts w:ascii="Times New Roman" w:cs="Times New Roman" w:eastAsia="Times New Roman" w:hAnsi="Times New Roman"/>
                <w:sz w:val="11"/>
                <w:szCs w:val="11"/>
                <w:b w:val="1"/>
                <w:bCs w:val="1"/>
                <w:color w:val="auto"/>
              </w:rPr>
              <w:t>Par /</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0"/>
              </w:rPr>
              <w:t xml:space="preserve">Fair Value </w:t>
            </w:r>
            <w:r>
              <w:rPr>
                <w:rFonts w:ascii="Times New Roman" w:cs="Times New Roman" w:eastAsia="Times New Roman" w:hAnsi="Times New Roman"/>
                <w:sz w:val="14"/>
                <w:szCs w:val="14"/>
                <w:b w:val="1"/>
                <w:bCs w:val="1"/>
                <w:color w:val="auto"/>
                <w:w w:val="90"/>
                <w:vertAlign w:val="superscript"/>
              </w:rPr>
              <w:t>(2)</w:t>
            </w:r>
          </w:p>
        </w:tc>
        <w:tc>
          <w:tcPr>
            <w:tcW w:w="0" w:type="dxa"/>
            <w:vAlign w:val="bottom"/>
          </w:tcPr>
          <w:p>
            <w:pPr>
              <w:spacing w:after="0"/>
              <w:rPr>
                <w:sz w:val="1"/>
                <w:szCs w:val="1"/>
                <w:color w:val="auto"/>
              </w:rPr>
            </w:pPr>
          </w:p>
        </w:tc>
      </w:tr>
      <w:tr>
        <w:trPr>
          <w:trHeight w:val="156"/>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62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20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4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140" w:type="dxa"/>
            <w:vAlign w:val="bottom"/>
          </w:tcPr>
          <w:p>
            <w:pPr>
              <w:spacing w:after="0"/>
              <w:rPr>
                <w:sz w:val="13"/>
                <w:szCs w:val="13"/>
                <w:color w:val="auto"/>
              </w:rPr>
            </w:pPr>
          </w:p>
        </w:tc>
        <w:tc>
          <w:tcPr>
            <w:tcW w:w="760" w:type="dxa"/>
            <w:vAlign w:val="bottom"/>
          </w:tcPr>
          <w:p>
            <w:pPr>
              <w:jc w:val="center"/>
              <w:spacing w:after="0" w:line="143" w:lineRule="exact"/>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160" w:type="dxa"/>
            <w:vAlign w:val="bottom"/>
          </w:tcPr>
          <w:p>
            <w:pPr>
              <w:spacing w:after="0"/>
              <w:rPr>
                <w:sz w:val="13"/>
                <w:szCs w:val="13"/>
                <w:color w:val="auto"/>
              </w:rPr>
            </w:pPr>
          </w:p>
        </w:tc>
        <w:tc>
          <w:tcPr>
            <w:tcW w:w="76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3320" w:type="dxa"/>
            <w:vAlign w:val="bottom"/>
          </w:tcPr>
          <w:p>
            <w:pPr>
              <w:ind w:left="20"/>
              <w:spacing w:after="0" w:line="103" w:lineRule="exact"/>
              <w:rPr>
                <w:sz w:val="20"/>
                <w:szCs w:val="20"/>
                <w:color w:val="auto"/>
              </w:rPr>
            </w:pPr>
            <w:r>
              <w:rPr>
                <w:rFonts w:ascii="Times New Roman" w:cs="Times New Roman" w:eastAsia="Times New Roman" w:hAnsi="Times New Roman"/>
                <w:sz w:val="9"/>
                <w:szCs w:val="9"/>
                <w:color w:val="auto"/>
              </w:rPr>
              <w:t xml:space="preserve">SBI Holdings Investments LLC (Sales Benchmark Index LLC) </w:t>
            </w:r>
            <w:r>
              <w:rPr>
                <w:rFonts w:ascii="Times New Roman" w:cs="Times New Roman" w:eastAsia="Times New Roman" w:hAnsi="Times New Roman"/>
                <w:sz w:val="11"/>
                <w:szCs w:val="11"/>
                <w:color w:val="auto"/>
                <w:vertAlign w:val="superscript"/>
              </w:rPr>
              <w:t>(7), (8)</w:t>
            </w:r>
          </w:p>
        </w:tc>
        <w:tc>
          <w:tcPr>
            <w:tcW w:w="140" w:type="dxa"/>
            <w:vAlign w:val="bottom"/>
          </w:tcPr>
          <w:p>
            <w:pPr>
              <w:spacing w:after="0"/>
              <w:rPr>
                <w:sz w:val="8"/>
                <w:szCs w:val="8"/>
                <w:color w:val="auto"/>
              </w:rPr>
            </w:pPr>
          </w:p>
        </w:tc>
        <w:tc>
          <w:tcPr>
            <w:tcW w:w="620" w:type="dxa"/>
            <w:vAlign w:val="bottom"/>
            <w:tcBorders>
              <w:top w:val="single" w:sz="8" w:color="auto"/>
            </w:tcBorders>
          </w:tcPr>
          <w:p>
            <w:pPr>
              <w:ind w:left="50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8"/>
                <w:szCs w:val="8"/>
                <w:color w:val="auto"/>
              </w:rPr>
            </w:pPr>
          </w:p>
        </w:tc>
        <w:tc>
          <w:tcPr>
            <w:tcW w:w="2340" w:type="dxa"/>
            <w:vAlign w:val="bottom"/>
            <w:tcBorders>
              <w:top w:val="single" w:sz="8" w:color="auto"/>
            </w:tcBorders>
          </w:tcPr>
          <w:p>
            <w:pPr>
              <w:jc w:val="center"/>
              <w:spacing w:after="0" w:line="103" w:lineRule="exact"/>
              <w:rPr>
                <w:sz w:val="20"/>
                <w:szCs w:val="20"/>
                <w:color w:val="auto"/>
              </w:rPr>
            </w:pPr>
            <w:r>
              <w:rPr>
                <w:rFonts w:ascii="Times New Roman" w:cs="Times New Roman" w:eastAsia="Times New Roman" w:hAnsi="Times New Roman"/>
                <w:sz w:val="11"/>
                <w:szCs w:val="11"/>
                <w:color w:val="auto"/>
                <w:w w:val="99"/>
              </w:rPr>
              <w:t>Professional Services</w:t>
            </w:r>
          </w:p>
        </w:tc>
        <w:tc>
          <w:tcPr>
            <w:tcW w:w="140" w:type="dxa"/>
            <w:vAlign w:val="bottom"/>
          </w:tcPr>
          <w:p>
            <w:pPr>
              <w:spacing w:after="0"/>
              <w:rPr>
                <w:sz w:val="8"/>
                <w:szCs w:val="8"/>
                <w:color w:val="auto"/>
              </w:rPr>
            </w:pPr>
          </w:p>
        </w:tc>
        <w:tc>
          <w:tcPr>
            <w:tcW w:w="70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8"/>
                <w:szCs w:val="8"/>
                <w:color w:val="auto"/>
              </w:rPr>
            </w:pPr>
          </w:p>
        </w:tc>
        <w:tc>
          <w:tcPr>
            <w:tcW w:w="76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color w:val="auto"/>
              </w:rPr>
              <w:t>64,634</w:t>
            </w:r>
          </w:p>
        </w:tc>
        <w:tc>
          <w:tcPr>
            <w:tcW w:w="160" w:type="dxa"/>
            <w:vAlign w:val="bottom"/>
          </w:tcPr>
          <w:p>
            <w:pPr>
              <w:spacing w:after="0"/>
              <w:rPr>
                <w:sz w:val="8"/>
                <w:szCs w:val="8"/>
                <w:color w:val="auto"/>
              </w:rPr>
            </w:pPr>
          </w:p>
        </w:tc>
        <w:tc>
          <w:tcPr>
            <w:tcW w:w="160" w:type="dxa"/>
            <w:vAlign w:val="bottom"/>
            <w:tcBorders>
              <w:top w:val="single" w:sz="8" w:color="auto"/>
            </w:tcBorders>
          </w:tcPr>
          <w:p>
            <w:pPr>
              <w:jc w:val="right"/>
              <w:ind w:right="46"/>
              <w:spacing w:after="0" w:line="103"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color w:val="auto"/>
              </w:rPr>
              <w:t>646</w:t>
            </w:r>
          </w:p>
        </w:tc>
        <w:tc>
          <w:tcPr>
            <w:tcW w:w="160" w:type="dxa"/>
            <w:vAlign w:val="bottom"/>
          </w:tcPr>
          <w:p>
            <w:pPr>
              <w:spacing w:after="0"/>
              <w:rPr>
                <w:sz w:val="8"/>
                <w:szCs w:val="8"/>
                <w:color w:val="auto"/>
              </w:rPr>
            </w:pPr>
          </w:p>
        </w:tc>
        <w:tc>
          <w:tcPr>
            <w:tcW w:w="6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color w:val="auto"/>
              </w:rPr>
              <w:t>677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Signature CR Intermediate Holdco, Inc. </w:t>
            </w:r>
            <w:r>
              <w:rPr>
                <w:rFonts w:ascii="Times New Roman" w:cs="Times New Roman" w:eastAsia="Times New Roman" w:hAnsi="Times New Roman"/>
                <w:sz w:val="14"/>
                <w:szCs w:val="14"/>
                <w:color w:val="auto"/>
                <w:vertAlign w:val="superscript"/>
              </w:rPr>
              <w:t>(7)</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Commercial Services &amp; Supplies</w:t>
            </w: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46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SP L2 Holdings, LLC (Ledge Lounger, Inc.)</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Leisure Products</w:t>
            </w:r>
          </w:p>
        </w:tc>
        <w:tc>
          <w:tcPr>
            <w:tcW w:w="1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360,103</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360</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46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1"/>
                <w:szCs w:val="11"/>
                <w:color w:val="auto"/>
              </w:rPr>
              <w:t>SSC Dominion Holdings, LLC</w:t>
            </w:r>
          </w:p>
        </w:tc>
        <w:tc>
          <w:tcPr>
            <w:tcW w:w="620" w:type="dxa"/>
            <w:vAlign w:val="bottom"/>
          </w:tcPr>
          <w:p>
            <w:pPr>
              <w:ind w:left="50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8"/>
                <w:szCs w:val="8"/>
                <w:color w:val="auto"/>
              </w:rPr>
            </w:pPr>
          </w:p>
        </w:tc>
        <w:tc>
          <w:tcPr>
            <w:tcW w:w="234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8"/>
              </w:rPr>
              <w:t>Capital Equipment</w:t>
            </w:r>
          </w:p>
        </w:tc>
        <w:tc>
          <w:tcPr>
            <w:tcW w:w="140" w:type="dxa"/>
            <w:vAlign w:val="bottom"/>
          </w:tcPr>
          <w:p>
            <w:pPr>
              <w:spacing w:after="0"/>
              <w:rPr>
                <w:sz w:val="8"/>
                <w:szCs w:val="8"/>
                <w:color w:val="auto"/>
              </w:rPr>
            </w:pPr>
          </w:p>
        </w:tc>
        <w:tc>
          <w:tcPr>
            <w:tcW w:w="820" w:type="dxa"/>
            <w:vAlign w:val="bottom"/>
            <w:gridSpan w:val="2"/>
          </w:tcPr>
          <w:p>
            <w:pPr>
              <w:jc w:val="right"/>
              <w:ind w:right="140"/>
              <w:spacing w:after="0" w:line="103"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8"/>
                <w:szCs w:val="8"/>
                <w:color w:val="auto"/>
              </w:rPr>
            </w:pPr>
          </w:p>
        </w:tc>
        <w:tc>
          <w:tcPr>
            <w:tcW w:w="7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500</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500</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630</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 xml:space="preserve">Class A (US Dominion, Inc.) </w:t>
            </w:r>
            <w:r>
              <w:rPr>
                <w:rFonts w:ascii="Times New Roman" w:cs="Times New Roman" w:eastAsia="Times New Roman" w:hAnsi="Times New Roman"/>
                <w:sz w:val="14"/>
                <w:szCs w:val="14"/>
                <w:color w:val="auto"/>
                <w:vertAlign w:val="superscript"/>
              </w:rPr>
              <w:t>(7)</w:t>
            </w:r>
          </w:p>
        </w:tc>
        <w:tc>
          <w:tcPr>
            <w:tcW w:w="620" w:type="dxa"/>
            <w:vAlign w:val="bottom"/>
            <w:vMerge w:val="restart"/>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4"/>
                <w:szCs w:val="14"/>
                <w:color w:val="auto"/>
              </w:rPr>
            </w:pPr>
          </w:p>
        </w:tc>
        <w:tc>
          <w:tcPr>
            <w:tcW w:w="23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40" w:type="dxa"/>
            <w:vAlign w:val="bottom"/>
          </w:tcPr>
          <w:p>
            <w:pPr>
              <w:spacing w:after="0"/>
              <w:rPr>
                <w:sz w:val="14"/>
                <w:szCs w:val="14"/>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1,373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332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SSC Dominion Holdings, LLC</w:t>
            </w: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3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
        </w:trPr>
        <w:tc>
          <w:tcPr>
            <w:tcW w:w="3320" w:type="dxa"/>
            <w:vAlign w:val="bottom"/>
            <w:vMerge w:val="restart"/>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Class B (US Dominion, Inc.)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3320" w:type="dxa"/>
            <w:vAlign w:val="bottom"/>
            <w:vMerge w:val="continue"/>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620" w:type="dxa"/>
            <w:vAlign w:val="bottom"/>
            <w:tcBorders>
              <w:bottom w:val="single" w:sz="8" w:color="CCECFF"/>
            </w:tcBorders>
            <w:shd w:val="clear" w:color="auto" w:fill="CCECFF"/>
          </w:tcPr>
          <w:p>
            <w:pPr>
              <w:spacing w:after="0"/>
              <w:rPr>
                <w:sz w:val="10"/>
                <w:szCs w:val="10"/>
                <w:color w:val="auto"/>
              </w:rPr>
            </w:pPr>
          </w:p>
        </w:tc>
        <w:tc>
          <w:tcPr>
            <w:tcW w:w="200" w:type="dxa"/>
            <w:vAlign w:val="bottom"/>
            <w:tcBorders>
              <w:bottom w:val="single" w:sz="8" w:color="CCECFF"/>
            </w:tcBorders>
            <w:shd w:val="clear" w:color="auto" w:fill="CCECFF"/>
          </w:tcPr>
          <w:p>
            <w:pPr>
              <w:spacing w:after="0"/>
              <w:rPr>
                <w:sz w:val="10"/>
                <w:szCs w:val="10"/>
                <w:color w:val="auto"/>
              </w:rPr>
            </w:pPr>
          </w:p>
        </w:tc>
        <w:tc>
          <w:tcPr>
            <w:tcW w:w="2340" w:type="dxa"/>
            <w:vAlign w:val="bottom"/>
            <w:tcBorders>
              <w:bottom w:val="single" w:sz="8" w:color="CCECFF"/>
            </w:tcBorders>
            <w:shd w:val="clear" w:color="auto" w:fill="CCECFF"/>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70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76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76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58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60" w:type="dxa"/>
            <w:vAlign w:val="bottom"/>
            <w:tcBorders>
              <w:bottom w:val="single" w:sz="8" w:color="CCECFF"/>
            </w:tcBorders>
            <w:shd w:val="clear" w:color="auto" w:fill="CCECFF"/>
          </w:tcPr>
          <w:p>
            <w:pPr>
              <w:spacing w:after="0"/>
              <w:rPr>
                <w:sz w:val="10"/>
                <w:szCs w:val="10"/>
                <w:color w:val="auto"/>
              </w:rPr>
            </w:pPr>
          </w:p>
        </w:tc>
        <w:tc>
          <w:tcPr>
            <w:tcW w:w="680" w:type="dxa"/>
            <w:vAlign w:val="bottom"/>
            <w:tcBorders>
              <w:bottom w:val="single" w:sz="8" w:color="CCECFF"/>
            </w:tcBorders>
            <w:shd w:val="clear" w:color="auto" w:fill="CCECFF"/>
          </w:tcPr>
          <w:p>
            <w:pPr>
              <w:spacing w:after="0"/>
              <w:rPr>
                <w:sz w:val="10"/>
                <w:szCs w:val="10"/>
                <w:color w:val="auto"/>
              </w:rPr>
            </w:pPr>
          </w:p>
        </w:tc>
        <w:tc>
          <w:tcPr>
            <w:tcW w:w="4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320" w:type="dxa"/>
            <w:vAlign w:val="bottom"/>
          </w:tcPr>
          <w:p>
            <w:pPr>
              <w:ind w:left="20"/>
              <w:spacing w:after="0" w:line="103" w:lineRule="exact"/>
              <w:rPr>
                <w:sz w:val="20"/>
                <w:szCs w:val="20"/>
                <w:color w:val="auto"/>
              </w:rPr>
            </w:pPr>
            <w:r>
              <w:rPr>
                <w:rFonts w:ascii="Times New Roman" w:cs="Times New Roman" w:eastAsia="Times New Roman" w:hAnsi="Times New Roman"/>
                <w:sz w:val="9"/>
                <w:szCs w:val="9"/>
                <w:color w:val="auto"/>
              </w:rPr>
              <w:t xml:space="preserve">StellPen Holdings, LLC (CF512, Inc.) </w:t>
            </w:r>
            <w:r>
              <w:rPr>
                <w:rFonts w:ascii="Times New Roman" w:cs="Times New Roman" w:eastAsia="Times New Roman" w:hAnsi="Times New Roman"/>
                <w:sz w:val="11"/>
                <w:szCs w:val="11"/>
                <w:color w:val="auto"/>
                <w:vertAlign w:val="superscript"/>
              </w:rPr>
              <w:t>(7)</w:t>
            </w:r>
          </w:p>
        </w:tc>
        <w:tc>
          <w:tcPr>
            <w:tcW w:w="140" w:type="dxa"/>
            <w:vAlign w:val="bottom"/>
          </w:tcPr>
          <w:p>
            <w:pPr>
              <w:spacing w:after="0"/>
              <w:rPr>
                <w:sz w:val="8"/>
                <w:szCs w:val="8"/>
                <w:color w:val="auto"/>
              </w:rPr>
            </w:pPr>
          </w:p>
        </w:tc>
        <w:tc>
          <w:tcPr>
            <w:tcW w:w="620" w:type="dxa"/>
            <w:vAlign w:val="bottom"/>
          </w:tcPr>
          <w:p>
            <w:pPr>
              <w:ind w:left="50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8"/>
                <w:szCs w:val="8"/>
                <w:color w:val="auto"/>
              </w:rPr>
            </w:pPr>
          </w:p>
        </w:tc>
        <w:tc>
          <w:tcPr>
            <w:tcW w:w="234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2"/>
              </w:rPr>
              <w:t>Media</w:t>
            </w:r>
          </w:p>
        </w:tc>
        <w:tc>
          <w:tcPr>
            <w:tcW w:w="140" w:type="dxa"/>
            <w:vAlign w:val="bottom"/>
          </w:tcPr>
          <w:p>
            <w:pPr>
              <w:spacing w:after="0"/>
              <w:rPr>
                <w:sz w:val="8"/>
                <w:szCs w:val="8"/>
                <w:color w:val="auto"/>
              </w:rPr>
            </w:pPr>
          </w:p>
        </w:tc>
        <w:tc>
          <w:tcPr>
            <w:tcW w:w="820" w:type="dxa"/>
            <w:vAlign w:val="bottom"/>
            <w:gridSpan w:val="2"/>
          </w:tcPr>
          <w:p>
            <w:pPr>
              <w:jc w:val="right"/>
              <w:ind w:right="140"/>
              <w:spacing w:after="0" w:line="103"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8"/>
                <w:szCs w:val="8"/>
                <w:color w:val="auto"/>
              </w:rPr>
            </w:pPr>
          </w:p>
        </w:tc>
        <w:tc>
          <w:tcPr>
            <w:tcW w:w="7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161,538</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162</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46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TAC LifePort Holdings, LLC </w:t>
            </w:r>
            <w:r>
              <w:rPr>
                <w:rFonts w:ascii="Times New Roman" w:cs="Times New Roman" w:eastAsia="Times New Roman" w:hAnsi="Times New Roman"/>
                <w:sz w:val="14"/>
                <w:szCs w:val="14"/>
                <w:color w:val="auto"/>
                <w:vertAlign w:val="superscript"/>
              </w:rPr>
              <w:t>(7),(8)</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488,372</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46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Tower Arch Infolinks Media, LP (Infolinks Media Buyco, LLC)</w:t>
            </w:r>
          </w:p>
        </w:tc>
        <w:tc>
          <w:tcPr>
            <w:tcW w:w="620" w:type="dxa"/>
            <w:vAlign w:val="bottom"/>
          </w:tcPr>
          <w:p>
            <w:pPr>
              <w:ind w:left="50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2"/>
              </w:rPr>
              <w:t>Media</w:t>
            </w:r>
          </w:p>
        </w:tc>
        <w:tc>
          <w:tcPr>
            <w:tcW w:w="140" w:type="dxa"/>
            <w:vAlign w:val="bottom"/>
          </w:tcPr>
          <w:p>
            <w:pPr>
              <w:spacing w:after="0"/>
              <w:rPr>
                <w:sz w:val="10"/>
                <w:szCs w:val="10"/>
                <w:color w:val="auto"/>
              </w:rPr>
            </w:pPr>
          </w:p>
        </w:tc>
        <w:tc>
          <w:tcPr>
            <w:tcW w:w="820" w:type="dxa"/>
            <w:vAlign w:val="bottom"/>
            <w:gridSpan w:val="2"/>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215,859</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216</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266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Tower Arch Infolinks Media, LP (Infolinks Media Buyco, LLC)</w:t>
            </w:r>
            <w:r>
              <w:rPr>
                <w:rFonts w:ascii="Times New Roman" w:cs="Times New Roman" w:eastAsia="Times New Roman" w:hAnsi="Times New Roman"/>
                <w:sz w:val="14"/>
                <w:szCs w:val="14"/>
                <w:color w:val="auto"/>
                <w:vertAlign w:val="superscript"/>
              </w:rPr>
              <w:t>(8) (9)</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149,747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4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TPC Holding Company, LP </w:t>
            </w:r>
            <w:r>
              <w:rPr>
                <w:rFonts w:ascii="Times New Roman" w:cs="Times New Roman" w:eastAsia="Times New Roman" w:hAnsi="Times New Roman"/>
                <w:sz w:val="14"/>
                <w:szCs w:val="14"/>
                <w:color w:val="auto"/>
                <w:vertAlign w:val="superscript"/>
              </w:rPr>
              <w:t>(5), (7), (10)</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Food Products</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21,527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4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TWD Parent Holdings, LLC (The Vertex Companies, LLC) </w:t>
            </w:r>
            <w:r>
              <w:rPr>
                <w:rFonts w:ascii="Times New Roman" w:cs="Times New Roman" w:eastAsia="Times New Roman" w:hAnsi="Times New Roman"/>
                <w:sz w:val="14"/>
                <w:szCs w:val="14"/>
                <w:color w:val="auto"/>
                <w:vertAlign w:val="superscript"/>
              </w:rPr>
              <w:t>(7)</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Construction &amp; Engineering</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UniTek Global Services, Inc. </w:t>
            </w:r>
            <w:r>
              <w:rPr>
                <w:rFonts w:ascii="Times New Roman" w:cs="Times New Roman" w:eastAsia="Times New Roman" w:hAnsi="Times New Roman"/>
                <w:sz w:val="14"/>
                <w:szCs w:val="14"/>
                <w:color w:val="auto"/>
                <w:vertAlign w:val="superscript"/>
              </w:rPr>
              <w:t>(7)</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213,739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4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UniTek Global Services, Inc. (Warrants) </w:t>
            </w:r>
            <w:r>
              <w:rPr>
                <w:rFonts w:ascii="Times New Roman" w:cs="Times New Roman" w:eastAsia="Times New Roman" w:hAnsi="Times New Roman"/>
                <w:sz w:val="14"/>
                <w:szCs w:val="14"/>
                <w:color w:val="auto"/>
                <w:vertAlign w:val="superscript"/>
              </w:rPr>
              <w:t>(7)</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23,889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4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UniVista Insurance </w:t>
            </w:r>
            <w:r>
              <w:rPr>
                <w:rFonts w:ascii="Times New Roman" w:cs="Times New Roman" w:eastAsia="Times New Roman" w:hAnsi="Times New Roman"/>
                <w:sz w:val="14"/>
                <w:szCs w:val="14"/>
                <w:color w:val="auto"/>
                <w:vertAlign w:val="superscript"/>
              </w:rPr>
              <w:t>(7),(8)</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393</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Wildcat Parent, LP (Wildcat Buyerco, Inc.) </w:t>
            </w:r>
            <w:r>
              <w:rPr>
                <w:rFonts w:ascii="Times New Roman" w:cs="Times New Roman" w:eastAsia="Times New Roman" w:hAnsi="Times New Roman"/>
                <w:sz w:val="14"/>
                <w:szCs w:val="14"/>
                <w:color w:val="auto"/>
                <w:vertAlign w:val="superscript"/>
              </w:rPr>
              <w:t>(7), (8)</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2,240</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224</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Total Common Equity/Warrants</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50,087</w:t>
            </w: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91,742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460" w:type="dxa"/>
            <w:vAlign w:val="bottom"/>
            <w:gridSpan w:val="2"/>
          </w:tcPr>
          <w:p>
            <w:pPr>
              <w:ind w:left="20"/>
              <w:spacing w:after="0" w:line="110" w:lineRule="exact"/>
              <w:rPr>
                <w:sz w:val="20"/>
                <w:szCs w:val="20"/>
                <w:color w:val="auto"/>
              </w:rPr>
            </w:pPr>
            <w:r>
              <w:rPr>
                <w:rFonts w:ascii="Times New Roman" w:cs="Times New Roman" w:eastAsia="Times New Roman" w:hAnsi="Times New Roman"/>
                <w:sz w:val="11"/>
                <w:szCs w:val="11"/>
                <w:b w:val="1"/>
                <w:bCs w:val="1"/>
                <w:color w:val="auto"/>
                <w:w w:val="98"/>
              </w:rPr>
              <w:t>Total Investments in Non-Controlled, Non-Affiliated Portfolio Companies</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901,437</w:t>
            </w:r>
          </w:p>
        </w:tc>
        <w:tc>
          <w:tcPr>
            <w:tcW w:w="1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933,041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46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0"/>
                <w:szCs w:val="10"/>
                <w:b w:val="1"/>
                <w:bCs w:val="1"/>
                <w:color w:val="auto"/>
              </w:rPr>
              <w:t xml:space="preserve">Investments in Controlled, Affiliated Portfolio Companies—49.9% </w:t>
            </w:r>
            <w:r>
              <w:rPr>
                <w:rFonts w:ascii="Times New Roman" w:cs="Times New Roman" w:eastAsia="Times New Roman" w:hAnsi="Times New Roman"/>
                <w:sz w:val="13"/>
                <w:szCs w:val="13"/>
                <w:b w:val="1"/>
                <w:bCs w:val="1"/>
                <w:color w:val="auto"/>
                <w:vertAlign w:val="superscript"/>
              </w:rPr>
              <w:t>(3), (4)</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46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1"/>
                <w:szCs w:val="11"/>
                <w:b w:val="1"/>
                <w:bCs w:val="1"/>
                <w:color w:val="auto"/>
              </w:rPr>
              <w:t>First Lien Secured Debt—38.5%</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46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Marketplace Events, LLC - Super Priority First Lien Term Loan </w:t>
            </w:r>
            <w:r>
              <w:rPr>
                <w:rFonts w:ascii="Times New Roman" w:cs="Times New Roman" w:eastAsia="Times New Roman" w:hAnsi="Times New Roman"/>
                <w:sz w:val="14"/>
                <w:szCs w:val="14"/>
                <w:color w:val="auto"/>
                <w:vertAlign w:val="superscript"/>
              </w:rPr>
              <w:t>(7)</w:t>
            </w:r>
          </w:p>
        </w:tc>
        <w:tc>
          <w:tcPr>
            <w:tcW w:w="6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09/30/2025</w:t>
            </w:r>
          </w:p>
        </w:tc>
        <w:tc>
          <w:tcPr>
            <w:tcW w:w="20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6.25 %</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3,528</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3,528</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3,528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Marketplace Events, LLC - Super Priority First Lien </w:t>
            </w:r>
            <w:r>
              <w:rPr>
                <w:rFonts w:ascii="Times New Roman" w:cs="Times New Roman" w:eastAsia="Times New Roman" w:hAnsi="Times New Roman"/>
                <w:sz w:val="14"/>
                <w:szCs w:val="14"/>
                <w:color w:val="auto"/>
                <w:vertAlign w:val="superscript"/>
              </w:rPr>
              <w:t>(7), (9)</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(PIK 6.25%)</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gridSpan w:val="2"/>
            <w:vMerge w:val="continue"/>
          </w:tcPr>
          <w:p>
            <w:pPr>
              <w:spacing w:after="0"/>
              <w:rPr>
                <w:sz w:val="11"/>
                <w:szCs w:val="11"/>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09/30/2025</w:t>
            </w:r>
          </w:p>
        </w:tc>
        <w:tc>
          <w:tcPr>
            <w:tcW w:w="20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vMerge w:val="restart"/>
          </w:tcPr>
          <w:p>
            <w:pPr>
              <w:jc w:val="right"/>
              <w:ind w:right="4"/>
              <w:spacing w:after="0"/>
              <w:rPr>
                <w:sz w:val="20"/>
                <w:szCs w:val="20"/>
                <w:color w:val="auto"/>
              </w:rPr>
            </w:pPr>
            <w:r>
              <w:rPr>
                <w:rFonts w:ascii="Times New Roman" w:cs="Times New Roman" w:eastAsia="Times New Roman" w:hAnsi="Times New Roman"/>
                <w:sz w:val="7"/>
                <w:szCs w:val="7"/>
                <w:color w:val="auto"/>
                <w:w w:val="97"/>
              </w:rPr>
              <w:t>(6)</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3,261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46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Marketplace Events, LLC</w:t>
            </w:r>
          </w:p>
        </w:tc>
        <w:tc>
          <w:tcPr>
            <w:tcW w:w="620" w:type="dxa"/>
            <w:vAlign w:val="bottom"/>
          </w:tcPr>
          <w:p>
            <w:pPr>
              <w:ind w:left="60"/>
              <w:spacing w:after="0" w:line="117" w:lineRule="exact"/>
              <w:rPr>
                <w:sz w:val="20"/>
                <w:szCs w:val="20"/>
                <w:color w:val="auto"/>
              </w:rPr>
            </w:pPr>
            <w:r>
              <w:rPr>
                <w:rFonts w:ascii="Times New Roman" w:cs="Times New Roman" w:eastAsia="Times New Roman" w:hAnsi="Times New Roman"/>
                <w:sz w:val="11"/>
                <w:szCs w:val="11"/>
                <w:color w:val="auto"/>
              </w:rPr>
              <w:t>09/30/2026</w:t>
            </w:r>
          </w:p>
        </w:tc>
        <w:tc>
          <w:tcPr>
            <w:tcW w:w="20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Media: Diversified and Production</w:t>
            </w:r>
          </w:p>
        </w:tc>
        <w:tc>
          <w:tcPr>
            <w:tcW w:w="9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0.00 %</w:t>
            </w:r>
          </w:p>
        </w:tc>
        <w:tc>
          <w:tcPr>
            <w:tcW w:w="140" w:type="dxa"/>
            <w:vAlign w:val="bottom"/>
            <w:vMerge w:val="continue"/>
          </w:tcPr>
          <w:p>
            <w:pPr>
              <w:spacing w:after="0"/>
              <w:rPr>
                <w:sz w:val="10"/>
                <w:szCs w:val="10"/>
                <w:color w:val="auto"/>
              </w:rPr>
            </w:pP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26,364</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19,047</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26,364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PennantPark Senior Secured Loan Fund I LLC </w:t>
            </w:r>
            <w:r>
              <w:rPr>
                <w:rFonts w:ascii="Times New Roman" w:cs="Times New Roman" w:eastAsia="Times New Roman" w:hAnsi="Times New Roman"/>
                <w:sz w:val="14"/>
                <w:szCs w:val="14"/>
                <w:color w:val="auto"/>
                <w:vertAlign w:val="superscript"/>
              </w:rPr>
              <w:t>(7), (9), (10)</w:t>
            </w:r>
          </w:p>
        </w:tc>
        <w:tc>
          <w:tcPr>
            <w:tcW w:w="6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05/06/2024</w:t>
            </w:r>
          </w:p>
        </w:tc>
        <w:tc>
          <w:tcPr>
            <w:tcW w:w="20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Financial Services</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8.25 %</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170,275</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170,275</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170,275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192,849</w:t>
            </w: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200,167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3460" w:type="dxa"/>
            <w:vAlign w:val="bottom"/>
            <w:gridSpan w:val="2"/>
          </w:tcPr>
          <w:p>
            <w:pPr>
              <w:ind w:left="20"/>
              <w:spacing w:after="0" w:line="97" w:lineRule="exact"/>
              <w:rPr>
                <w:sz w:val="20"/>
                <w:szCs w:val="20"/>
                <w:color w:val="auto"/>
              </w:rPr>
            </w:pPr>
            <w:r>
              <w:rPr>
                <w:rFonts w:ascii="Times New Roman" w:cs="Times New Roman" w:eastAsia="Times New Roman" w:hAnsi="Times New Roman"/>
                <w:sz w:val="11"/>
                <w:szCs w:val="11"/>
                <w:b w:val="1"/>
                <w:bCs w:val="1"/>
                <w:color w:val="auto"/>
              </w:rPr>
              <w:t>Equity Interests—11.4%</w:t>
            </w: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4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New MPE Holdings, LLC (Marketplace Events, LLC) </w:t>
            </w:r>
            <w:r>
              <w:rPr>
                <w:rFonts w:ascii="Times New Roman" w:cs="Times New Roman" w:eastAsia="Times New Roman" w:hAnsi="Times New Roman"/>
                <w:sz w:val="14"/>
                <w:szCs w:val="14"/>
                <w:color w:val="auto"/>
                <w:vertAlign w:val="superscript"/>
              </w:rPr>
              <w:t>(7),(8)</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PennantPark Senior Secured Loan Fund I LLC </w:t>
            </w:r>
            <w:r>
              <w:rPr>
                <w:rFonts w:ascii="Times New Roman" w:cs="Times New Roman" w:eastAsia="Times New Roman" w:hAnsi="Times New Roman"/>
                <w:sz w:val="14"/>
                <w:szCs w:val="14"/>
                <w:color w:val="auto"/>
                <w:vertAlign w:val="superscript"/>
              </w:rPr>
              <w:t>(7), (9), (10)</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Financial Services</w:t>
            </w: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72,975</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72,975</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55,405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Total Equity Interests</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72,975</w:t>
            </w: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59,405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6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in Controlled, Affiliated Portfolio Companies</w:t>
            </w:r>
          </w:p>
        </w:tc>
        <w:tc>
          <w:tcPr>
            <w:tcW w:w="62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234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265,824</w:t>
            </w:r>
          </w:p>
        </w:tc>
        <w:tc>
          <w:tcPr>
            <w:tcW w:w="16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259,571</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Investments—229.4%</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1,167,262</w:t>
            </w: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1,192,613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6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Equivalents—9.6%</w:t>
            </w:r>
          </w:p>
        </w:tc>
        <w:tc>
          <w:tcPr>
            <w:tcW w:w="6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27,211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27,211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BNY Mellon Cash</w:t>
            </w:r>
          </w:p>
        </w:tc>
        <w:tc>
          <w:tcPr>
            <w:tcW w:w="62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234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22,841</w:t>
            </w:r>
          </w:p>
        </w:tc>
        <w:tc>
          <w:tcPr>
            <w:tcW w:w="16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22,853</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50,053</w:t>
            </w: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50,064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46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Equivalents—239.0%</w:t>
            </w:r>
          </w:p>
        </w:tc>
        <w:tc>
          <w:tcPr>
            <w:tcW w:w="620" w:type="dxa"/>
            <w:vAlign w:val="bottom"/>
            <w:tcBorders>
              <w:bottom w:val="single" w:sz="8" w:color="CCECFF"/>
            </w:tcBorders>
            <w:shd w:val="clear" w:color="auto" w:fill="CCECFF"/>
          </w:tcPr>
          <w:p>
            <w:pPr>
              <w:spacing w:after="0"/>
              <w:rPr>
                <w:sz w:val="14"/>
                <w:szCs w:val="14"/>
                <w:color w:val="auto"/>
              </w:rPr>
            </w:pPr>
          </w:p>
        </w:tc>
        <w:tc>
          <w:tcPr>
            <w:tcW w:w="200" w:type="dxa"/>
            <w:vAlign w:val="bottom"/>
            <w:tcBorders>
              <w:bottom w:val="single" w:sz="8" w:color="CCECFF"/>
            </w:tcBorders>
            <w:shd w:val="clear" w:color="auto" w:fill="CCECFF"/>
          </w:tcPr>
          <w:p>
            <w:pPr>
              <w:spacing w:after="0"/>
              <w:rPr>
                <w:sz w:val="14"/>
                <w:szCs w:val="14"/>
                <w:color w:val="auto"/>
              </w:rPr>
            </w:pPr>
          </w:p>
        </w:tc>
        <w:tc>
          <w:tcPr>
            <w:tcW w:w="2340" w:type="dxa"/>
            <w:vAlign w:val="bottom"/>
            <w:tcBorders>
              <w:bottom w:val="single" w:sz="8" w:color="CCECFF"/>
            </w:tcBorders>
            <w:shd w:val="clear" w:color="auto" w:fill="CCECFF"/>
          </w:tcPr>
          <w:p>
            <w:pPr>
              <w:spacing w:after="0"/>
              <w:rPr>
                <w:sz w:val="14"/>
                <w:szCs w:val="14"/>
                <w:color w:val="auto"/>
              </w:rPr>
            </w:pPr>
          </w:p>
        </w:tc>
        <w:tc>
          <w:tcPr>
            <w:tcW w:w="140" w:type="dxa"/>
            <w:vAlign w:val="bottom"/>
            <w:tcBorders>
              <w:bottom w:val="single" w:sz="8" w:color="CCECFF"/>
            </w:tcBorders>
            <w:shd w:val="clear" w:color="auto" w:fill="CCECFF"/>
          </w:tcPr>
          <w:p>
            <w:pPr>
              <w:spacing w:after="0"/>
              <w:rPr>
                <w:sz w:val="14"/>
                <w:szCs w:val="14"/>
                <w:color w:val="auto"/>
              </w:rPr>
            </w:pPr>
          </w:p>
        </w:tc>
        <w:tc>
          <w:tcPr>
            <w:tcW w:w="70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bottom w:val="single" w:sz="8" w:color="CCECFF"/>
            </w:tcBorders>
            <w:shd w:val="clear" w:color="auto" w:fill="CCECFF"/>
          </w:tcPr>
          <w:p>
            <w:pPr>
              <w:spacing w:after="0"/>
              <w:rPr>
                <w:sz w:val="14"/>
                <w:szCs w:val="14"/>
                <w:color w:val="auto"/>
              </w:rPr>
            </w:pPr>
          </w:p>
        </w:tc>
        <w:tc>
          <w:tcPr>
            <w:tcW w:w="140" w:type="dxa"/>
            <w:vAlign w:val="bottom"/>
            <w:tcBorders>
              <w:bottom w:val="single" w:sz="8" w:color="CCECFF"/>
            </w:tcBorders>
            <w:shd w:val="clear" w:color="auto" w:fill="CCECFF"/>
          </w:tcPr>
          <w:p>
            <w:pPr>
              <w:spacing w:after="0"/>
              <w:rPr>
                <w:sz w:val="14"/>
                <w:szCs w:val="14"/>
                <w:color w:val="auto"/>
              </w:rPr>
            </w:pPr>
          </w:p>
        </w:tc>
        <w:tc>
          <w:tcPr>
            <w:tcW w:w="760" w:type="dxa"/>
            <w:vAlign w:val="bottom"/>
            <w:tcBorders>
              <w:bottom w:val="single" w:sz="8" w:color="CCECFF"/>
            </w:tcBorders>
            <w:shd w:val="clear" w:color="auto" w:fill="CCECFF"/>
          </w:tcPr>
          <w:p>
            <w:pPr>
              <w:spacing w:after="0"/>
              <w:rPr>
                <w:sz w:val="14"/>
                <w:szCs w:val="14"/>
                <w:color w:val="auto"/>
              </w:rPr>
            </w:pPr>
          </w:p>
        </w:tc>
        <w:tc>
          <w:tcPr>
            <w:tcW w:w="160" w:type="dxa"/>
            <w:vAlign w:val="bottom"/>
            <w:tcBorders>
              <w:bottom w:val="single" w:sz="8" w:color="CCECFF"/>
            </w:tcBorders>
            <w:shd w:val="clear" w:color="auto" w:fill="CCECFF"/>
          </w:tcPr>
          <w:p>
            <w:pPr>
              <w:spacing w:after="0"/>
              <w:rPr>
                <w:sz w:val="14"/>
                <w:szCs w:val="14"/>
                <w:color w:val="auto"/>
              </w:rPr>
            </w:pPr>
          </w:p>
        </w:tc>
        <w:tc>
          <w:tcPr>
            <w:tcW w:w="760" w:type="dxa"/>
            <w:vAlign w:val="bottom"/>
            <w:tcBorders>
              <w:bottom w:val="single" w:sz="8" w:color="CCECFF"/>
            </w:tcBorders>
            <w:shd w:val="clear" w:color="auto" w:fill="CCECFF"/>
          </w:tcPr>
          <w:p>
            <w:pPr>
              <w:spacing w:after="0"/>
              <w:rPr>
                <w:sz w:val="14"/>
                <w:szCs w:val="14"/>
                <w:color w:val="auto"/>
              </w:rPr>
            </w:pPr>
          </w:p>
        </w:tc>
        <w:tc>
          <w:tcPr>
            <w:tcW w:w="160" w:type="dxa"/>
            <w:vAlign w:val="bottom"/>
            <w:tcBorders>
              <w:bottom w:val="single" w:sz="8" w:color="CCECFF"/>
            </w:tcBorders>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1,217,314</w:t>
            </w:r>
          </w:p>
        </w:tc>
        <w:tc>
          <w:tcPr>
            <w:tcW w:w="160" w:type="dxa"/>
            <w:vAlign w:val="bottom"/>
            <w:tcBorders>
              <w:bottom w:val="single" w:sz="8" w:color="CCECFF"/>
            </w:tcBorders>
            <w:shd w:val="clear" w:color="auto" w:fill="CCECFF"/>
          </w:tcPr>
          <w:p>
            <w:pPr>
              <w:spacing w:after="0"/>
              <w:rPr>
                <w:sz w:val="14"/>
                <w:szCs w:val="14"/>
                <w:color w:val="auto"/>
              </w:rPr>
            </w:pPr>
          </w:p>
        </w:tc>
        <w:tc>
          <w:tcPr>
            <w:tcW w:w="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1,242,676</w:t>
            </w:r>
          </w:p>
        </w:tc>
        <w:tc>
          <w:tcPr>
            <w:tcW w:w="4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460" w:type="dxa"/>
            <w:vAlign w:val="bottom"/>
            <w:gridSpan w:val="2"/>
          </w:tcPr>
          <w:p>
            <w:pPr>
              <w:ind w:left="20"/>
              <w:spacing w:after="0" w:line="116" w:lineRule="exact"/>
              <w:rPr>
                <w:sz w:val="20"/>
                <w:szCs w:val="20"/>
                <w:color w:val="auto"/>
              </w:rPr>
            </w:pPr>
            <w:r>
              <w:rPr>
                <w:rFonts w:ascii="Times New Roman" w:cs="Times New Roman" w:eastAsia="Times New Roman" w:hAnsi="Times New Roman"/>
                <w:sz w:val="11"/>
                <w:szCs w:val="11"/>
                <w:b w:val="1"/>
                <w:bCs w:val="1"/>
                <w:color w:val="auto"/>
              </w:rPr>
              <w:t>Liabilities in Excess of Other Assets—(139.0)%</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(722,690 )</w:t>
            </w:r>
          </w:p>
        </w:tc>
        <w:tc>
          <w:tcPr>
            <w:tcW w:w="0" w:type="dxa"/>
            <w:vAlign w:val="bottom"/>
          </w:tcPr>
          <w:p>
            <w:pPr>
              <w:spacing w:after="0"/>
              <w:rPr>
                <w:sz w:val="1"/>
                <w:szCs w:val="1"/>
                <w:color w:val="auto"/>
              </w:rPr>
            </w:pPr>
          </w:p>
        </w:tc>
      </w:tr>
      <w:tr>
        <w:trPr>
          <w:trHeight w:val="168"/>
        </w:trPr>
        <w:tc>
          <w:tcPr>
            <w:tcW w:w="346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Net Assets—100.0%</w:t>
            </w:r>
          </w:p>
        </w:tc>
        <w:tc>
          <w:tcPr>
            <w:tcW w:w="620" w:type="dxa"/>
            <w:vAlign w:val="bottom"/>
            <w:tcBorders>
              <w:bottom w:val="single" w:sz="8" w:color="CCECFF"/>
            </w:tcBorders>
            <w:shd w:val="clear" w:color="auto" w:fill="CCECFF"/>
          </w:tcPr>
          <w:p>
            <w:pPr>
              <w:spacing w:after="0"/>
              <w:rPr>
                <w:sz w:val="14"/>
                <w:szCs w:val="14"/>
                <w:color w:val="auto"/>
              </w:rPr>
            </w:pPr>
          </w:p>
        </w:tc>
        <w:tc>
          <w:tcPr>
            <w:tcW w:w="200" w:type="dxa"/>
            <w:vAlign w:val="bottom"/>
            <w:tcBorders>
              <w:bottom w:val="single" w:sz="8" w:color="CCECFF"/>
            </w:tcBorders>
            <w:shd w:val="clear" w:color="auto" w:fill="CCECFF"/>
          </w:tcPr>
          <w:p>
            <w:pPr>
              <w:spacing w:after="0"/>
              <w:rPr>
                <w:sz w:val="14"/>
                <w:szCs w:val="14"/>
                <w:color w:val="auto"/>
              </w:rPr>
            </w:pPr>
          </w:p>
        </w:tc>
        <w:tc>
          <w:tcPr>
            <w:tcW w:w="2340" w:type="dxa"/>
            <w:vAlign w:val="bottom"/>
            <w:tcBorders>
              <w:bottom w:val="single" w:sz="8" w:color="CCECFF"/>
            </w:tcBorders>
            <w:shd w:val="clear" w:color="auto" w:fill="CCECFF"/>
          </w:tcPr>
          <w:p>
            <w:pPr>
              <w:spacing w:after="0"/>
              <w:rPr>
                <w:sz w:val="14"/>
                <w:szCs w:val="14"/>
                <w:color w:val="auto"/>
              </w:rPr>
            </w:pPr>
          </w:p>
        </w:tc>
        <w:tc>
          <w:tcPr>
            <w:tcW w:w="140" w:type="dxa"/>
            <w:vAlign w:val="bottom"/>
            <w:tcBorders>
              <w:bottom w:val="single" w:sz="8" w:color="CCECFF"/>
            </w:tcBorders>
            <w:shd w:val="clear" w:color="auto" w:fill="CCECFF"/>
          </w:tcPr>
          <w:p>
            <w:pPr>
              <w:spacing w:after="0"/>
              <w:rPr>
                <w:sz w:val="14"/>
                <w:szCs w:val="14"/>
                <w:color w:val="auto"/>
              </w:rPr>
            </w:pPr>
          </w:p>
        </w:tc>
        <w:tc>
          <w:tcPr>
            <w:tcW w:w="70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bottom w:val="single" w:sz="8" w:color="CCECFF"/>
            </w:tcBorders>
            <w:shd w:val="clear" w:color="auto" w:fill="CCECFF"/>
          </w:tcPr>
          <w:p>
            <w:pPr>
              <w:spacing w:after="0"/>
              <w:rPr>
                <w:sz w:val="14"/>
                <w:szCs w:val="14"/>
                <w:color w:val="auto"/>
              </w:rPr>
            </w:pPr>
          </w:p>
        </w:tc>
        <w:tc>
          <w:tcPr>
            <w:tcW w:w="140" w:type="dxa"/>
            <w:vAlign w:val="bottom"/>
            <w:tcBorders>
              <w:bottom w:val="single" w:sz="8" w:color="CCECFF"/>
            </w:tcBorders>
            <w:shd w:val="clear" w:color="auto" w:fill="CCECFF"/>
          </w:tcPr>
          <w:p>
            <w:pPr>
              <w:spacing w:after="0"/>
              <w:rPr>
                <w:sz w:val="14"/>
                <w:szCs w:val="14"/>
                <w:color w:val="auto"/>
              </w:rPr>
            </w:pPr>
          </w:p>
        </w:tc>
        <w:tc>
          <w:tcPr>
            <w:tcW w:w="760" w:type="dxa"/>
            <w:vAlign w:val="bottom"/>
            <w:tcBorders>
              <w:bottom w:val="single" w:sz="8" w:color="CCECFF"/>
            </w:tcBorders>
            <w:shd w:val="clear" w:color="auto" w:fill="CCECFF"/>
          </w:tcPr>
          <w:p>
            <w:pPr>
              <w:spacing w:after="0"/>
              <w:rPr>
                <w:sz w:val="14"/>
                <w:szCs w:val="14"/>
                <w:color w:val="auto"/>
              </w:rPr>
            </w:pPr>
          </w:p>
        </w:tc>
        <w:tc>
          <w:tcPr>
            <w:tcW w:w="160" w:type="dxa"/>
            <w:vAlign w:val="bottom"/>
            <w:tcBorders>
              <w:bottom w:val="single" w:sz="8" w:color="CCECFF"/>
            </w:tcBorders>
            <w:shd w:val="clear" w:color="auto" w:fill="CCECFF"/>
          </w:tcPr>
          <w:p>
            <w:pPr>
              <w:spacing w:after="0"/>
              <w:rPr>
                <w:sz w:val="14"/>
                <w:szCs w:val="14"/>
                <w:color w:val="auto"/>
              </w:rPr>
            </w:pPr>
          </w:p>
        </w:tc>
        <w:tc>
          <w:tcPr>
            <w:tcW w:w="760" w:type="dxa"/>
            <w:vAlign w:val="bottom"/>
            <w:tcBorders>
              <w:bottom w:val="single" w:sz="8" w:color="CCECFF"/>
            </w:tcBorders>
            <w:shd w:val="clear" w:color="auto" w:fill="CCECFF"/>
          </w:tcPr>
          <w:p>
            <w:pPr>
              <w:spacing w:after="0"/>
              <w:rPr>
                <w:sz w:val="14"/>
                <w:szCs w:val="14"/>
                <w:color w:val="auto"/>
              </w:rPr>
            </w:pPr>
          </w:p>
        </w:tc>
        <w:tc>
          <w:tcPr>
            <w:tcW w:w="160" w:type="dxa"/>
            <w:vAlign w:val="bottom"/>
            <w:tcBorders>
              <w:bottom w:val="single" w:sz="8" w:color="CCECFF"/>
            </w:tcBorders>
            <w:shd w:val="clear" w:color="auto" w:fill="CCECFF"/>
          </w:tcPr>
          <w:p>
            <w:pPr>
              <w:spacing w:after="0"/>
              <w:rPr>
                <w:sz w:val="14"/>
                <w:szCs w:val="14"/>
                <w:color w:val="auto"/>
              </w:rPr>
            </w:pPr>
          </w:p>
        </w:tc>
        <w:tc>
          <w:tcPr>
            <w:tcW w:w="160" w:type="dxa"/>
            <w:vAlign w:val="bottom"/>
            <w:tcBorders>
              <w:bottom w:val="single" w:sz="8" w:color="CCECFF"/>
            </w:tcBorders>
            <w:shd w:val="clear" w:color="auto" w:fill="CCECFF"/>
          </w:tcPr>
          <w:p>
            <w:pPr>
              <w:spacing w:after="0"/>
              <w:rPr>
                <w:sz w:val="14"/>
                <w:szCs w:val="14"/>
                <w:color w:val="auto"/>
              </w:rPr>
            </w:pPr>
          </w:p>
        </w:tc>
        <w:tc>
          <w:tcPr>
            <w:tcW w:w="580" w:type="dxa"/>
            <w:vAlign w:val="bottom"/>
            <w:tcBorders>
              <w:bottom w:val="single" w:sz="8" w:color="CCECFF"/>
            </w:tcBorders>
            <w:shd w:val="clear" w:color="auto" w:fill="CCECFF"/>
          </w:tcPr>
          <w:p>
            <w:pPr>
              <w:spacing w:after="0"/>
              <w:rPr>
                <w:sz w:val="14"/>
                <w:szCs w:val="14"/>
                <w:color w:val="auto"/>
              </w:rPr>
            </w:pPr>
          </w:p>
        </w:tc>
        <w:tc>
          <w:tcPr>
            <w:tcW w:w="160" w:type="dxa"/>
            <w:vAlign w:val="bottom"/>
            <w:tcBorders>
              <w:bottom w:val="single" w:sz="8" w:color="CCECFF"/>
            </w:tcBorders>
            <w:shd w:val="clear" w:color="auto" w:fill="CCECFF"/>
          </w:tcPr>
          <w:p>
            <w:pPr>
              <w:spacing w:after="0"/>
              <w:rPr>
                <w:sz w:val="14"/>
                <w:szCs w:val="14"/>
                <w:color w:val="auto"/>
              </w:rPr>
            </w:pPr>
          </w:p>
        </w:tc>
        <w:tc>
          <w:tcPr>
            <w:tcW w:w="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519,986</w:t>
            </w:r>
          </w:p>
        </w:tc>
        <w:tc>
          <w:tcPr>
            <w:tcW w:w="4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-3590925</wp:posOffset>
            </wp:positionV>
            <wp:extent cx="7132320" cy="939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-3154045</wp:posOffset>
            </wp:positionV>
            <wp:extent cx="7132320" cy="1714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-2896870</wp:posOffset>
            </wp:positionV>
            <wp:extent cx="7132320" cy="8572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-2725420</wp:posOffset>
            </wp:positionV>
            <wp:extent cx="7132320" cy="857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-2553970</wp:posOffset>
            </wp:positionV>
            <wp:extent cx="7132320" cy="857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-2382520</wp:posOffset>
            </wp:positionV>
            <wp:extent cx="7132320" cy="8572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-2211070</wp:posOffset>
            </wp:positionV>
            <wp:extent cx="7132320" cy="939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-2022475</wp:posOffset>
            </wp:positionV>
            <wp:extent cx="7132320" cy="939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-1842770</wp:posOffset>
            </wp:positionV>
            <wp:extent cx="7132320" cy="8572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-1585595</wp:posOffset>
            </wp:positionV>
            <wp:extent cx="7132320" cy="857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-1414145</wp:posOffset>
            </wp:positionV>
            <wp:extent cx="7132320" cy="946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-1224915</wp:posOffset>
            </wp:positionV>
            <wp:extent cx="7132320" cy="857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-1053465</wp:posOffset>
            </wp:positionV>
            <wp:extent cx="7132320" cy="939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-779145</wp:posOffset>
            </wp:positionV>
            <wp:extent cx="260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-779145</wp:posOffset>
            </wp:positionV>
            <wp:extent cx="260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-419100</wp:posOffset>
            </wp:positionV>
            <wp:extent cx="260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-419100</wp:posOffset>
            </wp:positionV>
            <wp:extent cx="260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-230505</wp:posOffset>
            </wp:positionV>
            <wp:extent cx="260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-213995</wp:posOffset>
            </wp:positionV>
            <wp:extent cx="2603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-230505</wp:posOffset>
            </wp:positionV>
            <wp:extent cx="260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-213995</wp:posOffset>
            </wp:positionV>
            <wp:extent cx="2603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-24765</wp:posOffset>
            </wp:positionV>
            <wp:extent cx="260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-7620</wp:posOffset>
            </wp:positionV>
            <wp:extent cx="260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 w:lineRule="exact"/>
        <w:rPr>
          <w:sz w:val="20"/>
          <w:szCs w:val="20"/>
          <w:color w:val="auto"/>
        </w:rPr>
      </w:pPr>
    </w:p>
    <w:p>
      <w:pPr>
        <w:ind w:left="380" w:hanging="372"/>
        <w:spacing w:after="0" w:line="216" w:lineRule="auto"/>
        <w:tabs>
          <w:tab w:leader="none" w:pos="409" w:val="left"/>
        </w:tabs>
        <w:numPr>
          <w:ilvl w:val="0"/>
          <w:numId w:val="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Represents floating rate instruments that accrue interest at a predetermined spread relative to an index, typically the applicable London Interbank Offered Rate, or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payment-in-kind, or PIK, interest and other fee rates, if any.</w:t>
      </w:r>
    </w:p>
    <w:p>
      <w:pPr>
        <w:spacing w:after="0" w:line="1" w:lineRule="exact"/>
        <w:rPr>
          <w:rFonts w:ascii="Times New Roman" w:cs="Times New Roman" w:eastAsia="Times New Roman" w:hAnsi="Times New Roman"/>
          <w:sz w:val="16"/>
          <w:szCs w:val="16"/>
          <w:color w:val="auto"/>
          <w:vertAlign w:val="superscript"/>
        </w:rPr>
      </w:pPr>
    </w:p>
    <w:p>
      <w:pPr>
        <w:ind w:left="380" w:hanging="372"/>
        <w:spacing w:after="0" w:line="187" w:lineRule="auto"/>
        <w:tabs>
          <w:tab w:leader="none" w:pos="380" w:val="left"/>
        </w:tabs>
        <w:numPr>
          <w:ilvl w:val="0"/>
          <w:numId w:val="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Valued based on our accounting policy (See Note 2). The value of all securities was determined using significant unobservable inputs (See Note 5).</w:t>
      </w:r>
    </w:p>
    <w:p>
      <w:pPr>
        <w:ind w:left="380" w:right="220" w:hanging="372"/>
        <w:spacing w:after="0" w:line="201" w:lineRule="auto"/>
        <w:tabs>
          <w:tab w:leader="none" w:pos="380" w:val="left"/>
        </w:tabs>
        <w:numPr>
          <w:ilvl w:val="0"/>
          <w:numId w:val="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380" w:hanging="372"/>
        <w:spacing w:after="0" w:line="191" w:lineRule="auto"/>
        <w:tabs>
          <w:tab w:leader="none" w:pos="380" w:val="left"/>
        </w:tabs>
        <w:numPr>
          <w:ilvl w:val="0"/>
          <w:numId w:val="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ind w:left="380" w:hanging="372"/>
        <w:spacing w:after="0" w:line="187" w:lineRule="auto"/>
        <w:tabs>
          <w:tab w:leader="none" w:pos="380" w:val="left"/>
        </w:tabs>
        <w:numPr>
          <w:ilvl w:val="0"/>
          <w:numId w:val="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Non-U.S. company or principal place of business outside the United States.</w:t>
      </w:r>
    </w:p>
    <w:p>
      <w:pPr>
        <w:ind w:left="380" w:hanging="372"/>
        <w:spacing w:after="0" w:line="187" w:lineRule="auto"/>
        <w:tabs>
          <w:tab w:leader="none" w:pos="380" w:val="left"/>
        </w:tabs>
        <w:numPr>
          <w:ilvl w:val="0"/>
          <w:numId w:val="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Non-income producing securities.</w:t>
      </w:r>
    </w:p>
    <w:p>
      <w:pPr>
        <w:ind w:left="380" w:hanging="372"/>
        <w:spacing w:after="0" w:line="187" w:lineRule="auto"/>
        <w:tabs>
          <w:tab w:leader="none" w:pos="380" w:val="left"/>
        </w:tabs>
        <w:numPr>
          <w:ilvl w:val="0"/>
          <w:numId w:val="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The securities, or a portion thereof, are not 1) pledged as collateral under the Credit Facility and held through Funding I; or, 2) securing the 2031 Asset-Backed Debt (See Note 10) and held through PennantPark CLO I, Ltd.</w:t>
      </w:r>
    </w:p>
    <w:p>
      <w:pPr>
        <w:ind w:left="380" w:hanging="372"/>
        <w:spacing w:after="0" w:line="187" w:lineRule="auto"/>
        <w:tabs>
          <w:tab w:leader="none" w:pos="380" w:val="left"/>
        </w:tabs>
        <w:numPr>
          <w:ilvl w:val="0"/>
          <w:numId w:val="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Investment is held through our Taxable Subsidiary (See Note 1).</w:t>
      </w:r>
    </w:p>
    <w:p>
      <w:pPr>
        <w:ind w:left="380" w:hanging="372"/>
        <w:spacing w:after="0" w:line="187" w:lineRule="auto"/>
        <w:tabs>
          <w:tab w:leader="none" w:pos="380" w:val="left"/>
        </w:tabs>
        <w:numPr>
          <w:ilvl w:val="0"/>
          <w:numId w:val="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ind w:left="380" w:right="20" w:hanging="372"/>
        <w:spacing w:after="0" w:line="201" w:lineRule="auto"/>
        <w:tabs>
          <w:tab w:leader="none" w:pos="380" w:val="left"/>
        </w:tabs>
        <w:numPr>
          <w:ilvl w:val="0"/>
          <w:numId w:val="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March 31, 2022, qualifying assets represent 80% of our total assets and non-qualifying assets represent 20% of our total assets.</w:t>
      </w:r>
    </w:p>
    <w:p>
      <w:pPr>
        <w:ind w:left="380" w:hanging="372"/>
        <w:spacing w:after="0" w:line="191" w:lineRule="auto"/>
        <w:tabs>
          <w:tab w:leader="none" w:pos="380" w:val="left"/>
        </w:tabs>
        <w:numPr>
          <w:ilvl w:val="0"/>
          <w:numId w:val="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Par amount is denominated in Australian Dollars (AUD) as denoted.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2" w:name="page13"/>
    <w:bookmarkEnd w:id="12"/>
    <w:p>
      <w:pPr>
        <w:ind w:left="3260"/>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SEPTEMBER 30, 2021</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ectPr>
          <w:pgSz w:w="11900" w:h="16838" w:orient="portrait"/>
          <w:cols w:equalWidth="0" w:num="1">
            <w:col w:w="11240"/>
          </w:cols>
          <w:pgMar w:left="320" w:top="317" w:right="339" w:bottom="1440" w:gutter="0" w:footer="0" w:header="0"/>
        </w:sect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Current</w:t>
            </w:r>
          </w:p>
        </w:tc>
      </w:tr>
      <w:tr>
        <w:trPr>
          <w:trHeight w:val="146"/>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40" w:type="dxa"/>
            <w:vAlign w:val="bottom"/>
          </w:tcPr>
          <w:p>
            <w:pPr>
              <w:spacing w:after="0"/>
              <w:rPr>
                <w:sz w:val="12"/>
                <w:szCs w:val="12"/>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40" w:type="dxa"/>
            <w:vAlign w:val="bottom"/>
          </w:tcPr>
          <w:p>
            <w:pPr>
              <w:spacing w:after="0"/>
              <w:rPr>
                <w:sz w:val="12"/>
                <w:szCs w:val="12"/>
                <w:color w:val="auto"/>
              </w:rPr>
            </w:pPr>
          </w:p>
        </w:tc>
        <w:tc>
          <w:tcPr>
            <w:tcW w:w="70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100" w:type="dxa"/>
            <w:vAlign w:val="bottom"/>
          </w:tcPr>
          <w:p>
            <w:pPr>
              <w:spacing w:after="0"/>
              <w:rPr>
                <w:sz w:val="12"/>
                <w:szCs w:val="12"/>
                <w:color w:val="auto"/>
              </w:rPr>
            </w:pPr>
          </w:p>
        </w:tc>
      </w:tr>
      <w:tr>
        <w:trPr>
          <w:trHeight w:val="117"/>
        </w:trPr>
        <w:tc>
          <w:tcPr>
            <w:tcW w:w="4120" w:type="dxa"/>
            <w:vAlign w:val="bottom"/>
            <w:gridSpan w:val="3"/>
          </w:tcPr>
          <w:p>
            <w:pPr>
              <w:ind w:left="20"/>
              <w:spacing w:after="0" w:line="117" w:lineRule="exact"/>
              <w:rPr>
                <w:sz w:val="20"/>
                <w:szCs w:val="20"/>
                <w:color w:val="auto"/>
              </w:rPr>
            </w:pPr>
            <w:r>
              <w:rPr>
                <w:rFonts w:ascii="Times New Roman" w:cs="Times New Roman" w:eastAsia="Times New Roman" w:hAnsi="Times New Roman"/>
                <w:sz w:val="10"/>
                <w:szCs w:val="10"/>
                <w:b w:val="1"/>
                <w:bCs w:val="1"/>
                <w:color w:val="auto"/>
              </w:rPr>
              <w:t xml:space="preserve">Investments in Non-Controlled, Non-Affiliated Portfolio Companies—174.6% </w:t>
            </w:r>
            <w:r>
              <w:rPr>
                <w:rFonts w:ascii="Times New Roman" w:cs="Times New Roman" w:eastAsia="Times New Roman" w:hAnsi="Times New Roman"/>
                <w:sz w:val="13"/>
                <w:szCs w:val="13"/>
                <w:b w:val="1"/>
                <w:bCs w:val="1"/>
                <w:color w:val="auto"/>
                <w:vertAlign w:val="superscript"/>
              </w:rPr>
              <w:t>(3), (4)</w:t>
            </w:r>
          </w:p>
        </w:tc>
        <w:tc>
          <w:tcPr>
            <w:tcW w:w="14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7"/>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Debt—155.8%</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18 Freemont Street Acquisition,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08/11/2025</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Hotels, Restaurants and Leisure</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9.50 %</w:t>
            </w:r>
          </w:p>
        </w:tc>
      </w:tr>
      <w:tr>
        <w:trPr>
          <w:trHeight w:val="130"/>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Ad.net Acquisition,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05/06/2026</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7.00 %</w:t>
            </w: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Ad.net Acquisition,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05/06/2026</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7.00 %</w:t>
            </w:r>
          </w:p>
        </w:tc>
      </w:tr>
      <w:tr>
        <w:trPr>
          <w:trHeight w:val="140"/>
        </w:trPr>
        <w:tc>
          <w:tcPr>
            <w:tcW w:w="3340" w:type="dxa"/>
            <w:vAlign w:val="bottom"/>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Ad.net Acquisition, LLC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05/06/2026</w:t>
            </w:r>
          </w:p>
        </w:tc>
        <w:tc>
          <w:tcPr>
            <w:tcW w:w="14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0"/>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Altamira Technologies,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07/24/2025</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IT Services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8.00 %</w:t>
            </w: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Altamira Technologies,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07/24/2025</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IT Services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8.00 %</w:t>
            </w:r>
          </w:p>
        </w:tc>
      </w:tr>
      <w:tr>
        <w:trPr>
          <w:trHeight w:val="140"/>
        </w:trPr>
        <w:tc>
          <w:tcPr>
            <w:tcW w:w="3340" w:type="dxa"/>
            <w:vAlign w:val="bottom"/>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Altamira Technologies, LLC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07/24/2025</w:t>
            </w:r>
          </w:p>
        </w:tc>
        <w:tc>
          <w:tcPr>
            <w:tcW w:w="14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IT Services</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0"/>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12/21/2023</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Building Products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6.50 %</w:t>
            </w: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American Teleconferencing Services, Ltd.</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09/09/2021</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100" w:type="dxa"/>
            <w:vAlign w:val="bottom"/>
          </w:tcPr>
          <w:p>
            <w:pPr>
              <w:spacing w:after="0"/>
              <w:rPr>
                <w:sz w:val="11"/>
                <w:szCs w:val="11"/>
                <w:color w:val="auto"/>
              </w:rPr>
            </w:pPr>
          </w:p>
        </w:tc>
      </w:tr>
      <w:tr>
        <w:trPr>
          <w:trHeight w:val="140"/>
        </w:trPr>
        <w:tc>
          <w:tcPr>
            <w:tcW w:w="3340" w:type="dxa"/>
            <w:vAlign w:val="bottom"/>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American Teleconferencing Services, Ltd.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12/08/2022</w:t>
            </w:r>
          </w:p>
        </w:tc>
        <w:tc>
          <w:tcPr>
            <w:tcW w:w="14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100" w:type="dxa"/>
            <w:vAlign w:val="bottom"/>
          </w:tcPr>
          <w:p>
            <w:pPr>
              <w:spacing w:after="0"/>
              <w:rPr>
                <w:sz w:val="12"/>
                <w:szCs w:val="12"/>
                <w:color w:val="auto"/>
              </w:rPr>
            </w:pPr>
          </w:p>
        </w:tc>
      </w:tr>
      <w:tr>
        <w:trPr>
          <w:trHeight w:val="130"/>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Any Hour Services</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07/21/2027</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Energy Equipment and Services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6.75 %</w:t>
            </w: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Any Hour Services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07/21/2027</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Energy Equipment and Services</w:t>
            </w:r>
          </w:p>
        </w:tc>
        <w:tc>
          <w:tcPr>
            <w:tcW w:w="14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40"/>
        </w:trPr>
        <w:tc>
          <w:tcPr>
            <w:tcW w:w="3340" w:type="dxa"/>
            <w:vAlign w:val="bottom"/>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Any Hour Services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07/21/2027</w:t>
            </w:r>
          </w:p>
        </w:tc>
        <w:tc>
          <w:tcPr>
            <w:tcW w:w="14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Energy Equipment and Services</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07/31/2025</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6.25 %</w:t>
            </w:r>
          </w:p>
        </w:tc>
      </w:tr>
      <w:tr>
        <w:trPr>
          <w:trHeight w:val="135"/>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B</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07/31/2025</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6.50 %</w:t>
            </w:r>
          </w:p>
        </w:tc>
      </w:tr>
      <w:tr>
        <w:trPr>
          <w:trHeight w:val="130"/>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07/31/2025</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6.25 %</w:t>
            </w: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Apex Service Partners, LLC Term Loan C </w:t>
            </w:r>
            <w:r>
              <w:rPr>
                <w:rFonts w:ascii="Times New Roman" w:cs="Times New Roman" w:eastAsia="Times New Roman" w:hAnsi="Times New Roman"/>
                <w:sz w:val="14"/>
                <w:szCs w:val="14"/>
                <w:color w:val="auto"/>
                <w:vertAlign w:val="superscript"/>
              </w:rPr>
              <w:t>(7),(9)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01/31/2022</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4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Apex Service Partners,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07/29/2024</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6.25 %</w:t>
            </w:r>
          </w:p>
        </w:tc>
      </w:tr>
      <w:tr>
        <w:trPr>
          <w:trHeight w:val="140"/>
        </w:trPr>
        <w:tc>
          <w:tcPr>
            <w:tcW w:w="3340" w:type="dxa"/>
            <w:vAlign w:val="bottom"/>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Apex Service Partners, LLC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07/29/2024</w:t>
            </w:r>
          </w:p>
        </w:tc>
        <w:tc>
          <w:tcPr>
            <w:tcW w:w="14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API Technologies Corp.</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05/11/2026</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4.33 %</w:t>
            </w:r>
          </w:p>
        </w:tc>
      </w:tr>
      <w:tr>
        <w:trPr>
          <w:trHeight w:val="130"/>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Applied Technical Services,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12/29/2026</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6.75 %</w:t>
            </w: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Applied Technical Services, LLC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06/29/2022</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4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40"/>
        </w:trPr>
        <w:tc>
          <w:tcPr>
            <w:tcW w:w="3340" w:type="dxa"/>
            <w:vAlign w:val="bottom"/>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Applied Technical Services, LLC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12/29/2026</w:t>
            </w:r>
          </w:p>
        </w:tc>
        <w:tc>
          <w:tcPr>
            <w:tcW w:w="14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0"/>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By Light Professional IT Services,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05/16/2022</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High Tech Industries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7.25 %</w:t>
            </w: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By Light Professional IT Services, LLC (Revolver) </w:t>
            </w:r>
            <w:r>
              <w:rPr>
                <w:rFonts w:ascii="Times New Roman" w:cs="Times New Roman" w:eastAsia="Times New Roman" w:hAnsi="Times New Roman"/>
                <w:sz w:val="14"/>
                <w:szCs w:val="14"/>
                <w:color w:val="auto"/>
                <w:vertAlign w:val="superscript"/>
              </w:rPr>
              <w:t>(9)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05/16/2022</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High Tech Industries</w:t>
            </w:r>
          </w:p>
        </w:tc>
        <w:tc>
          <w:tcPr>
            <w:tcW w:w="14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40"/>
        </w:trPr>
        <w:tc>
          <w:tcPr>
            <w:tcW w:w="3340" w:type="dxa"/>
            <w:vAlign w:val="bottom"/>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Cadence Aerospace, LLC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11/14/2023</w:t>
            </w:r>
          </w:p>
        </w:tc>
        <w:tc>
          <w:tcPr>
            <w:tcW w:w="14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9.50 %</w:t>
            </w:r>
          </w:p>
        </w:tc>
      </w:tr>
      <w:tr>
        <w:trPr>
          <w:trHeight w:val="135"/>
        </w:trPr>
        <w:tc>
          <w:tcPr>
            <w:tcW w:w="3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(PIK 9.50%)</w:t>
            </w:r>
          </w:p>
        </w:tc>
      </w:tr>
      <w:tr>
        <w:trPr>
          <w:trHeight w:val="135"/>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Cano Health,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11/23/2027</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Healthcare and Pharmaceuticals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5.25 %</w:t>
            </w:r>
          </w:p>
        </w:tc>
      </w:tr>
      <w:tr>
        <w:trPr>
          <w:trHeight w:val="130"/>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CF512, Inc.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08/20/2026</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7.00 %</w:t>
            </w: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CF512, Inc.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08/20/2026</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40"/>
        </w:trPr>
        <w:tc>
          <w:tcPr>
            <w:tcW w:w="3340" w:type="dxa"/>
            <w:vAlign w:val="bottom"/>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CF512, Inc.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08/20/2026</w:t>
            </w:r>
          </w:p>
        </w:tc>
        <w:tc>
          <w:tcPr>
            <w:tcW w:w="14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0"/>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 Holdings, Inc.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04/10/2025</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Environmental Industries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5.50 %</w:t>
            </w:r>
          </w:p>
        </w:tc>
      </w:tr>
      <w:tr>
        <w:trPr>
          <w:trHeight w:val="140"/>
        </w:trPr>
        <w:tc>
          <w:tcPr>
            <w:tcW w:w="3340" w:type="dxa"/>
            <w:vAlign w:val="bottom"/>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Challenger Performance Optimization, Inc.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08/31/2023</w:t>
            </w:r>
          </w:p>
        </w:tc>
        <w:tc>
          <w:tcPr>
            <w:tcW w:w="14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0"/>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Compex Legal Services, Inc.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02/09/2026</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6.75 %</w:t>
            </w: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Compex Legal Services, Inc.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02/07/2025</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6.75 %</w:t>
            </w:r>
          </w:p>
        </w:tc>
      </w:tr>
      <w:tr>
        <w:trPr>
          <w:trHeight w:val="140"/>
        </w:trPr>
        <w:tc>
          <w:tcPr>
            <w:tcW w:w="3340" w:type="dxa"/>
            <w:vAlign w:val="bottom"/>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Compex Legal Services, Inc.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02/07/2025</w:t>
            </w:r>
          </w:p>
        </w:tc>
        <w:tc>
          <w:tcPr>
            <w:tcW w:w="14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Confluent Health,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06/24/2026</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Health Providers and Services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5.08 %</w:t>
            </w:r>
          </w:p>
        </w:tc>
      </w:tr>
      <w:tr>
        <w:trPr>
          <w:trHeight w:val="130"/>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Connatix Buyer, Inc.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07/13/2027</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6.25 %</w:t>
            </w: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Connatix Buyer, Inc.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01/13/2023</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Connatix Buyer, Inc.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07/13/2027</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6.25 %</w:t>
            </w:r>
          </w:p>
        </w:tc>
      </w:tr>
      <w:tr>
        <w:trPr>
          <w:trHeight w:val="140"/>
        </w:trPr>
        <w:tc>
          <w:tcPr>
            <w:tcW w:w="3340" w:type="dxa"/>
            <w:vAlign w:val="bottom"/>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Connatix Buyer, Inc.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07/13/2027</w:t>
            </w:r>
          </w:p>
        </w:tc>
        <w:tc>
          <w:tcPr>
            <w:tcW w:w="14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0"/>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CoolSys, Inc.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08/04/2028</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5.50 %</w:t>
            </w: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CoolSys, Inc.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08/04/2028</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4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Crane 1 Services, Inc.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08/16/2023</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4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40"/>
        </w:trPr>
        <w:tc>
          <w:tcPr>
            <w:tcW w:w="3340" w:type="dxa"/>
            <w:vAlign w:val="bottom"/>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Crane 1 Services, Inc.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08/16/2027</w:t>
            </w:r>
          </w:p>
        </w:tc>
        <w:tc>
          <w:tcPr>
            <w:tcW w:w="14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0"/>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Crash Champions,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08/05/2025</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Automobiles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5.85 %</w:t>
            </w:r>
          </w:p>
        </w:tc>
      </w:tr>
      <w:tr>
        <w:trPr>
          <w:trHeight w:val="140"/>
        </w:trPr>
        <w:tc>
          <w:tcPr>
            <w:tcW w:w="3340" w:type="dxa"/>
            <w:vAlign w:val="bottom"/>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Crash Champions, LLC </w:t>
            </w:r>
            <w:r>
              <w:rPr>
                <w:rFonts w:ascii="Times New Roman" w:cs="Times New Roman" w:eastAsia="Times New Roman" w:hAnsi="Times New Roman"/>
                <w:sz w:val="14"/>
                <w:szCs w:val="14"/>
                <w:color w:val="auto"/>
                <w:vertAlign w:val="superscript"/>
              </w:rPr>
              <w:t>(7)(9)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05/14/2022</w:t>
            </w:r>
          </w:p>
        </w:tc>
        <w:tc>
          <w:tcPr>
            <w:tcW w:w="14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Automobiles</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Digital Room Holdings, Inc.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05/22/2026</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Media: Advertising, Printing and Publishing</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5.08 %</w:t>
            </w:r>
          </w:p>
        </w:tc>
      </w:tr>
      <w:tr>
        <w:trPr>
          <w:trHeight w:val="135"/>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Douglas Products and Packaging Company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10/19/2022</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6.75 %</w:t>
            </w:r>
          </w:p>
        </w:tc>
      </w:tr>
      <w:tr>
        <w:trPr>
          <w:trHeight w:val="130"/>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Douglas Products and Packaging Company LLC (Revolver)</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10/19/2022</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8.00 %</w:t>
            </w:r>
          </w:p>
        </w:tc>
      </w:tr>
      <w:tr>
        <w:trPr>
          <w:trHeight w:val="140"/>
        </w:trPr>
        <w:tc>
          <w:tcPr>
            <w:tcW w:w="3340" w:type="dxa"/>
            <w:vAlign w:val="bottom"/>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Douglas Products and Packaging Company LLC (Revolver) </w:t>
            </w:r>
            <w:r>
              <w:rPr>
                <w:rFonts w:ascii="Times New Roman" w:cs="Times New Roman" w:eastAsia="Times New Roman" w:hAnsi="Times New Roman"/>
                <w:sz w:val="14"/>
                <w:szCs w:val="14"/>
                <w:color w:val="auto"/>
                <w:vertAlign w:val="superscript"/>
              </w:rPr>
              <w:t>(9)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10/19/2022</w:t>
            </w:r>
          </w:p>
        </w:tc>
        <w:tc>
          <w:tcPr>
            <w:tcW w:w="14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Douglas Sewer Intermediate,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10/19/2022</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6.75 %</w:t>
            </w:r>
          </w:p>
        </w:tc>
      </w:tr>
      <w:tr>
        <w:trPr>
          <w:trHeight w:val="130"/>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Dr. Squatch,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08/27/2026</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7.00 %</w:t>
            </w: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Dr. Squatch,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08/27/2026</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7.00 %</w:t>
            </w:r>
          </w:p>
        </w:tc>
      </w:tr>
      <w:tr>
        <w:trPr>
          <w:trHeight w:val="140"/>
        </w:trPr>
        <w:tc>
          <w:tcPr>
            <w:tcW w:w="3340" w:type="dxa"/>
            <w:vAlign w:val="bottom"/>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Dr. Squatch, LLC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08/27/2026</w:t>
            </w:r>
          </w:p>
        </w:tc>
        <w:tc>
          <w:tcPr>
            <w:tcW w:w="14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0"/>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DRS Holdings III, Inc.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11/03/2025</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7.25 %</w:t>
            </w:r>
          </w:p>
        </w:tc>
      </w:tr>
      <w:tr>
        <w:trPr>
          <w:trHeight w:val="140"/>
        </w:trPr>
        <w:tc>
          <w:tcPr>
            <w:tcW w:w="3340" w:type="dxa"/>
            <w:vAlign w:val="bottom"/>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DRS Holdings III, Inc.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11/03/2025</w:t>
            </w:r>
          </w:p>
        </w:tc>
        <w:tc>
          <w:tcPr>
            <w:tcW w:w="14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East Valley Tourist Development Authority</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03/07/2022</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Hotel, Gaming and Leisure</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9.00 %</w:t>
            </w:r>
          </w:p>
        </w:tc>
      </w:tr>
      <w:tr>
        <w:trPr>
          <w:trHeight w:val="149"/>
        </w:trPr>
        <w:tc>
          <w:tcPr>
            <w:tcW w:w="3340" w:type="dxa"/>
            <w:vAlign w:val="bottom"/>
            <w:shd w:val="clear" w:color="auto" w:fill="CCECFF"/>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(PIK 3.50%)</w:t>
            </w:r>
          </w:p>
        </w:tc>
      </w:tr>
      <w:tr>
        <w:trPr>
          <w:trHeight w:val="117"/>
        </w:trPr>
        <w:tc>
          <w:tcPr>
            <w:tcW w:w="33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ECL Entertainment, LLC</w:t>
            </w:r>
          </w:p>
        </w:tc>
        <w:tc>
          <w:tcPr>
            <w:tcW w:w="7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03/31/2028</w:t>
            </w:r>
          </w:p>
        </w:tc>
        <w:tc>
          <w:tcPr>
            <w:tcW w:w="140" w:type="dxa"/>
            <w:vAlign w:val="bottom"/>
          </w:tcPr>
          <w:p>
            <w:pPr>
              <w:spacing w:after="0"/>
              <w:rPr>
                <w:sz w:val="10"/>
                <w:szCs w:val="10"/>
                <w:color w:val="auto"/>
              </w:rPr>
            </w:pPr>
          </w:p>
        </w:tc>
        <w:tc>
          <w:tcPr>
            <w:tcW w:w="23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Hotels, Restaurants and Leisure</w:t>
            </w:r>
          </w:p>
        </w:tc>
        <w:tc>
          <w:tcPr>
            <w:tcW w:w="94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1"/>
                <w:szCs w:val="11"/>
                <w:color w:val="auto"/>
              </w:rPr>
              <w:t>8.25 %</w:t>
            </w: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ECM Industries, LLC (Revolver) </w:t>
            </w:r>
            <w:r>
              <w:rPr>
                <w:rFonts w:ascii="Times New Roman" w:cs="Times New Roman" w:eastAsia="Times New Roman" w:hAnsi="Times New Roman"/>
                <w:sz w:val="14"/>
                <w:szCs w:val="14"/>
                <w:color w:val="auto"/>
                <w:vertAlign w:val="superscript"/>
              </w:rPr>
              <w:t>(9)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12/23/2025</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14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eCommission Financial Services, Inc. </w:t>
            </w:r>
            <w:r>
              <w:rPr>
                <w:rFonts w:ascii="Times New Roman" w:cs="Times New Roman" w:eastAsia="Times New Roman" w:hAnsi="Times New Roman"/>
                <w:sz w:val="14"/>
                <w:szCs w:val="14"/>
                <w:color w:val="auto"/>
                <w:vertAlign w:val="superscript"/>
              </w:rPr>
              <w:t>(10)</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10/05/2023</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Banking, Finance, Insurance &amp; Real Estate</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6.00 %</w:t>
            </w:r>
          </w:p>
        </w:tc>
      </w:tr>
      <w:tr>
        <w:trPr>
          <w:trHeight w:val="140"/>
        </w:trPr>
        <w:tc>
          <w:tcPr>
            <w:tcW w:w="3340" w:type="dxa"/>
            <w:vAlign w:val="bottom"/>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eCommission Financial Services, Inc. (Revolver) </w:t>
            </w:r>
            <w:r>
              <w:rPr>
                <w:rFonts w:ascii="Times New Roman" w:cs="Times New Roman" w:eastAsia="Times New Roman" w:hAnsi="Times New Roman"/>
                <w:sz w:val="14"/>
                <w:szCs w:val="14"/>
                <w:color w:val="auto"/>
                <w:vertAlign w:val="superscript"/>
              </w:rPr>
              <w:t>(7), (9), (10)</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10/05/2023</w:t>
            </w:r>
          </w:p>
        </w:tc>
        <w:tc>
          <w:tcPr>
            <w:tcW w:w="14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Banking, Finance, Insurance &amp; Real Estate</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0"/>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Efficient Collaborative Retail Marketing Company,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06/15/2022</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7.75 %</w:t>
            </w:r>
          </w:p>
        </w:tc>
      </w:tr>
      <w:tr>
        <w:trPr>
          <w:trHeight w:val="140"/>
        </w:trPr>
        <w:tc>
          <w:tcPr>
            <w:tcW w:w="3340" w:type="dxa"/>
            <w:vAlign w:val="bottom"/>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Findex Group Limited </w:t>
            </w:r>
            <w:r>
              <w:rPr>
                <w:rFonts w:ascii="Times New Roman" w:cs="Times New Roman" w:eastAsia="Times New Roman" w:hAnsi="Times New Roman"/>
                <w:sz w:val="14"/>
                <w:szCs w:val="14"/>
                <w:color w:val="auto"/>
                <w:vertAlign w:val="superscript"/>
              </w:rPr>
              <w:t>(5)(10)(11)</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05/31/2024</w:t>
            </w:r>
          </w:p>
        </w:tc>
        <w:tc>
          <w:tcPr>
            <w:tcW w:w="14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Diversified Financial Services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5.07 %</w:t>
            </w:r>
          </w:p>
        </w:tc>
      </w:tr>
      <w:tr>
        <w:trPr>
          <w:trHeight w:val="130"/>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Gantech Acquisition Corp.</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05/14/2026</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IT Services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7.25 %</w:t>
            </w: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Gantech Acquisition Corp.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05/14/2026</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IT Services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7.25 %</w:t>
            </w:r>
          </w:p>
        </w:tc>
      </w:tr>
      <w:tr>
        <w:trPr>
          <w:trHeight w:val="140"/>
        </w:trPr>
        <w:tc>
          <w:tcPr>
            <w:tcW w:w="3340" w:type="dxa"/>
            <w:vAlign w:val="bottom"/>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Gantech Acquisition Corp.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05/14/2026</w:t>
            </w:r>
          </w:p>
        </w:tc>
        <w:tc>
          <w:tcPr>
            <w:tcW w:w="14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IT Services</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0"/>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Global Holdings InterCo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03/16/2026</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Diversified Financial Services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7.00 %</w:t>
            </w: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Graffiti Buyer, Inc.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08/10/2023</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Trading Companies &amp; Distributors</w:t>
            </w:r>
          </w:p>
        </w:tc>
        <w:tc>
          <w:tcPr>
            <w:tcW w:w="14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40"/>
        </w:trPr>
        <w:tc>
          <w:tcPr>
            <w:tcW w:w="3340" w:type="dxa"/>
            <w:vAlign w:val="bottom"/>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Graffiti Buyer, Inc.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08/10/2027</w:t>
            </w:r>
          </w:p>
        </w:tc>
        <w:tc>
          <w:tcPr>
            <w:tcW w:w="14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Trading Companies &amp; Distributors</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0"/>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Hancock Roofing and Construction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12/31/2026</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6.00 %</w:t>
            </w: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Hancock Roofing and Construction L.L.C.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12/31/2022</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4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40"/>
        </w:trPr>
        <w:tc>
          <w:tcPr>
            <w:tcW w:w="3340" w:type="dxa"/>
            <w:vAlign w:val="bottom"/>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Hancock Roofing and Construction L.L.C.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12/31/2026</w:t>
            </w:r>
          </w:p>
        </w:tc>
        <w:tc>
          <w:tcPr>
            <w:tcW w:w="14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Holdco Sands Intermediate,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12/19/2025</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7.50 %</w:t>
            </w:r>
          </w:p>
        </w:tc>
      </w:tr>
      <w:tr>
        <w:trPr>
          <w:trHeight w:val="130"/>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HW Holdco,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12/10/2024</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5.50 %</w:t>
            </w: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HW Holdco,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12/10/2024</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5.50 %</w:t>
            </w: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HW Holdco, LLC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12/10/2024</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IG Investments Holdings, LLC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09/22/2028</w:t>
            </w:r>
          </w:p>
        </w:tc>
        <w:tc>
          <w:tcPr>
            <w:tcW w:w="14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6.75 %</w:t>
            </w:r>
          </w:p>
        </w:tc>
      </w:tr>
      <w:tr>
        <w:trPr>
          <w:trHeight w:val="191"/>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IG Investments Holdings, LLC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09/22/2027</w:t>
            </w:r>
          </w:p>
        </w:tc>
        <w:tc>
          <w:tcPr>
            <w:tcW w:w="140" w:type="dxa"/>
            <w:vAlign w:val="bottom"/>
          </w:tcPr>
          <w:p>
            <w:pPr>
              <w:spacing w:after="0"/>
              <w:rPr>
                <w:sz w:val="16"/>
                <w:szCs w:val="16"/>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4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-7052945</wp:posOffset>
            </wp:positionV>
            <wp:extent cx="7132320" cy="857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-6881495</wp:posOffset>
            </wp:positionV>
            <wp:extent cx="7132320" cy="857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-6710045</wp:posOffset>
            </wp:positionV>
            <wp:extent cx="7132320" cy="857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-6538595</wp:posOffset>
            </wp:positionV>
            <wp:extent cx="7132320" cy="857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-6367145</wp:posOffset>
            </wp:positionV>
            <wp:extent cx="7132320" cy="857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-6195695</wp:posOffset>
            </wp:positionV>
            <wp:extent cx="7132320" cy="8572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-6024245</wp:posOffset>
            </wp:positionV>
            <wp:extent cx="7132320" cy="8572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-5852795</wp:posOffset>
            </wp:positionV>
            <wp:extent cx="7132320" cy="857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-5681345</wp:posOffset>
            </wp:positionV>
            <wp:extent cx="7132320" cy="857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-5509895</wp:posOffset>
            </wp:positionV>
            <wp:extent cx="7132320" cy="857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-5338445</wp:posOffset>
            </wp:positionV>
            <wp:extent cx="7132320" cy="857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-5166995</wp:posOffset>
            </wp:positionV>
            <wp:extent cx="7132320" cy="8572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-4995545</wp:posOffset>
            </wp:positionV>
            <wp:extent cx="7132320" cy="8572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-4824095</wp:posOffset>
            </wp:positionV>
            <wp:extent cx="7132320" cy="857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-4566920</wp:posOffset>
            </wp:positionV>
            <wp:extent cx="7132320" cy="857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-4395470</wp:posOffset>
            </wp:positionV>
            <wp:extent cx="7132320" cy="8572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-4224020</wp:posOffset>
            </wp:positionV>
            <wp:extent cx="7132320" cy="8572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-4052570</wp:posOffset>
            </wp:positionV>
            <wp:extent cx="7132320" cy="8572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-3881120</wp:posOffset>
            </wp:positionV>
            <wp:extent cx="7132320" cy="857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-3709670</wp:posOffset>
            </wp:positionV>
            <wp:extent cx="7132320" cy="8572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-3538220</wp:posOffset>
            </wp:positionV>
            <wp:extent cx="7132320" cy="857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-3366770</wp:posOffset>
            </wp:positionV>
            <wp:extent cx="7132320" cy="8572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-3195320</wp:posOffset>
            </wp:positionV>
            <wp:extent cx="7132320" cy="8572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-3023870</wp:posOffset>
            </wp:positionV>
            <wp:extent cx="7132320" cy="8572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-2852420</wp:posOffset>
            </wp:positionV>
            <wp:extent cx="7132320" cy="857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-2680970</wp:posOffset>
            </wp:positionV>
            <wp:extent cx="7132320" cy="8572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-2509520</wp:posOffset>
            </wp:positionV>
            <wp:extent cx="7132320" cy="8572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-2338070</wp:posOffset>
            </wp:positionV>
            <wp:extent cx="7132320" cy="857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-2166620</wp:posOffset>
            </wp:positionV>
            <wp:extent cx="7132320" cy="8572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-1995170</wp:posOffset>
            </wp:positionV>
            <wp:extent cx="7132320" cy="1714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-1737995</wp:posOffset>
            </wp:positionV>
            <wp:extent cx="7132320" cy="8572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-1566545</wp:posOffset>
            </wp:positionV>
            <wp:extent cx="7132320" cy="857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-1395095</wp:posOffset>
            </wp:positionV>
            <wp:extent cx="7132320" cy="8572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-1223645</wp:posOffset>
            </wp:positionV>
            <wp:extent cx="7132320" cy="8572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-1052195</wp:posOffset>
            </wp:positionV>
            <wp:extent cx="7132320" cy="8572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-880745</wp:posOffset>
            </wp:positionV>
            <wp:extent cx="7132320" cy="857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-709295</wp:posOffset>
            </wp:positionV>
            <wp:extent cx="7132320" cy="8572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-537845</wp:posOffset>
            </wp:positionV>
            <wp:extent cx="7132320" cy="8572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-366395</wp:posOffset>
            </wp:positionV>
            <wp:extent cx="7132320" cy="8572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8572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2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20" w:type="dxa"/>
            <w:vAlign w:val="bottom"/>
          </w:tcPr>
          <w:p>
            <w:pPr>
              <w:spacing w:after="0"/>
              <w:rPr>
                <w:sz w:val="9"/>
                <w:szCs w:val="9"/>
                <w:color w:val="auto"/>
              </w:rPr>
            </w:pPr>
          </w:p>
        </w:tc>
        <w:tc>
          <w:tcPr>
            <w:tcW w:w="76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5"/>
              </w:rPr>
              <w:t>Spread</w:t>
            </w:r>
          </w:p>
        </w:tc>
        <w:tc>
          <w:tcPr>
            <w:tcW w:w="160" w:type="dxa"/>
            <w:vAlign w:val="bottom"/>
          </w:tcPr>
          <w:p>
            <w:pPr>
              <w:spacing w:after="0"/>
              <w:rPr>
                <w:sz w:val="9"/>
                <w:szCs w:val="9"/>
                <w:color w:val="auto"/>
              </w:rPr>
            </w:pPr>
          </w:p>
        </w:tc>
        <w:tc>
          <w:tcPr>
            <w:tcW w:w="76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Par /</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7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3"/>
              </w:rPr>
              <w:t>Above</w:t>
            </w:r>
          </w:p>
        </w:tc>
        <w:tc>
          <w:tcPr>
            <w:tcW w:w="1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(1)</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0"/>
              </w:rPr>
              <w:t xml:space="preserve">Fair Value </w:t>
            </w:r>
            <w:r>
              <w:rPr>
                <w:rFonts w:ascii="Times New Roman" w:cs="Times New Roman" w:eastAsia="Times New Roman" w:hAnsi="Times New Roman"/>
                <w:sz w:val="14"/>
                <w:szCs w:val="14"/>
                <w:b w:val="1"/>
                <w:bCs w:val="1"/>
                <w:color w:val="auto"/>
                <w:w w:val="90"/>
                <w:vertAlign w:val="superscript"/>
              </w:rPr>
              <w:t>(2)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L+800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5,996</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5,910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6,101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4,988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4,917</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4,913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212</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1,033</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(15 )</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5,069</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5,016</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4,752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575</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1,581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(99 )</w:t>
            </w:r>
          </w:p>
        </w:tc>
        <w:tc>
          <w:tcPr>
            <w:tcW w:w="0" w:type="dxa"/>
            <w:vAlign w:val="bottom"/>
          </w:tcPr>
          <w:p>
            <w:pPr>
              <w:spacing w:after="0"/>
              <w:rPr>
                <w:sz w:val="1"/>
                <w:szCs w:val="1"/>
                <w:color w:val="auto"/>
              </w:rPr>
            </w:pPr>
          </w:p>
        </w:tc>
      </w:tr>
      <w:tr>
        <w:trPr>
          <w:trHeight w:val="135"/>
        </w:trPr>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7"/>
                <w:szCs w:val="7"/>
                <w:color w:val="auto"/>
                <w:w w:val="97"/>
              </w:rPr>
              <w:t>(6)</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8,905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8,818</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8,816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120" w:type="dxa"/>
            <w:vAlign w:val="bottom"/>
            <w:vMerge w:val="continue"/>
          </w:tcPr>
          <w:p>
            <w:pPr>
              <w:spacing w:after="0"/>
              <w:rPr>
                <w:sz w:val="5"/>
                <w:szCs w:val="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7,986</w:t>
            </w: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7,915</w:t>
            </w: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1,278</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7"/>
                <w:szCs w:val="7"/>
                <w:color w:val="auto"/>
                <w:w w:val="97"/>
              </w:rPr>
              <w:t>(6)</w:t>
            </w:r>
          </w:p>
        </w:tc>
        <w:tc>
          <w:tcPr>
            <w:tcW w:w="760" w:type="dxa"/>
            <w:vAlign w:val="bottom"/>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120" w:type="dxa"/>
            <w:vAlign w:val="bottom"/>
            <w:vMerge w:val="continue"/>
          </w:tcPr>
          <w:p>
            <w:pPr>
              <w:spacing w:after="0"/>
              <w:rPr>
                <w:sz w:val="5"/>
                <w:szCs w:val="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1,656</w:t>
            </w: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1,642</w:t>
            </w: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1,656</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6,500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6,373</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6,370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3,824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(38 )</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1,147</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(23 )</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6,272</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6,216</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6,209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6,897</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6,802</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6,828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13,179</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(16 )</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473</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473</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1,372</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(24 )</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5,865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5,841</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5,689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4,963</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4,863</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4,863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8,567</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(75 )</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1,273</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(25 )</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22,681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22,627</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22,681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3,063</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3,002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2,985</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2,928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2,653</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2,647</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2,654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10,500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10,293</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10,290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2,864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(29 )</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955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(19 )</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1,597</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1,593</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711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(21 )</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7,653</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7,530</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7,566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984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984</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422</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(5 )</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3,910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3,879</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3,910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4,000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3,921</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2,105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(21 )</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1,111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(22 )</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1,909</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1,890</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848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897</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(2 )</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336</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(3 )</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13,078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12,889</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12,817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12,912</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(129 )</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6,547</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6,468</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6,462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6,545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6,514</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6,545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P+475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2,927</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2,927</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2,927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1,464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3,961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3,942</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3,961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9,485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9,297</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9,296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2,459</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2,459</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2,410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894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(18 )</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17,671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17,515</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17,547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1,426</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(10 )</w:t>
            </w:r>
          </w:p>
        </w:tc>
        <w:tc>
          <w:tcPr>
            <w:tcW w:w="0" w:type="dxa"/>
            <w:vAlign w:val="bottom"/>
          </w:tcPr>
          <w:p>
            <w:pPr>
              <w:spacing w:after="0"/>
              <w:rPr>
                <w:sz w:val="1"/>
                <w:szCs w:val="1"/>
                <w:color w:val="auto"/>
              </w:rPr>
            </w:pPr>
          </w:p>
        </w:tc>
      </w:tr>
      <w:tr>
        <w:trPr>
          <w:trHeight w:val="140"/>
        </w:trPr>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13,217</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13,191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L+750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5,256</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5,205</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5,374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914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(5 )</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6,951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6,951</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6,951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5,000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L+675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7,189</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7,180</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7,153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AUD 10,000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7,323</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7,151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17,413</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17,082</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17,064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933</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933</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2,800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(56 )</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3,483</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3,435</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3,465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1,071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(5 )</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865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(20 )</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3,474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3,397</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3,439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(15 )</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(8 )</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2,983</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2,941</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7,341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7,296</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7,267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523</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523</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929</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(9 )</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4,518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4,428</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4,428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477</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ectPr>
          <w:pgSz w:w="11900" w:h="16838" w:orient="portrait"/>
          <w:cols w:equalWidth="0" w:num="2">
            <w:col w:w="7560" w:space="40"/>
            <w:col w:w="3640"/>
          </w:cols>
          <w:pgMar w:left="320" w:top="317"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type w:val="continuous"/>
        </w:sectPr>
      </w:pPr>
    </w:p>
    <w:bookmarkStart w:id="13" w:name="page14"/>
    <w:bookmarkEnd w:id="13"/>
    <w:p>
      <w:pPr>
        <w:ind w:left="3260"/>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3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restart"/>
          </w:tcPr>
          <w:p>
            <w:pPr>
              <w:jc w:val="right"/>
              <w:ind w:right="386"/>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76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rPr>
              <w:t>Spread</w:t>
            </w:r>
          </w:p>
        </w:tc>
        <w:tc>
          <w:tcPr>
            <w:tcW w:w="160" w:type="dxa"/>
            <w:vAlign w:val="bottom"/>
          </w:tcPr>
          <w:p>
            <w:pPr>
              <w:spacing w:after="0"/>
              <w:rPr>
                <w:sz w:val="9"/>
                <w:szCs w:val="9"/>
                <w:color w:val="auto"/>
              </w:rPr>
            </w:pPr>
          </w:p>
        </w:tc>
        <w:tc>
          <w:tcPr>
            <w:tcW w:w="76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Par /</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7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Above</w:t>
            </w:r>
          </w:p>
        </w:tc>
        <w:tc>
          <w:tcPr>
            <w:tcW w:w="1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4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40" w:type="dxa"/>
            <w:vAlign w:val="bottom"/>
          </w:tcPr>
          <w:p>
            <w:pPr>
              <w:spacing w:after="0"/>
              <w:rPr>
                <w:sz w:val="14"/>
                <w:szCs w:val="14"/>
                <w:color w:val="auto"/>
              </w:rPr>
            </w:pPr>
          </w:p>
        </w:tc>
        <w:tc>
          <w:tcPr>
            <w:tcW w:w="980" w:type="dxa"/>
            <w:vAlign w:val="bottom"/>
            <w:gridSpan w:val="2"/>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160" w:type="dxa"/>
            <w:vAlign w:val="bottom"/>
          </w:tcPr>
          <w:p>
            <w:pPr>
              <w:spacing w:after="0"/>
              <w:rPr>
                <w:sz w:val="14"/>
                <w:szCs w:val="14"/>
                <w:color w:val="auto"/>
              </w:rPr>
            </w:pPr>
          </w:p>
        </w:tc>
        <w:tc>
          <w:tcPr>
            <w:tcW w:w="76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0"/>
              </w:rPr>
              <w:t xml:space="preserve">Fair Value </w:t>
            </w:r>
            <w:r>
              <w:rPr>
                <w:rFonts w:ascii="Times New Roman" w:cs="Times New Roman" w:eastAsia="Times New Roman" w:hAnsi="Times New Roman"/>
                <w:sz w:val="14"/>
                <w:szCs w:val="14"/>
                <w:b w:val="1"/>
                <w:bCs w:val="1"/>
                <w:color w:val="auto"/>
                <w:w w:val="90"/>
                <w:vertAlign w:val="superscript"/>
              </w:rPr>
              <w:t>(2)</w:t>
            </w:r>
          </w:p>
        </w:tc>
        <w:tc>
          <w:tcPr>
            <w:tcW w:w="0" w:type="dxa"/>
            <w:vAlign w:val="bottom"/>
          </w:tcPr>
          <w:p>
            <w:pPr>
              <w:spacing w:after="0"/>
              <w:rPr>
                <w:sz w:val="1"/>
                <w:szCs w:val="1"/>
                <w:color w:val="auto"/>
              </w:rPr>
            </w:pPr>
          </w:p>
        </w:tc>
      </w:tr>
      <w:tr>
        <w:trPr>
          <w:trHeight w:val="110"/>
        </w:trPr>
        <w:tc>
          <w:tcPr>
            <w:tcW w:w="3320" w:type="dxa"/>
            <w:vAlign w:val="bottom"/>
            <w:tcBorders>
              <w:top w:val="single" w:sz="8" w:color="auto"/>
            </w:tcBorders>
          </w:tcPr>
          <w:p>
            <w:pPr>
              <w:ind w:left="20"/>
              <w:spacing w:after="0" w:line="110" w:lineRule="exact"/>
              <w:rPr>
                <w:sz w:val="20"/>
                <w:szCs w:val="20"/>
                <w:color w:val="auto"/>
              </w:rPr>
            </w:pPr>
            <w:r>
              <w:rPr>
                <w:rFonts w:ascii="Times New Roman" w:cs="Times New Roman" w:eastAsia="Times New Roman" w:hAnsi="Times New Roman"/>
                <w:sz w:val="11"/>
                <w:szCs w:val="11"/>
                <w:color w:val="auto"/>
              </w:rPr>
              <w:t>IMIA Holdings, Inc.</w:t>
            </w:r>
          </w:p>
        </w:tc>
        <w:tc>
          <w:tcPr>
            <w:tcW w:w="140" w:type="dxa"/>
            <w:vAlign w:val="bottom"/>
          </w:tcPr>
          <w:p>
            <w:pPr>
              <w:spacing w:after="0"/>
              <w:rPr>
                <w:sz w:val="9"/>
                <w:szCs w:val="9"/>
                <w:color w:val="auto"/>
              </w:rPr>
            </w:pPr>
          </w:p>
        </w:tc>
        <w:tc>
          <w:tcPr>
            <w:tcW w:w="66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1"/>
                <w:szCs w:val="11"/>
                <w:color w:val="auto"/>
                <w:w w:val="99"/>
              </w:rPr>
              <w:t>04/09/2027</w:t>
            </w:r>
          </w:p>
        </w:tc>
        <w:tc>
          <w:tcPr>
            <w:tcW w:w="140" w:type="dxa"/>
            <w:vAlign w:val="bottom"/>
          </w:tcPr>
          <w:p>
            <w:pPr>
              <w:spacing w:after="0"/>
              <w:rPr>
                <w:sz w:val="9"/>
                <w:szCs w:val="9"/>
                <w:color w:val="auto"/>
              </w:rPr>
            </w:pPr>
          </w:p>
        </w:tc>
        <w:tc>
          <w:tcPr>
            <w:tcW w:w="234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9"/>
                <w:szCs w:val="9"/>
                <w:color w:val="auto"/>
              </w:rPr>
            </w:pPr>
          </w:p>
        </w:tc>
        <w:tc>
          <w:tcPr>
            <w:tcW w:w="70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6.75</w:t>
            </w:r>
          </w:p>
        </w:tc>
        <w:tc>
          <w:tcPr>
            <w:tcW w:w="280" w:type="dxa"/>
            <w:vAlign w:val="bottom"/>
          </w:tcPr>
          <w:p>
            <w:pPr>
              <w:jc w:val="right"/>
              <w:ind w:right="106"/>
              <w:spacing w:after="0" w:line="110"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3M L+600</w:t>
            </w:r>
          </w:p>
        </w:tc>
        <w:tc>
          <w:tcPr>
            <w:tcW w:w="160" w:type="dxa"/>
            <w:vAlign w:val="bottom"/>
          </w:tcPr>
          <w:p>
            <w:pPr>
              <w:spacing w:after="0"/>
              <w:rPr>
                <w:sz w:val="9"/>
                <w:szCs w:val="9"/>
                <w:color w:val="auto"/>
              </w:rPr>
            </w:pPr>
          </w:p>
        </w:tc>
        <w:tc>
          <w:tcPr>
            <w:tcW w:w="76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13,144</w:t>
            </w:r>
          </w:p>
        </w:tc>
        <w:tc>
          <w:tcPr>
            <w:tcW w:w="160" w:type="dxa"/>
            <w:vAlign w:val="bottom"/>
          </w:tcPr>
          <w:p>
            <w:pPr>
              <w:spacing w:after="0"/>
              <w:rPr>
                <w:sz w:val="9"/>
                <w:szCs w:val="9"/>
                <w:color w:val="auto"/>
              </w:rPr>
            </w:pPr>
          </w:p>
        </w:tc>
        <w:tc>
          <w:tcPr>
            <w:tcW w:w="160" w:type="dxa"/>
            <w:vAlign w:val="bottom"/>
            <w:tcBorders>
              <w:top w:val="single" w:sz="8" w:color="auto"/>
            </w:tcBorders>
          </w:tcPr>
          <w:p>
            <w:pPr>
              <w:jc w:val="right"/>
              <w:ind w:right="46"/>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12,904</w:t>
            </w:r>
          </w:p>
        </w:tc>
        <w:tc>
          <w:tcPr>
            <w:tcW w:w="160" w:type="dxa"/>
            <w:vAlign w:val="bottom"/>
          </w:tcPr>
          <w:p>
            <w:pPr>
              <w:spacing w:after="0"/>
              <w:rPr>
                <w:sz w:val="9"/>
                <w:szCs w:val="9"/>
                <w:color w:val="auto"/>
              </w:rPr>
            </w:pPr>
          </w:p>
        </w:tc>
        <w:tc>
          <w:tcPr>
            <w:tcW w:w="6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12,881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IMIA Holdings, Inc.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04/09/2027</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1"/>
                <w:szCs w:val="11"/>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2,343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(47 )</w:t>
            </w: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Innova Medical Ophthalmics Inc. </w:t>
            </w:r>
            <w:r>
              <w:rPr>
                <w:rFonts w:ascii="Times New Roman" w:cs="Times New Roman" w:eastAsia="Times New Roman" w:hAnsi="Times New Roman"/>
                <w:sz w:val="14"/>
                <w:szCs w:val="14"/>
                <w:color w:val="auto"/>
                <w:vertAlign w:val="superscript"/>
              </w:rPr>
              <w:t>(5), (10)</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04/13/2023</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12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7.25 %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3,253</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3,234</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3,253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Innova Medical Ophthalmics Inc. (Revolver) </w:t>
            </w:r>
            <w:r>
              <w:rPr>
                <w:rFonts w:ascii="Times New Roman" w:cs="Times New Roman" w:eastAsia="Times New Roman" w:hAnsi="Times New Roman"/>
                <w:sz w:val="14"/>
                <w:szCs w:val="14"/>
                <w:color w:val="auto"/>
                <w:vertAlign w:val="superscript"/>
              </w:rPr>
              <w:t>(5), (7), (10)</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04/13/2023</w:t>
            </w: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12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7.25 %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534</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534</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Integrative Nutrition,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09/29/2023</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Services</w:t>
            </w:r>
          </w:p>
        </w:tc>
        <w:tc>
          <w:tcPr>
            <w:tcW w:w="112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5.50 %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16,167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16,095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16,167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Integrative Nutrition,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09/29/2023</w:t>
            </w: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Consumer Services</w:t>
            </w:r>
          </w:p>
        </w:tc>
        <w:tc>
          <w:tcPr>
            <w:tcW w:w="140" w:type="dxa"/>
            <w:vAlign w:val="bottom"/>
            <w:shd w:val="clear" w:color="auto" w:fill="CCECFF"/>
          </w:tcPr>
          <w:p>
            <w:pPr>
              <w:spacing w:after="0"/>
              <w:rPr>
                <w:sz w:val="11"/>
                <w:szCs w:val="11"/>
                <w:color w:val="auto"/>
              </w:rPr>
            </w:pPr>
          </w:p>
        </w:tc>
        <w:tc>
          <w:tcPr>
            <w:tcW w:w="980" w:type="dxa"/>
            <w:vAlign w:val="bottom"/>
            <w:gridSpan w:val="2"/>
            <w:shd w:val="clear" w:color="auto" w:fill="CCECFF"/>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5,000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Integrity Marketing Acquisition, LLC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08/27/2025</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12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6.25 %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3,170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3,147</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3,154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Integrity Marketing Acquisition, LLC </w:t>
            </w:r>
            <w:r>
              <w:rPr>
                <w:rFonts w:ascii="Times New Roman" w:cs="Times New Roman" w:eastAsia="Times New Roman" w:hAnsi="Times New Roman"/>
                <w:sz w:val="14"/>
                <w:szCs w:val="14"/>
                <w:color w:val="auto"/>
                <w:vertAlign w:val="superscript"/>
              </w:rPr>
              <w:t>(7), (9)</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07/09/2023</w:t>
            </w: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40" w:type="dxa"/>
            <w:vAlign w:val="bottom"/>
            <w:shd w:val="clear" w:color="auto" w:fill="CCECFF"/>
          </w:tcPr>
          <w:p>
            <w:pPr>
              <w:spacing w:after="0"/>
              <w:rPr>
                <w:sz w:val="11"/>
                <w:szCs w:val="11"/>
                <w:color w:val="auto"/>
              </w:rPr>
            </w:pPr>
          </w:p>
        </w:tc>
        <w:tc>
          <w:tcPr>
            <w:tcW w:w="980" w:type="dxa"/>
            <w:vAlign w:val="bottom"/>
            <w:gridSpan w:val="2"/>
            <w:shd w:val="clear" w:color="auto" w:fill="CCECFF"/>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18,822</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K2 Pure Solutions NoCal, L.P. (Revolver) </w:t>
            </w:r>
            <w:r>
              <w:rPr>
                <w:rFonts w:ascii="Times New Roman" w:cs="Times New Roman" w:eastAsia="Times New Roman" w:hAnsi="Times New Roman"/>
                <w:sz w:val="13"/>
                <w:szCs w:val="13"/>
                <w:color w:val="auto"/>
                <w:vertAlign w:val="superscript"/>
              </w:rPr>
              <w:t>(7)</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12/20/2023</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Chemicals, Plastics and Rubber</w:t>
            </w:r>
          </w:p>
        </w:tc>
        <w:tc>
          <w:tcPr>
            <w:tcW w:w="112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8.00 %</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L+700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643</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643</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626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320" w:type="dxa"/>
            <w:vAlign w:val="bottom"/>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K2 Pure Solutions NoCal, L.P.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12/20/2023</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40" w:type="dxa"/>
            <w:vAlign w:val="bottom"/>
          </w:tcPr>
          <w:p>
            <w:pPr>
              <w:spacing w:after="0"/>
              <w:rPr>
                <w:sz w:val="12"/>
                <w:szCs w:val="12"/>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786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(21 )</w:t>
            </w:r>
          </w:p>
        </w:tc>
        <w:tc>
          <w:tcPr>
            <w:tcW w:w="0" w:type="dxa"/>
            <w:vAlign w:val="bottom"/>
          </w:tcPr>
          <w:p>
            <w:pPr>
              <w:spacing w:after="0"/>
              <w:rPr>
                <w:sz w:val="1"/>
                <w:szCs w:val="1"/>
                <w:color w:val="auto"/>
              </w:rPr>
            </w:pPr>
          </w:p>
        </w:tc>
      </w:tr>
      <w:tr>
        <w:trPr>
          <w:trHeight w:val="144"/>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Lash OpCo,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02/18/2027</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12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8.00 %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31,662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30,960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31,029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320" w:type="dxa"/>
            <w:vAlign w:val="bottom"/>
            <w:shd w:val="clear" w:color="auto" w:fill="CCECFF"/>
          </w:tcPr>
          <w:p>
            <w:pPr>
              <w:ind w:left="20"/>
              <w:spacing w:after="0" w:line="139" w:lineRule="exact"/>
              <w:rPr>
                <w:sz w:val="20"/>
                <w:szCs w:val="20"/>
                <w:color w:val="auto"/>
              </w:rPr>
            </w:pPr>
            <w:r>
              <w:rPr>
                <w:rFonts w:ascii="Times New Roman" w:cs="Times New Roman" w:eastAsia="Times New Roman" w:hAnsi="Times New Roman"/>
                <w:sz w:val="11"/>
                <w:szCs w:val="11"/>
                <w:color w:val="auto"/>
              </w:rPr>
              <w:t xml:space="preserve">Lash OpCo, LLC (Revolver) </w:t>
            </w:r>
            <w:r>
              <w:rPr>
                <w:rFonts w:ascii="Times New Roman" w:cs="Times New Roman" w:eastAsia="Times New Roman" w:hAnsi="Times New Roman"/>
                <w:sz w:val="14"/>
                <w:szCs w:val="14"/>
                <w:color w:val="auto"/>
                <w:vertAlign w:val="superscript"/>
              </w:rPr>
              <w:t>(7)</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08/16/2026</w:t>
            </w:r>
          </w:p>
        </w:tc>
        <w:tc>
          <w:tcPr>
            <w:tcW w:w="14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12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8.00 %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307</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307</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301</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Lash OpCo,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08/16/2026</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40" w:type="dxa"/>
            <w:vAlign w:val="bottom"/>
          </w:tcPr>
          <w:p>
            <w:pPr>
              <w:spacing w:after="0"/>
              <w:rPr>
                <w:sz w:val="11"/>
                <w:szCs w:val="11"/>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1,613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(32 )</w:t>
            </w:r>
          </w:p>
        </w:tc>
        <w:tc>
          <w:tcPr>
            <w:tcW w:w="0" w:type="dxa"/>
            <w:vAlign w:val="bottom"/>
          </w:tcPr>
          <w:p>
            <w:pPr>
              <w:spacing w:after="0"/>
              <w:rPr>
                <w:sz w:val="1"/>
                <w:szCs w:val="1"/>
                <w:color w:val="auto"/>
              </w:rPr>
            </w:pPr>
          </w:p>
        </w:tc>
      </w:tr>
      <w:tr>
        <w:trPr>
          <w:trHeight w:val="121"/>
        </w:trPr>
        <w:tc>
          <w:tcPr>
            <w:tcW w:w="3320" w:type="dxa"/>
            <w:vAlign w:val="bottom"/>
            <w:shd w:val="clear" w:color="auto" w:fill="CCECFF"/>
          </w:tcPr>
          <w:p>
            <w:pPr>
              <w:ind w:left="20"/>
              <w:spacing w:after="0" w:line="122" w:lineRule="exact"/>
              <w:rPr>
                <w:sz w:val="20"/>
                <w:szCs w:val="20"/>
                <w:color w:val="auto"/>
              </w:rPr>
            </w:pPr>
            <w:r>
              <w:rPr>
                <w:rFonts w:ascii="Times New Roman" w:cs="Times New Roman" w:eastAsia="Times New Roman" w:hAnsi="Times New Roman"/>
                <w:sz w:val="11"/>
                <w:szCs w:val="11"/>
                <w:color w:val="auto"/>
              </w:rPr>
              <w:t>LAV Gear Holdings, Inc.</w:t>
            </w:r>
          </w:p>
        </w:tc>
        <w:tc>
          <w:tcPr>
            <w:tcW w:w="800" w:type="dxa"/>
            <w:vAlign w:val="bottom"/>
            <w:gridSpan w:val="2"/>
            <w:shd w:val="clear" w:color="auto" w:fill="CCECFF"/>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9"/>
              </w:rPr>
              <w:t>10/31/2024</w:t>
            </w:r>
          </w:p>
        </w:tc>
        <w:tc>
          <w:tcPr>
            <w:tcW w:w="140" w:type="dxa"/>
            <w:vAlign w:val="bottom"/>
            <w:shd w:val="clear" w:color="auto" w:fill="CCECFF"/>
          </w:tcPr>
          <w:p>
            <w:pPr>
              <w:spacing w:after="0"/>
              <w:rPr>
                <w:sz w:val="10"/>
                <w:szCs w:val="10"/>
                <w:color w:val="auto"/>
              </w:rPr>
            </w:pPr>
          </w:p>
        </w:tc>
        <w:tc>
          <w:tcPr>
            <w:tcW w:w="23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Capital Equipment</w:t>
            </w:r>
          </w:p>
        </w:tc>
        <w:tc>
          <w:tcPr>
            <w:tcW w:w="1120" w:type="dxa"/>
            <w:vAlign w:val="bottom"/>
            <w:gridSpan w:val="3"/>
            <w:shd w:val="clear" w:color="auto" w:fill="CCECFF"/>
          </w:tcPr>
          <w:p>
            <w:pPr>
              <w:jc w:val="right"/>
              <w:ind w:right="106"/>
              <w:spacing w:after="0" w:line="122" w:lineRule="exact"/>
              <w:rPr>
                <w:sz w:val="20"/>
                <w:szCs w:val="20"/>
                <w:color w:val="auto"/>
              </w:rPr>
            </w:pPr>
            <w:r>
              <w:rPr>
                <w:rFonts w:ascii="Times New Roman" w:cs="Times New Roman" w:eastAsia="Times New Roman" w:hAnsi="Times New Roman"/>
                <w:sz w:val="11"/>
                <w:szCs w:val="11"/>
                <w:color w:val="auto"/>
              </w:rPr>
              <w:t>8.50 %</w:t>
            </w: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1M L+750</w:t>
            </w:r>
          </w:p>
        </w:tc>
        <w:tc>
          <w:tcPr>
            <w:tcW w:w="92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9,487</w:t>
            </w:r>
          </w:p>
        </w:tc>
        <w:tc>
          <w:tcPr>
            <w:tcW w:w="16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9,453</w:t>
            </w:r>
          </w:p>
        </w:tc>
        <w:tc>
          <w:tcPr>
            <w:tcW w:w="16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8,892</w:t>
            </w:r>
          </w:p>
        </w:tc>
        <w:tc>
          <w:tcPr>
            <w:tcW w:w="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23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80" w:type="dxa"/>
            <w:vAlign w:val="bottom"/>
            <w:gridSpan w:val="2"/>
            <w:shd w:val="clear" w:color="auto" w:fill="CCECFF"/>
          </w:tcPr>
          <w:p>
            <w:pPr>
              <w:jc w:val="right"/>
              <w:ind w:right="226"/>
              <w:spacing w:after="0"/>
              <w:rPr>
                <w:sz w:val="20"/>
                <w:szCs w:val="20"/>
                <w:color w:val="auto"/>
              </w:rPr>
            </w:pPr>
            <w:r>
              <w:rPr>
                <w:rFonts w:ascii="Times New Roman" w:cs="Times New Roman" w:eastAsia="Times New Roman" w:hAnsi="Times New Roman"/>
                <w:sz w:val="11"/>
                <w:szCs w:val="11"/>
                <w:color w:val="auto"/>
              </w:rPr>
              <w:t>(PIK 5.00%)</w:t>
            </w:r>
          </w:p>
        </w:tc>
        <w:tc>
          <w:tcPr>
            <w:tcW w:w="7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2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 xml:space="preserve">LAV Gear Holdings, Inc. (Revolver)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9"/>
              </w:rPr>
              <w:t>10/31/2024</w:t>
            </w:r>
          </w:p>
        </w:tc>
        <w:tc>
          <w:tcPr>
            <w:tcW w:w="140" w:type="dxa"/>
            <w:vAlign w:val="bottom"/>
          </w:tcPr>
          <w:p>
            <w:pPr>
              <w:spacing w:after="0"/>
              <w:rPr>
                <w:sz w:val="10"/>
                <w:szCs w:val="10"/>
                <w:color w:val="auto"/>
              </w:rPr>
            </w:pPr>
          </w:p>
        </w:tc>
        <w:tc>
          <w:tcPr>
            <w:tcW w:w="23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Capital Equipment</w:t>
            </w:r>
          </w:p>
        </w:tc>
        <w:tc>
          <w:tcPr>
            <w:tcW w:w="1120" w:type="dxa"/>
            <w:vAlign w:val="bottom"/>
            <w:gridSpan w:val="3"/>
          </w:tcPr>
          <w:p>
            <w:pPr>
              <w:jc w:val="right"/>
              <w:ind w:right="106"/>
              <w:spacing w:after="0" w:line="122" w:lineRule="exact"/>
              <w:rPr>
                <w:sz w:val="20"/>
                <w:szCs w:val="20"/>
                <w:color w:val="auto"/>
              </w:rPr>
            </w:pPr>
            <w:r>
              <w:rPr>
                <w:rFonts w:ascii="Times New Roman" w:cs="Times New Roman" w:eastAsia="Times New Roman" w:hAnsi="Times New Roman"/>
                <w:sz w:val="11"/>
                <w:szCs w:val="11"/>
                <w:color w:val="auto"/>
              </w:rPr>
              <w:t>8.50 %</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1M L+750</w:t>
            </w:r>
          </w:p>
        </w:tc>
        <w:tc>
          <w:tcPr>
            <w:tcW w:w="9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1,691</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1,691</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1,585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(PIK 5.00%)</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Lightspeed Buyer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02/03/2026</w:t>
            </w:r>
          </w:p>
        </w:tc>
        <w:tc>
          <w:tcPr>
            <w:tcW w:w="14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112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6.75 %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29,607</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29,160</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29,607</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Lightspeed Buyer Inc.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02/03/2026</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140" w:type="dxa"/>
            <w:vAlign w:val="bottom"/>
          </w:tcPr>
          <w:p>
            <w:pPr>
              <w:spacing w:after="0"/>
              <w:rPr>
                <w:sz w:val="11"/>
                <w:szCs w:val="11"/>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2,499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Lombart Brothers,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04/13/2023</w:t>
            </w: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12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7.25 %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14,285</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14,208</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14,285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Lombart Brothers, Inc. (Revolver)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04/13/2023</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12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7.25 %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516</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516</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Lucky Bucks,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07/20/2027</w:t>
            </w: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Hotels, Restaurants and Leisure</w:t>
            </w:r>
          </w:p>
        </w:tc>
        <w:tc>
          <w:tcPr>
            <w:tcW w:w="112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6.25 %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4,500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4,411</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4,424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MAG DS Corp.</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04/01/2027</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2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6.50 %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3,891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3,721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3,502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Magenta Buyer,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07/31/2028</w:t>
            </w: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112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5.75 %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9,901</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9,997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Mars Acquisition Holdings Corp.</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05/14/2026</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Media</w:t>
            </w:r>
          </w:p>
        </w:tc>
        <w:tc>
          <w:tcPr>
            <w:tcW w:w="112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6.50 %</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L+550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6,113</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5,998</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6,052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Mars Acquisition Holdings Corp. (Revolver)</w:t>
            </w:r>
            <w:r>
              <w:rPr>
                <w:rFonts w:ascii="Times New Roman" w:cs="Times New Roman" w:eastAsia="Times New Roman" w:hAnsi="Times New Roman"/>
                <w:sz w:val="14"/>
                <w:szCs w:val="14"/>
                <w:color w:val="auto"/>
                <w:vertAlign w:val="superscript"/>
              </w:rPr>
              <w:t>(7)(9)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05/14/2026</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1,624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(16 )</w:t>
            </w: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MBS Holdings, Inc. (Revolver)</w:t>
            </w:r>
            <w:r>
              <w:rPr>
                <w:rFonts w:ascii="Times New Roman" w:cs="Times New Roman" w:eastAsia="Times New Roman" w:hAnsi="Times New Roman"/>
                <w:sz w:val="14"/>
                <w:szCs w:val="14"/>
                <w:color w:val="auto"/>
                <w:vertAlign w:val="superscript"/>
              </w:rPr>
              <w:t>(7)(9)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04/16/2027</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Internet Software and Services</w:t>
            </w:r>
          </w:p>
        </w:tc>
        <w:tc>
          <w:tcPr>
            <w:tcW w:w="140" w:type="dxa"/>
            <w:vAlign w:val="bottom"/>
          </w:tcPr>
          <w:p>
            <w:pPr>
              <w:spacing w:after="0"/>
              <w:rPr>
                <w:sz w:val="13"/>
                <w:szCs w:val="13"/>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1,157</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(23 )</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MeritDirect,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05/23/2024</w:t>
            </w: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2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6.50 %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25,250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25,029</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24,997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MeritDirect,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05/23/2024</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4,482</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(45 )</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Mission Critical Electronics,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09/28/2022</w:t>
            </w: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12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6.00 %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606</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604</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606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Mission Critical Electronics, Inc. (Revolver)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09/28/2022</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12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6.00 %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468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468</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Mission Critical Electronics, Inc. (Revolver) </w:t>
            </w:r>
            <w:r>
              <w:rPr>
                <w:rFonts w:ascii="Times New Roman" w:cs="Times New Roman" w:eastAsia="Times New Roman" w:hAnsi="Times New Roman"/>
                <w:sz w:val="14"/>
                <w:szCs w:val="14"/>
                <w:color w:val="auto"/>
                <w:vertAlign w:val="superscript"/>
              </w:rPr>
              <w:t>(7), (9)</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09/28/2022</w:t>
            </w: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40" w:type="dxa"/>
            <w:vAlign w:val="bottom"/>
            <w:shd w:val="clear" w:color="auto" w:fill="CCECFF"/>
          </w:tcPr>
          <w:p>
            <w:pPr>
              <w:spacing w:after="0"/>
              <w:rPr>
                <w:sz w:val="11"/>
                <w:szCs w:val="11"/>
                <w:color w:val="auto"/>
              </w:rPr>
            </w:pPr>
          </w:p>
        </w:tc>
        <w:tc>
          <w:tcPr>
            <w:tcW w:w="980" w:type="dxa"/>
            <w:vAlign w:val="bottom"/>
            <w:gridSpan w:val="2"/>
            <w:shd w:val="clear" w:color="auto" w:fill="CCECFF"/>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857</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Municipal Emergency Services, Inc.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09/28/2027</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12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6.00 %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3,500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3,430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3,430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Municipal Emergency Services, Inc. </w:t>
            </w:r>
            <w:r>
              <w:rPr>
                <w:rFonts w:ascii="Times New Roman" w:cs="Times New Roman" w:eastAsia="Times New Roman" w:hAnsi="Times New Roman"/>
                <w:sz w:val="14"/>
                <w:szCs w:val="14"/>
                <w:color w:val="auto"/>
                <w:vertAlign w:val="superscript"/>
              </w:rPr>
              <w:t>(7), (9)</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09/28/2027</w:t>
            </w: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40" w:type="dxa"/>
            <w:vAlign w:val="bottom"/>
            <w:shd w:val="clear" w:color="auto" w:fill="CCECFF"/>
          </w:tcPr>
          <w:p>
            <w:pPr>
              <w:spacing w:after="0"/>
              <w:rPr>
                <w:sz w:val="11"/>
                <w:szCs w:val="11"/>
                <w:color w:val="auto"/>
              </w:rPr>
            </w:pPr>
          </w:p>
        </w:tc>
        <w:tc>
          <w:tcPr>
            <w:tcW w:w="980" w:type="dxa"/>
            <w:vAlign w:val="bottom"/>
            <w:gridSpan w:val="2"/>
            <w:shd w:val="clear" w:color="auto" w:fill="CCECFF"/>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947</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Municipal Emergency Services, Inc. (Revolver) </w:t>
            </w:r>
            <w:r>
              <w:rPr>
                <w:rFonts w:ascii="Times New Roman" w:cs="Times New Roman" w:eastAsia="Times New Roman" w:hAnsi="Times New Roman"/>
                <w:sz w:val="13"/>
                <w:szCs w:val="13"/>
                <w:color w:val="auto"/>
                <w:vertAlign w:val="superscript"/>
              </w:rPr>
              <w:t>(7), (9)</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09/28/2027</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Distributors</w:t>
            </w:r>
          </w:p>
        </w:tc>
        <w:tc>
          <w:tcPr>
            <w:tcW w:w="140" w:type="dxa"/>
            <w:vAlign w:val="bottom"/>
          </w:tcPr>
          <w:p>
            <w:pPr>
              <w:spacing w:after="0"/>
              <w:rPr>
                <w:sz w:val="10"/>
                <w:szCs w:val="10"/>
                <w:color w:val="auto"/>
              </w:rPr>
            </w:pPr>
          </w:p>
        </w:tc>
        <w:tc>
          <w:tcPr>
            <w:tcW w:w="980" w:type="dxa"/>
            <w:vAlign w:val="bottom"/>
            <w:gridSpan w:val="2"/>
          </w:tcPr>
          <w:p>
            <w:pPr>
              <w:jc w:val="right"/>
              <w:ind w:right="226"/>
              <w:spacing w:after="0" w:line="117"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947</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3320" w:type="dxa"/>
            <w:vAlign w:val="bottom"/>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NBH Group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08/19/2026</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40" w:type="dxa"/>
            <w:vAlign w:val="bottom"/>
          </w:tcPr>
          <w:p>
            <w:pPr>
              <w:spacing w:after="0"/>
              <w:rPr>
                <w:sz w:val="12"/>
                <w:szCs w:val="12"/>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1,677</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(34 )</w:t>
            </w:r>
          </w:p>
        </w:tc>
        <w:tc>
          <w:tcPr>
            <w:tcW w:w="0" w:type="dxa"/>
            <w:vAlign w:val="bottom"/>
          </w:tcPr>
          <w:p>
            <w:pPr>
              <w:spacing w:after="0"/>
              <w:rPr>
                <w:sz w:val="1"/>
                <w:szCs w:val="1"/>
                <w:color w:val="auto"/>
              </w:rPr>
            </w:pPr>
          </w:p>
        </w:tc>
      </w:tr>
      <w:tr>
        <w:trPr>
          <w:trHeight w:val="130"/>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OIS Management Services,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07/09/2026</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12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5.75 %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3,195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3,156</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3,147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OIS Management Services, LLC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07/09/2023</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40" w:type="dxa"/>
            <w:vAlign w:val="bottom"/>
          </w:tcPr>
          <w:p>
            <w:pPr>
              <w:spacing w:after="0"/>
              <w:rPr>
                <w:sz w:val="11"/>
                <w:szCs w:val="11"/>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1,911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(14 )</w:t>
            </w: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OIS Management Services,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07/09/2026</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40" w:type="dxa"/>
            <w:vAlign w:val="bottom"/>
          </w:tcPr>
          <w:p>
            <w:pPr>
              <w:spacing w:after="0"/>
              <w:rPr>
                <w:sz w:val="13"/>
                <w:szCs w:val="13"/>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444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(7 )</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One Stop Mailing,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05/07/2027</w:t>
            </w: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Air Freight and Logistics</w:t>
            </w:r>
          </w:p>
        </w:tc>
        <w:tc>
          <w:tcPr>
            <w:tcW w:w="112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7.25 %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8,952</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8,779</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8,795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ORL Acquisition, Inc.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09/03/2027</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Finance</w:t>
            </w:r>
          </w:p>
        </w:tc>
        <w:tc>
          <w:tcPr>
            <w:tcW w:w="112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6.25 %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7,268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7,124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7,123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ORL Acquisition, Inc. (Revolver) </w:t>
            </w:r>
            <w:r>
              <w:rPr>
                <w:rFonts w:ascii="Times New Roman" w:cs="Times New Roman" w:eastAsia="Times New Roman" w:hAnsi="Times New Roman"/>
                <w:sz w:val="14"/>
                <w:szCs w:val="14"/>
                <w:color w:val="auto"/>
                <w:vertAlign w:val="superscript"/>
              </w:rPr>
              <w:t>(7), (9)</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09/03/2027</w:t>
            </w: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Consumer Finance</w:t>
            </w:r>
          </w:p>
        </w:tc>
        <w:tc>
          <w:tcPr>
            <w:tcW w:w="140" w:type="dxa"/>
            <w:vAlign w:val="bottom"/>
            <w:shd w:val="clear" w:color="auto" w:fill="CCECFF"/>
          </w:tcPr>
          <w:p>
            <w:pPr>
              <w:spacing w:after="0"/>
              <w:rPr>
                <w:sz w:val="11"/>
                <w:szCs w:val="11"/>
                <w:color w:val="auto"/>
              </w:rPr>
            </w:pPr>
          </w:p>
        </w:tc>
        <w:tc>
          <w:tcPr>
            <w:tcW w:w="980" w:type="dxa"/>
            <w:vAlign w:val="bottom"/>
            <w:gridSpan w:val="2"/>
            <w:shd w:val="clear" w:color="auto" w:fill="CCECFF"/>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861</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Output Services Group, Inc.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03/27/2024</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12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5.50 %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4,448</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4,459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Ox Two,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05/18/2026</w:t>
            </w: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Construction and Building</w:t>
            </w:r>
          </w:p>
        </w:tc>
        <w:tc>
          <w:tcPr>
            <w:tcW w:w="112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7.00 %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22,636</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22,296</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22,184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Ox Two, LLC (Revolver) </w:t>
            </w:r>
            <w:r>
              <w:rPr>
                <w:rFonts w:ascii="Times New Roman" w:cs="Times New Roman" w:eastAsia="Times New Roman" w:hAnsi="Times New Roman"/>
                <w:sz w:val="13"/>
                <w:szCs w:val="13"/>
                <w:color w:val="auto"/>
                <w:vertAlign w:val="superscript"/>
              </w:rPr>
              <w:t>(7)</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05/18/2026</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Construction and Building</w:t>
            </w:r>
          </w:p>
        </w:tc>
        <w:tc>
          <w:tcPr>
            <w:tcW w:w="112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7.00 %</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L+600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903</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903</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885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320" w:type="dxa"/>
            <w:vAlign w:val="bottom"/>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Ox Two,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05/18/2026</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Construction and Building</w:t>
            </w:r>
          </w:p>
        </w:tc>
        <w:tc>
          <w:tcPr>
            <w:tcW w:w="140" w:type="dxa"/>
            <w:vAlign w:val="bottom"/>
          </w:tcPr>
          <w:p>
            <w:pPr>
              <w:spacing w:after="0"/>
              <w:rPr>
                <w:sz w:val="12"/>
                <w:szCs w:val="12"/>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2,484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0" w:type="dxa"/>
            <w:vAlign w:val="bottom"/>
          </w:tcPr>
          <w:p>
            <w:pPr>
              <w:spacing w:after="0"/>
              <w:rPr>
                <w:sz w:val="1"/>
                <w:szCs w:val="1"/>
                <w:color w:val="auto"/>
              </w:rPr>
            </w:pPr>
          </w:p>
        </w:tc>
      </w:tr>
      <w:tr>
        <w:trPr>
          <w:trHeight w:val="144"/>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Plant Health Intermediate, Inc.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10/19/2022</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12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6.75 %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644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PlayPower,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05/08/2026</w:t>
            </w:r>
          </w:p>
        </w:tc>
        <w:tc>
          <w:tcPr>
            <w:tcW w:w="14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112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5.70 %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5,074</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5,037</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4,981</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PRA Events, Inc.</w:t>
            </w:r>
          </w:p>
        </w:tc>
        <w:tc>
          <w:tcPr>
            <w:tcW w:w="800" w:type="dxa"/>
            <w:vAlign w:val="bottom"/>
            <w:gridSpan w:val="2"/>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9"/>
              </w:rPr>
              <w:t>08/07/2025</w:t>
            </w:r>
          </w:p>
        </w:tc>
        <w:tc>
          <w:tcPr>
            <w:tcW w:w="140" w:type="dxa"/>
            <w:vAlign w:val="bottom"/>
          </w:tcPr>
          <w:p>
            <w:pPr>
              <w:spacing w:after="0"/>
              <w:rPr>
                <w:sz w:val="10"/>
                <w:szCs w:val="10"/>
                <w:color w:val="auto"/>
              </w:rPr>
            </w:pPr>
          </w:p>
        </w:tc>
        <w:tc>
          <w:tcPr>
            <w:tcW w:w="23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120" w:type="dxa"/>
            <w:vAlign w:val="bottom"/>
            <w:gridSpan w:val="3"/>
          </w:tcPr>
          <w:p>
            <w:pPr>
              <w:jc w:val="right"/>
              <w:ind w:right="106"/>
              <w:spacing w:after="0" w:line="122" w:lineRule="exact"/>
              <w:rPr>
                <w:sz w:val="20"/>
                <w:szCs w:val="20"/>
                <w:color w:val="auto"/>
              </w:rPr>
            </w:pPr>
            <w:r>
              <w:rPr>
                <w:rFonts w:ascii="Times New Roman" w:cs="Times New Roman" w:eastAsia="Times New Roman" w:hAnsi="Times New Roman"/>
                <w:sz w:val="11"/>
                <w:szCs w:val="11"/>
                <w:color w:val="auto"/>
              </w:rPr>
              <w:t>11.50 %</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1M L+1,050</w:t>
            </w:r>
          </w:p>
        </w:tc>
        <w:tc>
          <w:tcPr>
            <w:tcW w:w="9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3,158</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2,724</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2,985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(PIK 11.50%)</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Quantic Electronics, LLC</w:t>
            </w:r>
          </w:p>
        </w:tc>
        <w:tc>
          <w:tcPr>
            <w:tcW w:w="80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11/19/2026</w:t>
            </w:r>
          </w:p>
        </w:tc>
        <w:tc>
          <w:tcPr>
            <w:tcW w:w="14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112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7.25 %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8,716</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8,583</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8,542</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Quantic Electronics, LLC </w:t>
            </w:r>
            <w:r>
              <w:rPr>
                <w:rFonts w:ascii="Times New Roman" w:cs="Times New Roman" w:eastAsia="Times New Roman" w:hAnsi="Times New Roman"/>
                <w:sz w:val="13"/>
                <w:szCs w:val="13"/>
                <w:color w:val="auto"/>
                <w:vertAlign w:val="superscript"/>
              </w:rPr>
              <w:t>(7), (9)</w:t>
            </w:r>
          </w:p>
        </w:tc>
        <w:tc>
          <w:tcPr>
            <w:tcW w:w="800" w:type="dxa"/>
            <w:vAlign w:val="bottom"/>
            <w:gridSpan w:val="2"/>
          </w:tcPr>
          <w:p>
            <w:pPr>
              <w:jc w:val="center"/>
              <w:ind w:left="106"/>
              <w:spacing w:after="0" w:line="117" w:lineRule="exact"/>
              <w:rPr>
                <w:sz w:val="20"/>
                <w:szCs w:val="20"/>
                <w:color w:val="auto"/>
              </w:rPr>
            </w:pPr>
            <w:r>
              <w:rPr>
                <w:rFonts w:ascii="Times New Roman" w:cs="Times New Roman" w:eastAsia="Times New Roman" w:hAnsi="Times New Roman"/>
                <w:sz w:val="11"/>
                <w:szCs w:val="11"/>
                <w:color w:val="auto"/>
                <w:w w:val="95"/>
              </w:rPr>
              <w:t>11/19/2026</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140" w:type="dxa"/>
            <w:vAlign w:val="bottom"/>
          </w:tcPr>
          <w:p>
            <w:pPr>
              <w:spacing w:after="0"/>
              <w:rPr>
                <w:sz w:val="10"/>
                <w:szCs w:val="10"/>
                <w:color w:val="auto"/>
              </w:rPr>
            </w:pPr>
          </w:p>
        </w:tc>
        <w:tc>
          <w:tcPr>
            <w:tcW w:w="980" w:type="dxa"/>
            <w:vAlign w:val="bottom"/>
            <w:gridSpan w:val="2"/>
          </w:tcPr>
          <w:p>
            <w:pPr>
              <w:jc w:val="right"/>
              <w:ind w:right="226"/>
              <w:spacing w:after="0" w:line="117"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2,810</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(28 )</w:t>
            </w:r>
          </w:p>
        </w:tc>
        <w:tc>
          <w:tcPr>
            <w:tcW w:w="0" w:type="dxa"/>
            <w:vAlign w:val="bottom"/>
          </w:tcPr>
          <w:p>
            <w:pPr>
              <w:spacing w:after="0"/>
              <w:rPr>
                <w:sz w:val="1"/>
                <w:szCs w:val="1"/>
                <w:color w:val="auto"/>
              </w:rPr>
            </w:pPr>
          </w:p>
        </w:tc>
      </w:tr>
      <w:tr>
        <w:trPr>
          <w:trHeight w:val="140"/>
        </w:trPr>
        <w:tc>
          <w:tcPr>
            <w:tcW w:w="3320" w:type="dxa"/>
            <w:vAlign w:val="bottom"/>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Quantic Electronics,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11/19/2026</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140" w:type="dxa"/>
            <w:vAlign w:val="bottom"/>
          </w:tcPr>
          <w:p>
            <w:pPr>
              <w:spacing w:after="0"/>
              <w:rPr>
                <w:sz w:val="12"/>
                <w:szCs w:val="12"/>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670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(13 )</w:t>
            </w:r>
          </w:p>
        </w:tc>
        <w:tc>
          <w:tcPr>
            <w:tcW w:w="0" w:type="dxa"/>
            <w:vAlign w:val="bottom"/>
          </w:tcPr>
          <w:p>
            <w:pPr>
              <w:spacing w:after="0"/>
              <w:rPr>
                <w:sz w:val="1"/>
                <w:szCs w:val="1"/>
                <w:color w:val="auto"/>
              </w:rPr>
            </w:pPr>
          </w:p>
        </w:tc>
      </w:tr>
      <w:tr>
        <w:trPr>
          <w:trHeight w:val="144"/>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Questex,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09/09/2024</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12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6.00 %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7,275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7,195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6,839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Questex, LLC (Revolver)</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09/09/2024</w:t>
            </w:r>
          </w:p>
        </w:tc>
        <w:tc>
          <w:tcPr>
            <w:tcW w:w="14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12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6.00 %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718</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718</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675</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Questex,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09/09/2024</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40" w:type="dxa"/>
            <w:vAlign w:val="bottom"/>
          </w:tcPr>
          <w:p>
            <w:pPr>
              <w:spacing w:after="0"/>
              <w:rPr>
                <w:sz w:val="11"/>
                <w:szCs w:val="11"/>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479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(29 )</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Rancho Health MSO, Inc. </w:t>
            </w:r>
            <w:r>
              <w:rPr>
                <w:rFonts w:ascii="Times New Roman" w:cs="Times New Roman" w:eastAsia="Times New Roman" w:hAnsi="Times New Roman"/>
                <w:sz w:val="14"/>
                <w:szCs w:val="14"/>
                <w:color w:val="auto"/>
                <w:vertAlign w:val="superscript"/>
              </w:rPr>
              <w:t>(7)</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12/18/2025</w:t>
            </w: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12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6.75 %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1,050</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Rancho Health MSO, Inc.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12/18/2025</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40" w:type="dxa"/>
            <w:vAlign w:val="bottom"/>
          </w:tcPr>
          <w:p>
            <w:pPr>
              <w:spacing w:after="0"/>
              <w:rPr>
                <w:sz w:val="11"/>
                <w:szCs w:val="11"/>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525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Recteq,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01/29/2026</w:t>
            </w: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112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7.00 %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1,493</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1,466</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Recteq,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01/29/2026</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140" w:type="dxa"/>
            <w:vAlign w:val="bottom"/>
          </w:tcPr>
          <w:p>
            <w:pPr>
              <w:spacing w:after="0"/>
              <w:rPr>
                <w:sz w:val="11"/>
                <w:szCs w:val="11"/>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1,296</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(13 )</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Research Horizons,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06/28/2022</w:t>
            </w: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Media: Advertising, Printing and Publishing</w:t>
            </w:r>
          </w:p>
        </w:tc>
        <w:tc>
          <w:tcPr>
            <w:tcW w:w="112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7.25 %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6,719</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6,694</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6,652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Research Now Group, Inc. and Dynata,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12/20/2024</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12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6.50 %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17,322</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17,099</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17,102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Riverpoint Medical,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06/20/2025</w:t>
            </w: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12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6.00 %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8,115</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8,039</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8,015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Riverpoint Medical,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06/20/2025</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40" w:type="dxa"/>
            <w:vAlign w:val="bottom"/>
          </w:tcPr>
          <w:p>
            <w:pPr>
              <w:spacing w:after="0"/>
              <w:rPr>
                <w:sz w:val="11"/>
                <w:szCs w:val="11"/>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909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(11 )</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Riverside Assessments,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03/10/2025</w:t>
            </w: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12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6.75 %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16,174</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15,950</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15,769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Sales Benchmark Index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01/03/2025</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Professional Services</w:t>
            </w:r>
          </w:p>
        </w:tc>
        <w:tc>
          <w:tcPr>
            <w:tcW w:w="112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7.75 %</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L+600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7,906</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7,796</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7,708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320" w:type="dxa"/>
            <w:vAlign w:val="bottom"/>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Sales Benchmark Index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01/03/2025</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40" w:type="dxa"/>
            <w:vAlign w:val="bottom"/>
          </w:tcPr>
          <w:p>
            <w:pPr>
              <w:spacing w:after="0"/>
              <w:rPr>
                <w:sz w:val="12"/>
                <w:szCs w:val="12"/>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1,293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(32 )</w:t>
            </w:r>
          </w:p>
        </w:tc>
        <w:tc>
          <w:tcPr>
            <w:tcW w:w="0" w:type="dxa"/>
            <w:vAlign w:val="bottom"/>
          </w:tcPr>
          <w:p>
            <w:pPr>
              <w:spacing w:after="0"/>
              <w:rPr>
                <w:sz w:val="1"/>
                <w:szCs w:val="1"/>
                <w:color w:val="auto"/>
              </w:rPr>
            </w:pPr>
          </w:p>
        </w:tc>
      </w:tr>
      <w:tr>
        <w:trPr>
          <w:trHeight w:val="144"/>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Sargent &amp; Greenleaf Inc.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12/20/2024</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112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7.00 %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3,694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3,656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3,694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Sargent &amp; Greenleaf Inc. (Revolver)</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12/20/2024</w:t>
            </w:r>
          </w:p>
        </w:tc>
        <w:tc>
          <w:tcPr>
            <w:tcW w:w="14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112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7.00 %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528</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528</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528</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Sargent &amp; Greenleaf Inc. (Revolver) </w:t>
            </w:r>
            <w:r>
              <w:rPr>
                <w:rFonts w:ascii="Times New Roman" w:cs="Times New Roman" w:eastAsia="Times New Roman" w:hAnsi="Times New Roman"/>
                <w:sz w:val="14"/>
                <w:szCs w:val="14"/>
                <w:color w:val="auto"/>
                <w:vertAlign w:val="superscript"/>
              </w:rPr>
              <w:t>(7),(9)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12/20/2024</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140" w:type="dxa"/>
            <w:vAlign w:val="bottom"/>
          </w:tcPr>
          <w:p>
            <w:pPr>
              <w:spacing w:after="0"/>
              <w:rPr>
                <w:sz w:val="11"/>
                <w:szCs w:val="11"/>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528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Schlesinger Global,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07/14/2025</w:t>
            </w: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12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8.00 %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13,377</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13,275</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12,775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Schlesinger Global, Inc. (Revolver)</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07/14/2025</w:t>
            </w:r>
          </w:p>
        </w:tc>
        <w:tc>
          <w:tcPr>
            <w:tcW w:w="14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Professional Services</w:t>
            </w:r>
          </w:p>
        </w:tc>
        <w:tc>
          <w:tcPr>
            <w:tcW w:w="112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8.00 %</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L+700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1,181</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1,181</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1,128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320" w:type="dxa"/>
            <w:vAlign w:val="bottom"/>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Schlesinger Global, Inc.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07/14/2025</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40" w:type="dxa"/>
            <w:vAlign w:val="bottom"/>
          </w:tcPr>
          <w:p>
            <w:pPr>
              <w:spacing w:after="0"/>
              <w:rPr>
                <w:sz w:val="12"/>
                <w:szCs w:val="12"/>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691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(31 )</w:t>
            </w:r>
          </w:p>
        </w:tc>
        <w:tc>
          <w:tcPr>
            <w:tcW w:w="0" w:type="dxa"/>
            <w:vAlign w:val="bottom"/>
          </w:tcPr>
          <w:p>
            <w:pPr>
              <w:spacing w:after="0"/>
              <w:rPr>
                <w:sz w:val="1"/>
                <w:szCs w:val="1"/>
                <w:color w:val="auto"/>
              </w:rPr>
            </w:pPr>
          </w:p>
        </w:tc>
      </w:tr>
      <w:tr>
        <w:trPr>
          <w:trHeight w:val="130"/>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Sigma Defense Systems,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12/18/2025</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12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9.75 %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L+875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805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787</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320" w:type="dxa"/>
            <w:vAlign w:val="bottom"/>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Sigma Defense Systems,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12/18/2025</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40" w:type="dxa"/>
            <w:vAlign w:val="bottom"/>
          </w:tcPr>
          <w:p>
            <w:pPr>
              <w:spacing w:after="0"/>
              <w:rPr>
                <w:sz w:val="12"/>
                <w:szCs w:val="12"/>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837</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(15 )</w:t>
            </w:r>
          </w:p>
        </w:tc>
        <w:tc>
          <w:tcPr>
            <w:tcW w:w="0" w:type="dxa"/>
            <w:vAlign w:val="bottom"/>
          </w:tcPr>
          <w:p>
            <w:pPr>
              <w:spacing w:after="0"/>
              <w:rPr>
                <w:sz w:val="1"/>
                <w:szCs w:val="1"/>
                <w:color w:val="auto"/>
              </w:rPr>
            </w:pPr>
          </w:p>
        </w:tc>
      </w:tr>
      <w:tr>
        <w:trPr>
          <w:trHeight w:val="144"/>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Signature Systems Holding Company</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05/03/2024</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12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8.50 %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L+750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11,700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11,598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11,583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320" w:type="dxa"/>
            <w:vAlign w:val="bottom"/>
            <w:shd w:val="clear" w:color="auto" w:fill="CCECFF"/>
          </w:tcPr>
          <w:p>
            <w:pPr>
              <w:ind w:left="20"/>
              <w:spacing w:after="0" w:line="139" w:lineRule="exact"/>
              <w:rPr>
                <w:sz w:val="20"/>
                <w:szCs w:val="20"/>
                <w:color w:val="auto"/>
              </w:rPr>
            </w:pPr>
            <w:r>
              <w:rPr>
                <w:rFonts w:ascii="Times New Roman" w:cs="Times New Roman" w:eastAsia="Times New Roman" w:hAnsi="Times New Roman"/>
                <w:sz w:val="11"/>
                <w:szCs w:val="11"/>
                <w:color w:val="auto"/>
              </w:rPr>
              <w:t xml:space="preserve">Signature Systems Holding Company (Revolver) </w:t>
            </w:r>
            <w:r>
              <w:rPr>
                <w:rFonts w:ascii="Times New Roman" w:cs="Times New Roman" w:eastAsia="Times New Roman" w:hAnsi="Times New Roman"/>
                <w:sz w:val="14"/>
                <w:szCs w:val="14"/>
                <w:color w:val="auto"/>
                <w:vertAlign w:val="superscript"/>
              </w:rPr>
              <w:t>(7)</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05/03/2024</w:t>
            </w:r>
          </w:p>
        </w:tc>
        <w:tc>
          <w:tcPr>
            <w:tcW w:w="14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12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8.50 %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L+750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419</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419</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415</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Signature Systems Holding Company (Revolver)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05/03/2024</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40" w:type="dxa"/>
            <w:vAlign w:val="bottom"/>
          </w:tcPr>
          <w:p>
            <w:pPr>
              <w:spacing w:after="0"/>
              <w:rPr>
                <w:sz w:val="11"/>
                <w:szCs w:val="11"/>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1,328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(13 )</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Signature Systems Holding Company - Term Loan II</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12/31/2021</w:t>
            </w: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12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8.50 %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L+750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699</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695</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-6685915</wp:posOffset>
            </wp:positionV>
            <wp:extent cx="7132320" cy="8572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-6000115</wp:posOffset>
            </wp:positionV>
            <wp:extent cx="7132320" cy="8572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-4628515</wp:posOffset>
            </wp:positionV>
            <wp:extent cx="7132320" cy="8572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-3771265</wp:posOffset>
            </wp:positionV>
            <wp:extent cx="7132320" cy="8572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-3599815</wp:posOffset>
            </wp:positionV>
            <wp:extent cx="7132320" cy="857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-2914015</wp:posOffset>
            </wp:positionV>
            <wp:extent cx="7132320" cy="8572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-2313940</wp:posOffset>
            </wp:positionV>
            <wp:extent cx="7132320" cy="8572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-1113790</wp:posOffset>
            </wp:positionV>
            <wp:extent cx="7132320" cy="8572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8572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572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4" w:name="page15"/>
    <w:bookmarkEnd w:id="14"/>
    <w:p>
      <w:pPr>
        <w:ind w:left="3260"/>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bl>
      <w:tblPr>
        <w:tblLayout w:type="fixed"/>
        <w:tblInd w:w="0" w:type="dxa"/>
        <w:tblCellMar>
          <w:top w:w="0" w:type="dxa"/>
          <w:left w:w="0" w:type="dxa"/>
          <w:bottom w:w="0" w:type="dxa"/>
          <w:right w:w="0" w:type="dxa"/>
        </w:tblCellMar>
      </w:tblPr>
      <w:tr>
        <w:trPr>
          <w:trHeight w:val="114"/>
        </w:trPr>
        <w:tc>
          <w:tcPr>
            <w:tcW w:w="3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w w:val="99"/>
              </w:rPr>
              <w:t>Basis Point</w:t>
            </w: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3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restart"/>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76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rPr>
              <w:t>Spread</w:t>
            </w:r>
          </w:p>
        </w:tc>
        <w:tc>
          <w:tcPr>
            <w:tcW w:w="160" w:type="dxa"/>
            <w:vAlign w:val="bottom"/>
          </w:tcPr>
          <w:p>
            <w:pPr>
              <w:spacing w:after="0"/>
              <w:rPr>
                <w:sz w:val="9"/>
                <w:szCs w:val="9"/>
                <w:color w:val="auto"/>
              </w:rPr>
            </w:pPr>
          </w:p>
        </w:tc>
        <w:tc>
          <w:tcPr>
            <w:tcW w:w="76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Par /</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7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Above</w:t>
            </w:r>
          </w:p>
        </w:tc>
        <w:tc>
          <w:tcPr>
            <w:tcW w:w="1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8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40" w:type="dxa"/>
            <w:vAlign w:val="bottom"/>
          </w:tcPr>
          <w:p>
            <w:pPr>
              <w:spacing w:after="0"/>
              <w:rPr>
                <w:sz w:val="14"/>
                <w:szCs w:val="14"/>
                <w:color w:val="auto"/>
              </w:rPr>
            </w:pPr>
          </w:p>
        </w:tc>
        <w:tc>
          <w:tcPr>
            <w:tcW w:w="940" w:type="dxa"/>
            <w:vAlign w:val="bottom"/>
            <w:gridSpan w:val="2"/>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160" w:type="dxa"/>
            <w:vAlign w:val="bottom"/>
          </w:tcPr>
          <w:p>
            <w:pPr>
              <w:spacing w:after="0"/>
              <w:rPr>
                <w:sz w:val="14"/>
                <w:szCs w:val="14"/>
                <w:color w:val="auto"/>
              </w:rPr>
            </w:pPr>
          </w:p>
        </w:tc>
        <w:tc>
          <w:tcPr>
            <w:tcW w:w="76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0"/>
              </w:rPr>
              <w:t xml:space="preserve">Fair Value </w:t>
            </w:r>
            <w:r>
              <w:rPr>
                <w:rFonts w:ascii="Times New Roman" w:cs="Times New Roman" w:eastAsia="Times New Roman" w:hAnsi="Times New Roman"/>
                <w:sz w:val="14"/>
                <w:szCs w:val="14"/>
                <w:b w:val="1"/>
                <w:bCs w:val="1"/>
                <w:color w:val="auto"/>
                <w:w w:val="90"/>
                <w:vertAlign w:val="superscript"/>
              </w:rPr>
              <w:t>(2)</w:t>
            </w:r>
          </w:p>
        </w:tc>
        <w:tc>
          <w:tcPr>
            <w:tcW w:w="0" w:type="dxa"/>
            <w:vAlign w:val="bottom"/>
          </w:tcPr>
          <w:p>
            <w:pPr>
              <w:spacing w:after="0"/>
              <w:rPr>
                <w:sz w:val="1"/>
                <w:szCs w:val="1"/>
                <w:color w:val="auto"/>
              </w:rPr>
            </w:pPr>
          </w:p>
        </w:tc>
      </w:tr>
      <w:tr>
        <w:trPr>
          <w:trHeight w:val="129"/>
        </w:trPr>
        <w:tc>
          <w:tcPr>
            <w:tcW w:w="332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Smile Brands Inc.</w:t>
            </w:r>
          </w:p>
        </w:tc>
        <w:tc>
          <w:tcPr>
            <w:tcW w:w="140" w:type="dxa"/>
            <w:vAlign w:val="bottom"/>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10/14/2024</w:t>
            </w:r>
          </w:p>
        </w:tc>
        <w:tc>
          <w:tcPr>
            <w:tcW w:w="180" w:type="dxa"/>
            <w:vAlign w:val="bottom"/>
            <w:shd w:val="clear" w:color="auto" w:fill="CCECFF"/>
          </w:tcPr>
          <w:p>
            <w:pPr>
              <w:spacing w:after="0"/>
              <w:rPr>
                <w:sz w:val="11"/>
                <w:szCs w:val="11"/>
                <w:color w:val="auto"/>
              </w:rPr>
            </w:pPr>
          </w:p>
        </w:tc>
        <w:tc>
          <w:tcPr>
            <w:tcW w:w="236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Healthcare and Pharmaceuticals</w:t>
            </w:r>
          </w:p>
        </w:tc>
        <w:tc>
          <w:tcPr>
            <w:tcW w:w="140" w:type="dxa"/>
            <w:vAlign w:val="bottom"/>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5.27</w:t>
            </w:r>
          </w:p>
        </w:tc>
        <w:tc>
          <w:tcPr>
            <w:tcW w:w="240" w:type="dxa"/>
            <w:vAlign w:val="bottom"/>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w w:val="86"/>
              </w:rPr>
              <w:t>%</w:t>
            </w:r>
          </w:p>
        </w:tc>
        <w:tc>
          <w:tcPr>
            <w:tcW w:w="7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160" w:type="dxa"/>
            <w:vAlign w:val="bottom"/>
            <w:shd w:val="clear" w:color="auto" w:fill="CCECFF"/>
          </w:tcPr>
          <w:p>
            <w:pPr>
              <w:spacing w:after="0"/>
              <w:rPr>
                <w:sz w:val="11"/>
                <w:szCs w:val="11"/>
                <w:color w:val="auto"/>
              </w:rPr>
            </w:pPr>
          </w:p>
        </w:tc>
        <w:tc>
          <w:tcPr>
            <w:tcW w:w="7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1,962</w:t>
            </w:r>
          </w:p>
        </w:tc>
        <w:tc>
          <w:tcPr>
            <w:tcW w:w="160" w:type="dxa"/>
            <w:vAlign w:val="bottom"/>
            <w:shd w:val="clear" w:color="auto" w:fill="CCECFF"/>
          </w:tcPr>
          <w:p>
            <w:pPr>
              <w:spacing w:after="0"/>
              <w:rPr>
                <w:sz w:val="11"/>
                <w:szCs w:val="11"/>
                <w:color w:val="auto"/>
              </w:rPr>
            </w:pPr>
          </w:p>
        </w:tc>
        <w:tc>
          <w:tcPr>
            <w:tcW w:w="160" w:type="dxa"/>
            <w:vAlign w:val="bottom"/>
            <w:tcBorders>
              <w:top w:val="single" w:sz="8" w:color="auto"/>
            </w:tcBorders>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1,962</w:t>
            </w:r>
          </w:p>
        </w:tc>
        <w:tc>
          <w:tcPr>
            <w:tcW w:w="160" w:type="dxa"/>
            <w:vAlign w:val="bottom"/>
            <w:shd w:val="clear" w:color="auto" w:fill="CCECFF"/>
          </w:tcPr>
          <w:p>
            <w:pPr>
              <w:spacing w:after="0"/>
              <w:rPr>
                <w:sz w:val="11"/>
                <w:szCs w:val="11"/>
                <w:color w:val="auto"/>
              </w:rPr>
            </w:pPr>
          </w:p>
        </w:tc>
        <w:tc>
          <w:tcPr>
            <w:tcW w:w="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1,942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Smile Brands Inc.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10/14/2024</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Healthcare and Pharmaceuticals</w:t>
            </w:r>
          </w:p>
        </w:tc>
        <w:tc>
          <w:tcPr>
            <w:tcW w:w="140" w:type="dxa"/>
            <w:vAlign w:val="bottom"/>
          </w:tcPr>
          <w:p>
            <w:pPr>
              <w:spacing w:after="0"/>
              <w:rPr>
                <w:sz w:val="11"/>
                <w:szCs w:val="11"/>
                <w:color w:val="auto"/>
              </w:rPr>
            </w:pPr>
          </w:p>
        </w:tc>
        <w:tc>
          <w:tcPr>
            <w:tcW w:w="94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1,616</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(16 )</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Snak Club, LLC (Revolver) </w:t>
            </w:r>
            <w:r>
              <w:rPr>
                <w:rFonts w:ascii="Times New Roman" w:cs="Times New Roman" w:eastAsia="Times New Roman" w:hAnsi="Times New Roman"/>
                <w:sz w:val="14"/>
                <w:szCs w:val="14"/>
                <w:color w:val="auto"/>
                <w:vertAlign w:val="superscript"/>
              </w:rPr>
              <w:t>(7)</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07/19/2021</w:t>
            </w:r>
          </w:p>
        </w:tc>
        <w:tc>
          <w:tcPr>
            <w:tcW w:w="18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108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7.00 %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Snak Club, LLC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07/19/2021</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140" w:type="dxa"/>
            <w:vAlign w:val="bottom"/>
          </w:tcPr>
          <w:p>
            <w:pPr>
              <w:spacing w:after="0"/>
              <w:rPr>
                <w:sz w:val="11"/>
                <w:szCs w:val="11"/>
                <w:color w:val="auto"/>
              </w:rPr>
            </w:pPr>
          </w:p>
        </w:tc>
        <w:tc>
          <w:tcPr>
            <w:tcW w:w="94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428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Solutionreach, Inc.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01/17/2024</w:t>
            </w:r>
          </w:p>
        </w:tc>
        <w:tc>
          <w:tcPr>
            <w:tcW w:w="18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108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6.75 %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5,989</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5,928</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5,989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Solutionreach, Inc.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01/17/2024</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140" w:type="dxa"/>
            <w:vAlign w:val="bottom"/>
          </w:tcPr>
          <w:p>
            <w:pPr>
              <w:spacing w:after="0"/>
              <w:rPr>
                <w:sz w:val="11"/>
                <w:szCs w:val="11"/>
                <w:color w:val="auto"/>
              </w:rPr>
            </w:pPr>
          </w:p>
        </w:tc>
        <w:tc>
          <w:tcPr>
            <w:tcW w:w="94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1,665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Spear Education,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02/26/2025</w:t>
            </w:r>
          </w:p>
        </w:tc>
        <w:tc>
          <w:tcPr>
            <w:tcW w:w="18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08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6.00 %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14,898</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14,752</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14,898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Spear Education, LLC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02/26/2022</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40" w:type="dxa"/>
            <w:vAlign w:val="bottom"/>
          </w:tcPr>
          <w:p>
            <w:pPr>
              <w:spacing w:after="0"/>
              <w:rPr>
                <w:sz w:val="11"/>
                <w:szCs w:val="11"/>
                <w:color w:val="auto"/>
              </w:rPr>
            </w:pPr>
          </w:p>
        </w:tc>
        <w:tc>
          <w:tcPr>
            <w:tcW w:w="94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6,875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Spectacle Gary Holdings,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12/23/2025</w:t>
            </w:r>
          </w:p>
        </w:tc>
        <w:tc>
          <w:tcPr>
            <w:tcW w:w="18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Hotels, Restaurants and Leisure</w:t>
            </w:r>
          </w:p>
        </w:tc>
        <w:tc>
          <w:tcPr>
            <w:tcW w:w="108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11.00 %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L+900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4,988</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4,871</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5,415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STV Group Incorporated</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12/11/2026</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Construction &amp; Engineering</w:t>
            </w:r>
          </w:p>
        </w:tc>
        <w:tc>
          <w:tcPr>
            <w:tcW w:w="108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5.33 %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4,752</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4,712</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4,728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TAC LifePort Purchaser,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03/01/2026</w:t>
            </w:r>
          </w:p>
        </w:tc>
        <w:tc>
          <w:tcPr>
            <w:tcW w:w="18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8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7.00 %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531</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521</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TAC LifePort Purchaser, LLC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03/01/2026</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1"/>
                <w:szCs w:val="11"/>
                <w:color w:val="auto"/>
              </w:rPr>
            </w:pPr>
          </w:p>
        </w:tc>
        <w:tc>
          <w:tcPr>
            <w:tcW w:w="94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1,302</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(0 )</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TeleGuam Holdings,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11/20/2025</w:t>
            </w:r>
          </w:p>
        </w:tc>
        <w:tc>
          <w:tcPr>
            <w:tcW w:w="18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Wireless Telecommunication Services</w:t>
            </w:r>
          </w:p>
        </w:tc>
        <w:tc>
          <w:tcPr>
            <w:tcW w:w="108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5.50 %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3,127</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3,103</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3,096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Teneo Holdings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07/18/2025</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Diversified Financial Services</w:t>
            </w:r>
          </w:p>
        </w:tc>
        <w:tc>
          <w:tcPr>
            <w:tcW w:w="108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6.25 %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5,853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5,754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5,821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Aegis Technologies Group,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10/31/2025</w:t>
            </w:r>
          </w:p>
        </w:tc>
        <w:tc>
          <w:tcPr>
            <w:tcW w:w="18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8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7.00 %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4,968</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4,900</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4,919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The Bluebird Group LLC</w:t>
            </w:r>
          </w:p>
        </w:tc>
        <w:tc>
          <w:tcPr>
            <w:tcW w:w="7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07/27/2026</w:t>
            </w:r>
          </w:p>
        </w:tc>
        <w:tc>
          <w:tcPr>
            <w:tcW w:w="180" w:type="dxa"/>
            <w:vAlign w:val="bottom"/>
          </w:tcPr>
          <w:p>
            <w:pPr>
              <w:spacing w:after="0"/>
              <w:rPr>
                <w:sz w:val="10"/>
                <w:szCs w:val="10"/>
                <w:color w:val="auto"/>
              </w:rPr>
            </w:pPr>
          </w:p>
        </w:tc>
        <w:tc>
          <w:tcPr>
            <w:tcW w:w="23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Professional Services</w:t>
            </w:r>
          </w:p>
        </w:tc>
        <w:tc>
          <w:tcPr>
            <w:tcW w:w="1080" w:type="dxa"/>
            <w:vAlign w:val="bottom"/>
            <w:gridSpan w:val="3"/>
          </w:tcPr>
          <w:p>
            <w:pPr>
              <w:jc w:val="right"/>
              <w:ind w:right="86"/>
              <w:spacing w:after="0" w:line="117" w:lineRule="exact"/>
              <w:rPr>
                <w:sz w:val="20"/>
                <w:szCs w:val="20"/>
                <w:color w:val="auto"/>
              </w:rPr>
            </w:pPr>
            <w:r>
              <w:rPr>
                <w:rFonts w:ascii="Times New Roman" w:cs="Times New Roman" w:eastAsia="Times New Roman" w:hAnsi="Times New Roman"/>
                <w:sz w:val="11"/>
                <w:szCs w:val="11"/>
                <w:color w:val="auto"/>
              </w:rPr>
              <w:t>8.00 %</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L+700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4,844</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4,750</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4,814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320" w:type="dxa"/>
            <w:vAlign w:val="bottom"/>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The Bluebird Group LLC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07/27/2026</w:t>
            </w:r>
          </w:p>
        </w:tc>
        <w:tc>
          <w:tcPr>
            <w:tcW w:w="18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40" w:type="dxa"/>
            <w:vAlign w:val="bottom"/>
          </w:tcPr>
          <w:p>
            <w:pPr>
              <w:spacing w:after="0"/>
              <w:rPr>
                <w:sz w:val="12"/>
                <w:szCs w:val="12"/>
                <w:color w:val="auto"/>
              </w:rPr>
            </w:pPr>
          </w:p>
        </w:tc>
        <w:tc>
          <w:tcPr>
            <w:tcW w:w="94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862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(5 )</w:t>
            </w:r>
          </w:p>
        </w:tc>
        <w:tc>
          <w:tcPr>
            <w:tcW w:w="0" w:type="dxa"/>
            <w:vAlign w:val="bottom"/>
          </w:tcPr>
          <w:p>
            <w:pPr>
              <w:spacing w:after="0"/>
              <w:rPr>
                <w:sz w:val="1"/>
                <w:szCs w:val="1"/>
                <w:color w:val="auto"/>
              </w:rPr>
            </w:pPr>
          </w:p>
        </w:tc>
      </w:tr>
      <w:tr>
        <w:trPr>
          <w:trHeight w:val="130"/>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The Infosoft Group,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09/16/2024</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Media: Broadcasting and Subscription</w:t>
            </w:r>
          </w:p>
        </w:tc>
        <w:tc>
          <w:tcPr>
            <w:tcW w:w="108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6.75 %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15,725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15,633</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The Vertex Companies, LLC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08/30/2027</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Construction &amp; Engineering</w:t>
            </w:r>
          </w:p>
        </w:tc>
        <w:tc>
          <w:tcPr>
            <w:tcW w:w="140" w:type="dxa"/>
            <w:vAlign w:val="bottom"/>
          </w:tcPr>
          <w:p>
            <w:pPr>
              <w:spacing w:after="0"/>
              <w:rPr>
                <w:sz w:val="11"/>
                <w:szCs w:val="11"/>
                <w:color w:val="auto"/>
              </w:rPr>
            </w:pPr>
          </w:p>
        </w:tc>
        <w:tc>
          <w:tcPr>
            <w:tcW w:w="94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2,734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(24 )</w:t>
            </w: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The Vertex Companies, LLC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08/30/2027</w:t>
            </w:r>
          </w:p>
        </w:tc>
        <w:tc>
          <w:tcPr>
            <w:tcW w:w="18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Construction &amp; Engineering</w:t>
            </w:r>
          </w:p>
        </w:tc>
        <w:tc>
          <w:tcPr>
            <w:tcW w:w="140" w:type="dxa"/>
            <w:vAlign w:val="bottom"/>
          </w:tcPr>
          <w:p>
            <w:pPr>
              <w:spacing w:after="0"/>
              <w:rPr>
                <w:sz w:val="13"/>
                <w:szCs w:val="13"/>
                <w:color w:val="auto"/>
              </w:rPr>
            </w:pPr>
          </w:p>
        </w:tc>
        <w:tc>
          <w:tcPr>
            <w:tcW w:w="94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911</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(17 )</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TPC Canada Parent, Inc. and TPC US Parent, LLC </w:t>
            </w:r>
            <w:r>
              <w:rPr>
                <w:rFonts w:ascii="Times New Roman" w:cs="Times New Roman" w:eastAsia="Times New Roman" w:hAnsi="Times New Roman"/>
                <w:sz w:val="14"/>
                <w:szCs w:val="14"/>
                <w:color w:val="auto"/>
                <w:vertAlign w:val="superscript"/>
              </w:rPr>
              <w:t>(5), (10)</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11/24/2025</w:t>
            </w:r>
          </w:p>
        </w:tc>
        <w:tc>
          <w:tcPr>
            <w:tcW w:w="18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Food Products</w:t>
            </w:r>
          </w:p>
        </w:tc>
        <w:tc>
          <w:tcPr>
            <w:tcW w:w="108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6.25 %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4,913</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4,876</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4,765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TVC Enterprises,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03/26/2026</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08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6.75 %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24,987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24,663</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24,987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TVC Enterprises, LLC (Revolver) </w:t>
            </w:r>
            <w:r>
              <w:rPr>
                <w:rFonts w:ascii="Times New Roman" w:cs="Times New Roman" w:eastAsia="Times New Roman" w:hAnsi="Times New Roman"/>
                <w:sz w:val="14"/>
                <w:szCs w:val="14"/>
                <w:color w:val="auto"/>
                <w:vertAlign w:val="superscript"/>
              </w:rPr>
              <w:t>(7), (9)</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03/26/2026</w:t>
            </w:r>
          </w:p>
        </w:tc>
        <w:tc>
          <w:tcPr>
            <w:tcW w:w="18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1,304</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06/16/2025</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08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7.25 %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6,636</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6,524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6,636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TWS Acquisition Corporation (Revolver) </w:t>
            </w:r>
            <w:r>
              <w:rPr>
                <w:rFonts w:ascii="Times New Roman" w:cs="Times New Roman" w:eastAsia="Times New Roman" w:hAnsi="Times New Roman"/>
                <w:sz w:val="14"/>
                <w:szCs w:val="14"/>
                <w:color w:val="auto"/>
                <w:vertAlign w:val="superscript"/>
              </w:rPr>
              <w:t>(7), (9)</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06/16/2025</w:t>
            </w:r>
          </w:p>
        </w:tc>
        <w:tc>
          <w:tcPr>
            <w:tcW w:w="18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2,628</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Tyto Athene,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04/01/2028</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IT Services</w:t>
            </w:r>
          </w:p>
        </w:tc>
        <w:tc>
          <w:tcPr>
            <w:tcW w:w="108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6.25 %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12,036</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11,861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12,036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Tyto Athene, LLC (Revolver) </w:t>
            </w:r>
            <w:r>
              <w:rPr>
                <w:rFonts w:ascii="Times New Roman" w:cs="Times New Roman" w:eastAsia="Times New Roman" w:hAnsi="Times New Roman"/>
                <w:sz w:val="14"/>
                <w:szCs w:val="14"/>
                <w:color w:val="auto"/>
                <w:vertAlign w:val="superscript"/>
              </w:rPr>
              <w:t>(7), (9)</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04/01/2026</w:t>
            </w:r>
          </w:p>
        </w:tc>
        <w:tc>
          <w:tcPr>
            <w:tcW w:w="18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IT Services</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1,040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UBEO,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04/03/2024</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108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5.50 %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18,112</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18,015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18,022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UBEO, LLC (Revolver)</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04/03/2024</w:t>
            </w:r>
          </w:p>
        </w:tc>
        <w:tc>
          <w:tcPr>
            <w:tcW w:w="18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108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5.50 %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1,467</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1,467</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UBEO, LLC (Revolver) </w:t>
            </w:r>
            <w:r>
              <w:rPr>
                <w:rFonts w:ascii="Times New Roman" w:cs="Times New Roman" w:eastAsia="Times New Roman" w:hAnsi="Times New Roman"/>
                <w:sz w:val="14"/>
                <w:szCs w:val="14"/>
                <w:color w:val="auto"/>
                <w:vertAlign w:val="superscript"/>
              </w:rPr>
              <w:t>(9)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04/03/2024</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140" w:type="dxa"/>
            <w:vAlign w:val="bottom"/>
          </w:tcPr>
          <w:p>
            <w:pPr>
              <w:spacing w:after="0"/>
              <w:rPr>
                <w:sz w:val="11"/>
                <w:szCs w:val="11"/>
                <w:color w:val="auto"/>
              </w:rPr>
            </w:pPr>
          </w:p>
        </w:tc>
        <w:tc>
          <w:tcPr>
            <w:tcW w:w="94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1,467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(7 )</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Urology Management Associates,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08/30/2024</w:t>
            </w:r>
          </w:p>
        </w:tc>
        <w:tc>
          <w:tcPr>
            <w:tcW w:w="18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Providers and Services</w:t>
            </w:r>
          </w:p>
        </w:tc>
        <w:tc>
          <w:tcPr>
            <w:tcW w:w="108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5.50 %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4,776</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4,721</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4,752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Vision Purchaser Corporation</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06/10/2025</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08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7.75 %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L+675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14,249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14,045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14,035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Walker Edison Furniture Company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03/31/2027</w:t>
            </w:r>
          </w:p>
        </w:tc>
        <w:tc>
          <w:tcPr>
            <w:tcW w:w="18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Wholesale</w:t>
            </w:r>
          </w:p>
        </w:tc>
        <w:tc>
          <w:tcPr>
            <w:tcW w:w="108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6.75 %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12,438</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12,147</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11,971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Wildcat Buyerco, Inc.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02/27/2026</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108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6.00 %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3,057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3,039</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3,042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Wildcat Buyerco, Inc. </w:t>
            </w:r>
            <w:r>
              <w:rPr>
                <w:rFonts w:ascii="Times New Roman" w:cs="Times New Roman" w:eastAsia="Times New Roman" w:hAnsi="Times New Roman"/>
                <w:sz w:val="14"/>
                <w:szCs w:val="14"/>
                <w:color w:val="auto"/>
                <w:vertAlign w:val="superscript"/>
              </w:rPr>
              <w:t>(7), (9)</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02/27/2022</w:t>
            </w:r>
          </w:p>
        </w:tc>
        <w:tc>
          <w:tcPr>
            <w:tcW w:w="18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2,491</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Wildcat Buyerco, Inc.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02/27/2026</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140" w:type="dxa"/>
            <w:vAlign w:val="bottom"/>
          </w:tcPr>
          <w:p>
            <w:pPr>
              <w:spacing w:after="0"/>
              <w:rPr>
                <w:sz w:val="11"/>
                <w:szCs w:val="11"/>
                <w:color w:val="auto"/>
              </w:rPr>
            </w:pPr>
          </w:p>
        </w:tc>
        <w:tc>
          <w:tcPr>
            <w:tcW w:w="94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534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(7 )</w:t>
            </w:r>
          </w:p>
        </w:tc>
        <w:tc>
          <w:tcPr>
            <w:tcW w:w="0" w:type="dxa"/>
            <w:vAlign w:val="bottom"/>
          </w:tcPr>
          <w:p>
            <w:pPr>
              <w:spacing w:after="0"/>
              <w:rPr>
                <w:sz w:val="1"/>
                <w:szCs w:val="1"/>
                <w:color w:val="auto"/>
              </w:rPr>
            </w:pPr>
          </w:p>
        </w:tc>
      </w:tr>
      <w:tr>
        <w:trPr>
          <w:trHeight w:val="128"/>
        </w:trPr>
        <w:tc>
          <w:tcPr>
            <w:tcW w:w="33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23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top w:val="single" w:sz="8" w:color="auto"/>
              <w:bottom w:val="single" w:sz="8" w:color="auto"/>
            </w:tcBorders>
            <w:shd w:val="clear" w:color="auto" w:fill="CCECFF"/>
          </w:tcPr>
          <w:p>
            <w:pPr>
              <w:spacing w:after="0"/>
              <w:rPr>
                <w:sz w:val="11"/>
                <w:szCs w:val="11"/>
                <w:color w:val="auto"/>
              </w:rPr>
            </w:pPr>
          </w:p>
        </w:tc>
        <w:tc>
          <w:tcPr>
            <w:tcW w:w="5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772,799</w:t>
            </w:r>
          </w:p>
        </w:tc>
        <w:tc>
          <w:tcPr>
            <w:tcW w:w="16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top w:val="single" w:sz="8" w:color="auto"/>
              <w:bottom w:val="single" w:sz="8" w:color="auto"/>
            </w:tcBorders>
            <w:shd w:val="clear" w:color="auto" w:fill="CCECFF"/>
          </w:tcPr>
          <w:p>
            <w:pPr>
              <w:spacing w:after="0"/>
              <w:rPr>
                <w:sz w:val="11"/>
                <w:szCs w:val="11"/>
                <w:color w:val="auto"/>
              </w:rPr>
            </w:pP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764,584</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Second Lien Secured Debt—0.7%</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Mailsouth Inc. </w:t>
            </w:r>
            <w:r>
              <w:rPr>
                <w:rFonts w:ascii="Times New Roman" w:cs="Times New Roman" w:eastAsia="Times New Roman" w:hAnsi="Times New Roman"/>
                <w:sz w:val="14"/>
                <w:szCs w:val="14"/>
                <w:color w:val="auto"/>
                <w:vertAlign w:val="superscript"/>
              </w:rPr>
              <w:t>(7)</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04/23/2025</w:t>
            </w:r>
          </w:p>
        </w:tc>
        <w:tc>
          <w:tcPr>
            <w:tcW w:w="18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Media: Advertising, Printing and Publishing</w:t>
            </w:r>
          </w:p>
        </w:tc>
        <w:tc>
          <w:tcPr>
            <w:tcW w:w="108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15.00 %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864</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864</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3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06"/>
              <w:spacing w:after="0"/>
              <w:rPr>
                <w:sz w:val="20"/>
                <w:szCs w:val="20"/>
                <w:color w:val="auto"/>
              </w:rPr>
            </w:pPr>
            <w:r>
              <w:rPr>
                <w:rFonts w:ascii="Times New Roman" w:cs="Times New Roman" w:eastAsia="Times New Roman" w:hAnsi="Times New Roman"/>
                <w:sz w:val="11"/>
                <w:szCs w:val="11"/>
                <w:color w:val="auto"/>
              </w:rPr>
              <w:t>(PIK 15.00%)</w:t>
            </w: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32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 xml:space="preserve">PT Network Intermediate Holdings, LLC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5"/>
              </w:rPr>
              <w:t>11/30/2024</w:t>
            </w:r>
          </w:p>
        </w:tc>
        <w:tc>
          <w:tcPr>
            <w:tcW w:w="180" w:type="dxa"/>
            <w:vAlign w:val="bottom"/>
          </w:tcPr>
          <w:p>
            <w:pPr>
              <w:spacing w:after="0"/>
              <w:rPr>
                <w:sz w:val="10"/>
                <w:szCs w:val="10"/>
                <w:color w:val="auto"/>
              </w:rPr>
            </w:pPr>
          </w:p>
        </w:tc>
        <w:tc>
          <w:tcPr>
            <w:tcW w:w="2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Healthcare and Pharmaceuticals</w:t>
            </w:r>
          </w:p>
        </w:tc>
        <w:tc>
          <w:tcPr>
            <w:tcW w:w="1080" w:type="dxa"/>
            <w:vAlign w:val="bottom"/>
            <w:gridSpan w:val="3"/>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11.00 %</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L+1,000</w:t>
            </w:r>
          </w:p>
        </w:tc>
        <w:tc>
          <w:tcPr>
            <w:tcW w:w="9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2,343</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2,331</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2,343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(PIK 11.00%)</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3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QuantiTech LLC</w:t>
            </w:r>
          </w:p>
        </w:tc>
        <w:tc>
          <w:tcPr>
            <w:tcW w:w="780" w:type="dxa"/>
            <w:vAlign w:val="bottom"/>
            <w:tcBorders>
              <w:bottom w:val="single" w:sz="8" w:color="CCECFF"/>
            </w:tcBorders>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02/04/2027</w:t>
            </w:r>
          </w:p>
        </w:tc>
        <w:tc>
          <w:tcPr>
            <w:tcW w:w="180" w:type="dxa"/>
            <w:vAlign w:val="bottom"/>
            <w:tcBorders>
              <w:bottom w:val="single" w:sz="8" w:color="CCECFF"/>
            </w:tcBorders>
            <w:shd w:val="clear" w:color="auto" w:fill="CCECFF"/>
          </w:tcPr>
          <w:p>
            <w:pPr>
              <w:spacing w:after="0"/>
              <w:rPr>
                <w:sz w:val="12"/>
                <w:szCs w:val="12"/>
                <w:color w:val="auto"/>
              </w:rPr>
            </w:pPr>
          </w:p>
        </w:tc>
        <w:tc>
          <w:tcPr>
            <w:tcW w:w="236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80" w:type="dxa"/>
            <w:vAlign w:val="bottom"/>
            <w:tcBorders>
              <w:bottom w:val="single" w:sz="8" w:color="CCECFF"/>
            </w:tcBorders>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11.00 %</w:t>
            </w:r>
          </w:p>
        </w:tc>
        <w:tc>
          <w:tcPr>
            <w:tcW w:w="7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L+1,000</w:t>
            </w:r>
          </w:p>
        </w:tc>
        <w:tc>
          <w:tcPr>
            <w:tcW w:w="92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6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160" w:type="dxa"/>
            <w:vAlign w:val="bottom"/>
            <w:tcBorders>
              <w:bottom w:val="single" w:sz="8" w:color="CCECFF"/>
            </w:tcBorders>
            <w:shd w:val="clear" w:color="auto" w:fill="CCECFF"/>
          </w:tcPr>
          <w:p>
            <w:pPr>
              <w:spacing w:after="0"/>
              <w:rPr>
                <w:sz w:val="12"/>
                <w:szCs w:val="12"/>
                <w:color w:val="auto"/>
              </w:rPr>
            </w:pPr>
          </w:p>
        </w:tc>
        <w:tc>
          <w:tcPr>
            <w:tcW w:w="6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4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3,343</w:t>
            </w: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3,355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320" w:type="dxa"/>
            <w:vAlign w:val="bottom"/>
            <w:shd w:val="clear" w:color="auto" w:fill="CCECFF"/>
          </w:tcPr>
          <w:p>
            <w:pPr>
              <w:ind w:left="20"/>
              <w:spacing w:after="0" w:line="129" w:lineRule="exact"/>
              <w:rPr>
                <w:sz w:val="20"/>
                <w:szCs w:val="20"/>
                <w:color w:val="auto"/>
              </w:rPr>
            </w:pPr>
            <w:r>
              <w:rPr>
                <w:rFonts w:ascii="Times New Roman" w:cs="Times New Roman" w:eastAsia="Times New Roman" w:hAnsi="Times New Roman"/>
                <w:sz w:val="11"/>
                <w:szCs w:val="11"/>
                <w:b w:val="1"/>
                <w:bCs w:val="1"/>
                <w:color w:val="auto"/>
              </w:rPr>
              <w:t xml:space="preserve">Preferred Equity— 1.3% </w:t>
            </w:r>
            <w:r>
              <w:rPr>
                <w:rFonts w:ascii="Times New Roman" w:cs="Times New Roman" w:eastAsia="Times New Roman" w:hAnsi="Times New Roman"/>
                <w:sz w:val="14"/>
                <w:szCs w:val="14"/>
                <w:b w:val="1"/>
                <w:bCs w:val="1"/>
                <w:color w:val="auto"/>
                <w:vertAlign w:val="superscript"/>
              </w:rPr>
              <w:t>(6)</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3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Ad.net Holdings, Inc. </w:t>
            </w:r>
            <w:r>
              <w:rPr>
                <w:rFonts w:ascii="Times New Roman" w:cs="Times New Roman" w:eastAsia="Times New Roman" w:hAnsi="Times New Roman"/>
                <w:sz w:val="14"/>
                <w:szCs w:val="14"/>
                <w:color w:val="auto"/>
                <w:vertAlign w:val="superscript"/>
              </w:rPr>
              <w:t>(7),(8)</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94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6,720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672</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320" w:type="dxa"/>
            <w:vAlign w:val="bottom"/>
            <w:shd w:val="clear" w:color="auto" w:fill="CCECFF"/>
          </w:tcPr>
          <w:p>
            <w:pPr>
              <w:ind w:left="20"/>
              <w:spacing w:after="0" w:line="117" w:lineRule="exact"/>
              <w:rPr>
                <w:sz w:val="20"/>
                <w:szCs w:val="20"/>
                <w:color w:val="auto"/>
              </w:rPr>
            </w:pPr>
            <w:r>
              <w:rPr>
                <w:rFonts w:ascii="Times New Roman" w:cs="Times New Roman" w:eastAsia="Times New Roman" w:hAnsi="Times New Roman"/>
                <w:sz w:val="11"/>
                <w:szCs w:val="11"/>
                <w:color w:val="auto"/>
              </w:rPr>
              <w:t>CI (PTN) Investment Holdings II, LLC</w:t>
            </w:r>
          </w:p>
        </w:tc>
        <w:tc>
          <w:tcPr>
            <w:tcW w:w="140" w:type="dxa"/>
            <w:vAlign w:val="bottom"/>
            <w:shd w:val="clear" w:color="auto" w:fill="CCECFF"/>
          </w:tcPr>
          <w:p>
            <w:pPr>
              <w:spacing w:after="0"/>
              <w:rPr>
                <w:sz w:val="10"/>
                <w:szCs w:val="10"/>
                <w:color w:val="auto"/>
              </w:rPr>
            </w:pPr>
          </w:p>
        </w:tc>
        <w:tc>
          <w:tcPr>
            <w:tcW w:w="640" w:type="dxa"/>
            <w:vAlign w:val="bottom"/>
            <w:shd w:val="clear" w:color="auto" w:fill="CCECFF"/>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0"/>
                <w:szCs w:val="10"/>
                <w:color w:val="auto"/>
              </w:rPr>
            </w:pPr>
          </w:p>
        </w:tc>
        <w:tc>
          <w:tcPr>
            <w:tcW w:w="2360" w:type="dxa"/>
            <w:vAlign w:val="bottom"/>
            <w:shd w:val="clear" w:color="auto" w:fill="CCECFF"/>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Healthcare and Pharmaceuticals</w:t>
            </w:r>
          </w:p>
        </w:tc>
        <w:tc>
          <w:tcPr>
            <w:tcW w:w="140" w:type="dxa"/>
            <w:vAlign w:val="bottom"/>
            <w:shd w:val="clear" w:color="auto" w:fill="CCECFF"/>
          </w:tcPr>
          <w:p>
            <w:pPr>
              <w:spacing w:after="0"/>
              <w:rPr>
                <w:sz w:val="10"/>
                <w:szCs w:val="10"/>
                <w:color w:val="auto"/>
              </w:rPr>
            </w:pPr>
          </w:p>
        </w:tc>
        <w:tc>
          <w:tcPr>
            <w:tcW w:w="940" w:type="dxa"/>
            <w:vAlign w:val="bottom"/>
            <w:gridSpan w:val="2"/>
            <w:shd w:val="clear" w:color="auto" w:fill="CCECFF"/>
          </w:tcPr>
          <w:p>
            <w:pPr>
              <w:jc w:val="right"/>
              <w:ind w:right="206"/>
              <w:spacing w:after="0" w:line="117"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CFF"/>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line="117" w:lineRule="exact"/>
              <w:rPr>
                <w:sz w:val="20"/>
                <w:szCs w:val="20"/>
                <w:color w:val="auto"/>
              </w:rPr>
            </w:pPr>
            <w:r>
              <w:rPr>
                <w:rFonts w:ascii="Times New Roman" w:cs="Times New Roman" w:eastAsia="Times New Roman" w:hAnsi="Times New Roman"/>
                <w:sz w:val="11"/>
                <w:szCs w:val="11"/>
                <w:color w:val="auto"/>
              </w:rPr>
              <w:t>1,458</w:t>
            </w:r>
          </w:p>
        </w:tc>
        <w:tc>
          <w:tcPr>
            <w:tcW w:w="16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line="117" w:lineRule="exact"/>
              <w:rPr>
                <w:sz w:val="20"/>
                <w:szCs w:val="20"/>
                <w:color w:val="auto"/>
              </w:rPr>
            </w:pPr>
            <w:r>
              <w:rPr>
                <w:rFonts w:ascii="Times New Roman" w:cs="Times New Roman" w:eastAsia="Times New Roman" w:hAnsi="Times New Roman"/>
                <w:sz w:val="11"/>
                <w:szCs w:val="11"/>
                <w:color w:val="auto"/>
              </w:rPr>
              <w:t>22</w:t>
            </w:r>
          </w:p>
        </w:tc>
        <w:tc>
          <w:tcPr>
            <w:tcW w:w="16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gridSpan w:val="2"/>
            <w:shd w:val="clear" w:color="auto" w:fill="CCECFF"/>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320" w:type="dxa"/>
            <w:vAlign w:val="bottom"/>
            <w:shd w:val="clear" w:color="auto" w:fill="CCECFF"/>
          </w:tcPr>
          <w:p>
            <w:pPr>
              <w:ind w:left="100"/>
              <w:spacing w:after="0" w:line="153" w:lineRule="exact"/>
              <w:rPr>
                <w:sz w:val="20"/>
                <w:szCs w:val="20"/>
                <w:color w:val="auto"/>
              </w:rPr>
            </w:pPr>
            <w:r>
              <w:rPr>
                <w:rFonts w:ascii="Times New Roman" w:cs="Times New Roman" w:eastAsia="Times New Roman" w:hAnsi="Times New Roman"/>
                <w:sz w:val="11"/>
                <w:szCs w:val="11"/>
                <w:color w:val="auto"/>
              </w:rPr>
              <w:t xml:space="preserve">(PT Network, LLC) </w:t>
            </w:r>
            <w:r>
              <w:rPr>
                <w:rFonts w:ascii="Times New Roman" w:cs="Times New Roman" w:eastAsia="Times New Roman" w:hAnsi="Times New Roman"/>
                <w:sz w:val="14"/>
                <w:szCs w:val="14"/>
                <w:color w:val="auto"/>
                <w:vertAlign w:val="superscript"/>
              </w:rPr>
              <w:t>(7), (8)</w:t>
            </w:r>
          </w:p>
        </w:tc>
        <w:tc>
          <w:tcPr>
            <w:tcW w:w="140" w:type="dxa"/>
            <w:vAlign w:val="bottom"/>
            <w:shd w:val="clear" w:color="auto" w:fill="CCECFF"/>
          </w:tcPr>
          <w:p>
            <w:pPr>
              <w:spacing w:after="0"/>
              <w:rPr>
                <w:sz w:val="13"/>
                <w:szCs w:val="13"/>
                <w:color w:val="auto"/>
              </w:rPr>
            </w:pPr>
          </w:p>
        </w:tc>
        <w:tc>
          <w:tcPr>
            <w:tcW w:w="6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36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Mars Intermediate Holdings II, Inc.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94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835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MeritDirect Holdings, LP </w:t>
            </w:r>
            <w:r>
              <w:rPr>
                <w:rFonts w:ascii="Times New Roman" w:cs="Times New Roman" w:eastAsia="Times New Roman" w:hAnsi="Times New Roman"/>
                <w:sz w:val="14"/>
                <w:szCs w:val="14"/>
                <w:color w:val="auto"/>
                <w:vertAlign w:val="superscript"/>
              </w:rPr>
              <w:t>(7), (8)</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960</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NXOF Holdings, Inc. (Tyto Athene, LLC)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IT Services</w:t>
            </w:r>
          </w:p>
        </w:tc>
        <w:tc>
          <w:tcPr>
            <w:tcW w:w="140" w:type="dxa"/>
            <w:vAlign w:val="bottom"/>
          </w:tcPr>
          <w:p>
            <w:pPr>
              <w:spacing w:after="0"/>
              <w:rPr>
                <w:sz w:val="11"/>
                <w:szCs w:val="11"/>
                <w:color w:val="auto"/>
              </w:rPr>
            </w:pPr>
          </w:p>
        </w:tc>
        <w:tc>
          <w:tcPr>
            <w:tcW w:w="94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733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733</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ORL Holdco, Inc. </w:t>
            </w:r>
            <w:r>
              <w:rPr>
                <w:rFonts w:ascii="Times New Roman" w:cs="Times New Roman" w:eastAsia="Times New Roman" w:hAnsi="Times New Roman"/>
                <w:sz w:val="14"/>
                <w:szCs w:val="14"/>
                <w:color w:val="auto"/>
                <w:vertAlign w:val="superscript"/>
              </w:rPr>
              <w:t>(7)</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Consumer Finance</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1,327</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PT Network Intermediate Holdings, LLC </w:t>
            </w:r>
            <w:r>
              <w:rPr>
                <w:rFonts w:ascii="Times New Roman" w:cs="Times New Roman" w:eastAsia="Times New Roman" w:hAnsi="Times New Roman"/>
                <w:sz w:val="14"/>
                <w:szCs w:val="14"/>
                <w:color w:val="auto"/>
                <w:vertAlign w:val="superscript"/>
              </w:rPr>
              <w:t>(7),(8)</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Healthcare and Pharmaceuticals</w:t>
            </w:r>
          </w:p>
        </w:tc>
        <w:tc>
          <w:tcPr>
            <w:tcW w:w="108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11.00 %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L+1,000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429</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Signature CR Intermediate Holdco, Inc. </w:t>
            </w:r>
            <w:r>
              <w:rPr>
                <w:rFonts w:ascii="Times New Roman" w:cs="Times New Roman" w:eastAsia="Times New Roman" w:hAnsi="Times New Roman"/>
                <w:sz w:val="14"/>
                <w:szCs w:val="14"/>
                <w:color w:val="auto"/>
                <w:vertAlign w:val="superscript"/>
              </w:rPr>
              <w:t>(7)</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08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12.00 %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1,323</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1,323</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1,628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TPC Holding Company, LP </w:t>
            </w:r>
            <w:r>
              <w:rPr>
                <w:rFonts w:ascii="Times New Roman" w:cs="Times New Roman" w:eastAsia="Times New Roman" w:hAnsi="Times New Roman"/>
                <w:sz w:val="14"/>
                <w:szCs w:val="14"/>
                <w:color w:val="auto"/>
                <w:vertAlign w:val="superscript"/>
              </w:rPr>
              <w:t>(5), (7), (10)</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Food Products</w:t>
            </w:r>
          </w:p>
        </w:tc>
        <w:tc>
          <w:tcPr>
            <w:tcW w:w="140" w:type="dxa"/>
            <w:vAlign w:val="bottom"/>
          </w:tcPr>
          <w:p>
            <w:pPr>
              <w:spacing w:after="0"/>
              <w:rPr>
                <w:sz w:val="11"/>
                <w:szCs w:val="11"/>
                <w:color w:val="auto"/>
              </w:rPr>
            </w:pPr>
          </w:p>
        </w:tc>
        <w:tc>
          <w:tcPr>
            <w:tcW w:w="94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409</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TWD Parent Holdings, LLC (The Vertex Companies, LLC) </w:t>
            </w:r>
            <w:r>
              <w:rPr>
                <w:rFonts w:ascii="Times New Roman" w:cs="Times New Roman" w:eastAsia="Times New Roman" w:hAnsi="Times New Roman"/>
                <w:sz w:val="14"/>
                <w:szCs w:val="14"/>
                <w:color w:val="auto"/>
                <w:vertAlign w:val="superscript"/>
              </w:rPr>
              <w:t>(7)</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Construction &amp; Engineering</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UniTek Global Services, Inc. -</w:t>
            </w:r>
          </w:p>
        </w:tc>
        <w:tc>
          <w:tcPr>
            <w:tcW w:w="140" w:type="dxa"/>
            <w:vAlign w:val="bottom"/>
          </w:tcPr>
          <w:p>
            <w:pPr>
              <w:spacing w:after="0"/>
              <w:rPr>
                <w:sz w:val="10"/>
                <w:szCs w:val="10"/>
                <w:color w:val="auto"/>
              </w:rPr>
            </w:pPr>
          </w:p>
        </w:tc>
        <w:tc>
          <w:tcPr>
            <w:tcW w:w="640" w:type="dxa"/>
            <w:vAlign w:val="bottom"/>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0"/>
                <w:szCs w:val="10"/>
                <w:color w:val="auto"/>
              </w:rPr>
            </w:pPr>
          </w:p>
        </w:tc>
        <w:tc>
          <w:tcPr>
            <w:tcW w:w="23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Telecommunications</w:t>
            </w:r>
          </w:p>
        </w:tc>
        <w:tc>
          <w:tcPr>
            <w:tcW w:w="1080" w:type="dxa"/>
            <w:vAlign w:val="bottom"/>
            <w:gridSpan w:val="3"/>
          </w:tcPr>
          <w:p>
            <w:pPr>
              <w:jc w:val="right"/>
              <w:ind w:right="86"/>
              <w:spacing w:after="0" w:line="117" w:lineRule="exact"/>
              <w:rPr>
                <w:sz w:val="20"/>
                <w:szCs w:val="20"/>
                <w:color w:val="auto"/>
              </w:rPr>
            </w:pPr>
            <w:r>
              <w:rPr>
                <w:rFonts w:ascii="Times New Roman" w:cs="Times New Roman" w:eastAsia="Times New Roman" w:hAnsi="Times New Roman"/>
                <w:sz w:val="11"/>
                <w:szCs w:val="11"/>
                <w:color w:val="auto"/>
              </w:rPr>
              <w:t>20.00 %</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343,861</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344</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320" w:type="dxa"/>
            <w:vAlign w:val="bottom"/>
          </w:tcPr>
          <w:p>
            <w:pPr>
              <w:ind w:left="100"/>
              <w:spacing w:after="0" w:line="153" w:lineRule="exact"/>
              <w:rPr>
                <w:sz w:val="20"/>
                <w:szCs w:val="20"/>
                <w:color w:val="auto"/>
              </w:rPr>
            </w:pPr>
            <w:r>
              <w:rPr>
                <w:rFonts w:ascii="Times New Roman" w:cs="Times New Roman" w:eastAsia="Times New Roman" w:hAnsi="Times New Roman"/>
                <w:sz w:val="11"/>
                <w:szCs w:val="11"/>
                <w:color w:val="auto"/>
              </w:rPr>
              <w:t xml:space="preserve">Super Senior Preferred Equity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UniTek Global Services, Inc. - Senior Preferred Equity </w:t>
            </w:r>
            <w:r>
              <w:rPr>
                <w:rFonts w:ascii="Times New Roman" w:cs="Times New Roman" w:eastAsia="Times New Roman" w:hAnsi="Times New Roman"/>
                <w:sz w:val="14"/>
                <w:szCs w:val="14"/>
                <w:color w:val="auto"/>
                <w:vertAlign w:val="superscript"/>
              </w:rPr>
              <w:t>(7)</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08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19.00 %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448,851</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449</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UniTek Global Services, Inc.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08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13.50 %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1,047,317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9"/>
        </w:trPr>
        <w:tc>
          <w:tcPr>
            <w:tcW w:w="33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Preferred Equity</w:t>
            </w: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23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top w:val="single" w:sz="8" w:color="auto"/>
              <w:bottom w:val="single" w:sz="8" w:color="auto"/>
            </w:tcBorders>
            <w:shd w:val="clear" w:color="auto" w:fill="CCECFF"/>
          </w:tcPr>
          <w:p>
            <w:pPr>
              <w:spacing w:after="0"/>
              <w:rPr>
                <w:sz w:val="11"/>
                <w:szCs w:val="11"/>
                <w:color w:val="auto"/>
              </w:rPr>
            </w:pPr>
          </w:p>
        </w:tc>
        <w:tc>
          <w:tcPr>
            <w:tcW w:w="5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7,016</w:t>
            </w:r>
          </w:p>
        </w:tc>
        <w:tc>
          <w:tcPr>
            <w:tcW w:w="16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top w:val="single" w:sz="8" w:color="auto"/>
              <w:bottom w:val="single" w:sz="8" w:color="auto"/>
            </w:tcBorders>
            <w:shd w:val="clear" w:color="auto" w:fill="CCECFF"/>
          </w:tcPr>
          <w:p>
            <w:pPr>
              <w:spacing w:after="0"/>
              <w:rPr>
                <w:sz w:val="11"/>
                <w:szCs w:val="11"/>
                <w:color w:val="auto"/>
              </w:rPr>
            </w:pP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6,525</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320" w:type="dxa"/>
            <w:vAlign w:val="bottom"/>
          </w:tcPr>
          <w:p>
            <w:pPr>
              <w:ind w:left="20"/>
              <w:spacing w:after="0" w:line="129" w:lineRule="exact"/>
              <w:rPr>
                <w:sz w:val="20"/>
                <w:szCs w:val="20"/>
                <w:color w:val="auto"/>
              </w:rPr>
            </w:pPr>
            <w:r>
              <w:rPr>
                <w:rFonts w:ascii="Times New Roman" w:cs="Times New Roman" w:eastAsia="Times New Roman" w:hAnsi="Times New Roman"/>
                <w:sz w:val="11"/>
                <w:szCs w:val="11"/>
                <w:b w:val="1"/>
                <w:bCs w:val="1"/>
                <w:color w:val="auto"/>
              </w:rPr>
              <w:t xml:space="preserve">Common Equity/Warrants— 16.8% </w:t>
            </w:r>
            <w:r>
              <w:rPr>
                <w:rFonts w:ascii="Times New Roman" w:cs="Times New Roman" w:eastAsia="Times New Roman" w:hAnsi="Times New Roman"/>
                <w:sz w:val="14"/>
                <w:szCs w:val="14"/>
                <w:b w:val="1"/>
                <w:bCs w:val="1"/>
                <w:color w:val="auto"/>
                <w:vertAlign w:val="superscript"/>
              </w:rPr>
              <w:t>(6)</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Ad.net Holdings, Inc. </w:t>
            </w:r>
            <w:r>
              <w:rPr>
                <w:rFonts w:ascii="Times New Roman" w:cs="Times New Roman" w:eastAsia="Times New Roman" w:hAnsi="Times New Roman"/>
                <w:sz w:val="14"/>
                <w:szCs w:val="14"/>
                <w:color w:val="auto"/>
                <w:vertAlign w:val="superscript"/>
              </w:rPr>
              <w:t>(7),(8)</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7,467</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Affinion Group Holdings, Inc. (Warrants)</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04/10/2024</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140" w:type="dxa"/>
            <w:vAlign w:val="bottom"/>
          </w:tcPr>
          <w:p>
            <w:pPr>
              <w:spacing w:after="0"/>
              <w:rPr>
                <w:sz w:val="11"/>
                <w:szCs w:val="11"/>
                <w:color w:val="auto"/>
              </w:rPr>
            </w:pPr>
          </w:p>
        </w:tc>
        <w:tc>
          <w:tcPr>
            <w:tcW w:w="94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8,893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AG Investco LP </w:t>
            </w:r>
            <w:r>
              <w:rPr>
                <w:rFonts w:ascii="Times New Roman" w:cs="Times New Roman" w:eastAsia="Times New Roman" w:hAnsi="Times New Roman"/>
                <w:sz w:val="14"/>
                <w:szCs w:val="14"/>
                <w:color w:val="auto"/>
                <w:vertAlign w:val="superscript"/>
              </w:rPr>
              <w:t>(7), (8)</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805,164</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805</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1,192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AG Investco LP </w:t>
            </w:r>
            <w:r>
              <w:rPr>
                <w:rFonts w:ascii="Times New Roman" w:cs="Times New Roman" w:eastAsia="Times New Roman" w:hAnsi="Times New Roman"/>
                <w:sz w:val="14"/>
                <w:szCs w:val="14"/>
                <w:color w:val="auto"/>
                <w:vertAlign w:val="superscript"/>
              </w:rPr>
              <w:t>(7), (8), (9)</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140" w:type="dxa"/>
            <w:vAlign w:val="bottom"/>
          </w:tcPr>
          <w:p>
            <w:pPr>
              <w:spacing w:after="0"/>
              <w:rPr>
                <w:sz w:val="11"/>
                <w:szCs w:val="11"/>
                <w:color w:val="auto"/>
              </w:rPr>
            </w:pPr>
          </w:p>
        </w:tc>
        <w:tc>
          <w:tcPr>
            <w:tcW w:w="94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194,836</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Altamira Intermediate Company II, Inc. </w:t>
            </w:r>
            <w:r>
              <w:rPr>
                <w:rFonts w:ascii="Times New Roman" w:cs="Times New Roman" w:eastAsia="Times New Roman" w:hAnsi="Times New Roman"/>
                <w:sz w:val="14"/>
                <w:szCs w:val="14"/>
                <w:color w:val="auto"/>
                <w:vertAlign w:val="superscript"/>
              </w:rPr>
              <w:t>(7)</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IT Services</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1,437,500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1,438</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By Light Investco LP </w:t>
            </w:r>
            <w:r>
              <w:rPr>
                <w:rFonts w:ascii="Times New Roman" w:cs="Times New Roman" w:eastAsia="Times New Roman" w:hAnsi="Times New Roman"/>
                <w:sz w:val="14"/>
                <w:szCs w:val="14"/>
                <w:color w:val="auto"/>
                <w:vertAlign w:val="superscript"/>
              </w:rPr>
              <w:t>(7), (8)</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140" w:type="dxa"/>
            <w:vAlign w:val="bottom"/>
          </w:tcPr>
          <w:p>
            <w:pPr>
              <w:spacing w:after="0"/>
              <w:rPr>
                <w:sz w:val="11"/>
                <w:szCs w:val="11"/>
                <w:color w:val="auto"/>
              </w:rPr>
            </w:pPr>
          </w:p>
        </w:tc>
        <w:tc>
          <w:tcPr>
            <w:tcW w:w="94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21,908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12,799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By Light Investco LP </w:t>
            </w:r>
            <w:r>
              <w:rPr>
                <w:rFonts w:ascii="Times New Roman" w:cs="Times New Roman" w:eastAsia="Times New Roman" w:hAnsi="Times New Roman"/>
                <w:sz w:val="14"/>
                <w:szCs w:val="14"/>
                <w:color w:val="auto"/>
                <w:vertAlign w:val="superscript"/>
              </w:rPr>
              <w:t>(7), (8), (9)</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7,401</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CI (Allied) Investment Holdings, LLC</w:t>
            </w:r>
          </w:p>
        </w:tc>
        <w:tc>
          <w:tcPr>
            <w:tcW w:w="140" w:type="dxa"/>
            <w:vAlign w:val="bottom"/>
          </w:tcPr>
          <w:p>
            <w:pPr>
              <w:spacing w:after="0"/>
              <w:rPr>
                <w:sz w:val="10"/>
                <w:szCs w:val="10"/>
                <w:color w:val="auto"/>
              </w:rPr>
            </w:pPr>
          </w:p>
        </w:tc>
        <w:tc>
          <w:tcPr>
            <w:tcW w:w="640" w:type="dxa"/>
            <w:vAlign w:val="bottom"/>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0"/>
                <w:szCs w:val="10"/>
                <w:color w:val="auto"/>
              </w:rPr>
            </w:pPr>
          </w:p>
        </w:tc>
        <w:tc>
          <w:tcPr>
            <w:tcW w:w="23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tcPr>
          <w:p>
            <w:pPr>
              <w:spacing w:after="0"/>
              <w:rPr>
                <w:sz w:val="10"/>
                <w:szCs w:val="10"/>
                <w:color w:val="auto"/>
              </w:rPr>
            </w:pPr>
          </w:p>
        </w:tc>
        <w:tc>
          <w:tcPr>
            <w:tcW w:w="940" w:type="dxa"/>
            <w:vAlign w:val="bottom"/>
            <w:gridSpan w:val="2"/>
          </w:tcPr>
          <w:p>
            <w:pPr>
              <w:jc w:val="right"/>
              <w:ind w:right="206"/>
              <w:spacing w:after="0" w:line="117"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120,962</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1,243</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475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100"/>
              <w:spacing w:after="0" w:line="153" w:lineRule="exact"/>
              <w:rPr>
                <w:sz w:val="20"/>
                <w:szCs w:val="20"/>
                <w:color w:val="auto"/>
              </w:rPr>
            </w:pPr>
            <w:r>
              <w:rPr>
                <w:rFonts w:ascii="Times New Roman" w:cs="Times New Roman" w:eastAsia="Times New Roman" w:hAnsi="Times New Roman"/>
                <w:sz w:val="11"/>
                <w:szCs w:val="11"/>
                <w:color w:val="auto"/>
              </w:rPr>
              <w:t xml:space="preserve">(PRA Events, Inc.) </w:t>
            </w:r>
            <w:r>
              <w:rPr>
                <w:rFonts w:ascii="Times New Roman" w:cs="Times New Roman" w:eastAsia="Times New Roman" w:hAnsi="Times New Roman"/>
                <w:sz w:val="14"/>
                <w:szCs w:val="14"/>
                <w:color w:val="auto"/>
                <w:vertAlign w:val="superscript"/>
              </w:rPr>
              <w:t>(7), (8)</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320" w:type="dxa"/>
            <w:vAlign w:val="bottom"/>
            <w:shd w:val="clear" w:color="auto" w:fill="CCECFF"/>
          </w:tcPr>
          <w:p>
            <w:pPr>
              <w:ind w:left="20"/>
              <w:spacing w:after="0" w:line="117" w:lineRule="exact"/>
              <w:rPr>
                <w:sz w:val="20"/>
                <w:szCs w:val="20"/>
                <w:color w:val="auto"/>
              </w:rPr>
            </w:pPr>
            <w:r>
              <w:rPr>
                <w:rFonts w:ascii="Times New Roman" w:cs="Times New Roman" w:eastAsia="Times New Roman" w:hAnsi="Times New Roman"/>
                <w:sz w:val="11"/>
                <w:szCs w:val="11"/>
                <w:color w:val="auto"/>
              </w:rPr>
              <w:t>CI (PTN) Investment Holdings II, LLC</w:t>
            </w:r>
          </w:p>
        </w:tc>
        <w:tc>
          <w:tcPr>
            <w:tcW w:w="140" w:type="dxa"/>
            <w:vAlign w:val="bottom"/>
            <w:shd w:val="clear" w:color="auto" w:fill="CCECFF"/>
          </w:tcPr>
          <w:p>
            <w:pPr>
              <w:spacing w:after="0"/>
              <w:rPr>
                <w:sz w:val="10"/>
                <w:szCs w:val="10"/>
                <w:color w:val="auto"/>
              </w:rPr>
            </w:pPr>
          </w:p>
        </w:tc>
        <w:tc>
          <w:tcPr>
            <w:tcW w:w="640" w:type="dxa"/>
            <w:vAlign w:val="bottom"/>
            <w:shd w:val="clear" w:color="auto" w:fill="CCECFF"/>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0"/>
                <w:szCs w:val="10"/>
                <w:color w:val="auto"/>
              </w:rPr>
            </w:pPr>
          </w:p>
        </w:tc>
        <w:tc>
          <w:tcPr>
            <w:tcW w:w="2360" w:type="dxa"/>
            <w:vAlign w:val="bottom"/>
            <w:shd w:val="clear" w:color="auto" w:fill="CCECFF"/>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Healthcare and Pharmaceuticals</w:t>
            </w:r>
          </w:p>
        </w:tc>
        <w:tc>
          <w:tcPr>
            <w:tcW w:w="140" w:type="dxa"/>
            <w:vAlign w:val="bottom"/>
            <w:shd w:val="clear" w:color="auto" w:fill="CCECFF"/>
          </w:tcPr>
          <w:p>
            <w:pPr>
              <w:spacing w:after="0"/>
              <w:rPr>
                <w:sz w:val="10"/>
                <w:szCs w:val="10"/>
                <w:color w:val="auto"/>
              </w:rPr>
            </w:pPr>
          </w:p>
        </w:tc>
        <w:tc>
          <w:tcPr>
            <w:tcW w:w="940" w:type="dxa"/>
            <w:vAlign w:val="bottom"/>
            <w:gridSpan w:val="2"/>
            <w:shd w:val="clear" w:color="auto" w:fill="CCECFF"/>
          </w:tcPr>
          <w:p>
            <w:pPr>
              <w:jc w:val="right"/>
              <w:ind w:right="206"/>
              <w:spacing w:after="0" w:line="117"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CFF"/>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line="117" w:lineRule="exact"/>
              <w:rPr>
                <w:sz w:val="20"/>
                <w:szCs w:val="20"/>
                <w:color w:val="auto"/>
              </w:rPr>
            </w:pPr>
            <w:r>
              <w:rPr>
                <w:rFonts w:ascii="Times New Roman" w:cs="Times New Roman" w:eastAsia="Times New Roman" w:hAnsi="Times New Roman"/>
                <w:sz w:val="11"/>
                <w:szCs w:val="11"/>
                <w:color w:val="auto"/>
              </w:rPr>
              <w:t>13,333</w:t>
            </w:r>
          </w:p>
        </w:tc>
        <w:tc>
          <w:tcPr>
            <w:tcW w:w="16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line="117" w:lineRule="exact"/>
              <w:rPr>
                <w:sz w:val="20"/>
                <w:szCs w:val="20"/>
                <w:color w:val="auto"/>
              </w:rPr>
            </w:pPr>
            <w:r>
              <w:rPr>
                <w:rFonts w:ascii="Times New Roman" w:cs="Times New Roman" w:eastAsia="Times New Roman" w:hAnsi="Times New Roman"/>
                <w:sz w:val="11"/>
                <w:szCs w:val="11"/>
                <w:color w:val="auto"/>
              </w:rPr>
              <w:t>200</w:t>
            </w:r>
          </w:p>
        </w:tc>
        <w:tc>
          <w:tcPr>
            <w:tcW w:w="16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gridSpan w:val="2"/>
            <w:shd w:val="clear" w:color="auto" w:fill="CCECFF"/>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320" w:type="dxa"/>
            <w:vAlign w:val="bottom"/>
            <w:shd w:val="clear" w:color="auto" w:fill="CCECFF"/>
          </w:tcPr>
          <w:p>
            <w:pPr>
              <w:ind w:left="100"/>
              <w:spacing w:after="0" w:line="153" w:lineRule="exact"/>
              <w:rPr>
                <w:sz w:val="20"/>
                <w:szCs w:val="20"/>
                <w:color w:val="auto"/>
              </w:rPr>
            </w:pPr>
            <w:r>
              <w:rPr>
                <w:rFonts w:ascii="Times New Roman" w:cs="Times New Roman" w:eastAsia="Times New Roman" w:hAnsi="Times New Roman"/>
                <w:sz w:val="11"/>
                <w:szCs w:val="11"/>
                <w:color w:val="auto"/>
              </w:rPr>
              <w:t xml:space="preserve">(PT Network, LLC) </w:t>
            </w:r>
            <w:r>
              <w:rPr>
                <w:rFonts w:ascii="Times New Roman" w:cs="Times New Roman" w:eastAsia="Times New Roman" w:hAnsi="Times New Roman"/>
                <w:sz w:val="14"/>
                <w:szCs w:val="14"/>
                <w:color w:val="auto"/>
                <w:vertAlign w:val="superscript"/>
              </w:rPr>
              <w:t>(7), (8)</w:t>
            </w:r>
          </w:p>
        </w:tc>
        <w:tc>
          <w:tcPr>
            <w:tcW w:w="140" w:type="dxa"/>
            <w:vAlign w:val="bottom"/>
            <w:shd w:val="clear" w:color="auto" w:fill="CCECFF"/>
          </w:tcPr>
          <w:p>
            <w:pPr>
              <w:spacing w:after="0"/>
              <w:rPr>
                <w:sz w:val="13"/>
                <w:szCs w:val="13"/>
                <w:color w:val="auto"/>
              </w:rPr>
            </w:pPr>
          </w:p>
        </w:tc>
        <w:tc>
          <w:tcPr>
            <w:tcW w:w="6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36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Connatix Parent, LLC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94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38,278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Crane 1 Acquisition Parent Holdings, L.P. </w:t>
            </w:r>
            <w:r>
              <w:rPr>
                <w:rFonts w:ascii="Times New Roman" w:cs="Times New Roman" w:eastAsia="Times New Roman" w:hAnsi="Times New Roman"/>
                <w:sz w:val="14"/>
                <w:szCs w:val="14"/>
                <w:color w:val="auto"/>
                <w:vertAlign w:val="superscript"/>
              </w:rPr>
              <w:t>(7)</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Crash Champions Holdings, LLC </w:t>
            </w:r>
            <w:r>
              <w:rPr>
                <w:rFonts w:ascii="Times New Roman" w:cs="Times New Roman" w:eastAsia="Times New Roman" w:hAnsi="Times New Roman"/>
                <w:sz w:val="14"/>
                <w:szCs w:val="14"/>
                <w:color w:val="auto"/>
                <w:vertAlign w:val="superscript"/>
              </w:rPr>
              <w:t>(7),(8)</w:t>
            </w:r>
          </w:p>
        </w:tc>
        <w:tc>
          <w:tcPr>
            <w:tcW w:w="140" w:type="dxa"/>
            <w:vAlign w:val="bottom"/>
          </w:tcPr>
          <w:p>
            <w:pPr>
              <w:spacing w:after="0"/>
              <w:rPr>
                <w:sz w:val="16"/>
                <w:szCs w:val="16"/>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6"/>
                <w:szCs w:val="16"/>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Automobiles</w:t>
            </w:r>
          </w:p>
        </w:tc>
        <w:tc>
          <w:tcPr>
            <w:tcW w:w="140" w:type="dxa"/>
            <w:vAlign w:val="bottom"/>
          </w:tcPr>
          <w:p>
            <w:pPr>
              <w:spacing w:after="0"/>
              <w:rPr>
                <w:sz w:val="16"/>
                <w:szCs w:val="16"/>
                <w:color w:val="auto"/>
              </w:rPr>
            </w:pPr>
          </w:p>
        </w:tc>
        <w:tc>
          <w:tcPr>
            <w:tcW w:w="94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678</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-5315585</wp:posOffset>
            </wp:positionV>
            <wp:extent cx="7132320" cy="857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-5144135</wp:posOffset>
            </wp:positionV>
            <wp:extent cx="7132320" cy="8572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-3507105</wp:posOffset>
            </wp:positionV>
            <wp:extent cx="2603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-3507105</wp:posOffset>
            </wp:positionV>
            <wp:extent cx="2603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-2898140</wp:posOffset>
            </wp:positionV>
            <wp:extent cx="260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-2898140</wp:posOffset>
            </wp:positionV>
            <wp:extent cx="260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-1329690</wp:posOffset>
            </wp:positionV>
            <wp:extent cx="260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-1329690</wp:posOffset>
            </wp:positionV>
            <wp:extent cx="260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5" w:name="page16"/>
    <w:bookmarkEnd w:id="15"/>
    <w:p>
      <w:pPr>
        <w:ind w:left="3260"/>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Spread</w:t>
            </w: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right"/>
              <w:ind w:right="400"/>
              <w:spacing w:after="0" w:line="122" w:lineRule="exact"/>
              <w:rPr>
                <w:sz w:val="20"/>
                <w:szCs w:val="20"/>
                <w:color w:val="auto"/>
              </w:rPr>
            </w:pPr>
            <w:r>
              <w:rPr>
                <w:rFonts w:ascii="Times New Roman" w:cs="Times New Roman" w:eastAsia="Times New Roman" w:hAnsi="Times New Roman"/>
                <w:sz w:val="11"/>
                <w:szCs w:val="11"/>
                <w:b w:val="1"/>
                <w:bCs w:val="1"/>
                <w:color w:val="auto"/>
              </w:rPr>
              <w:t>Current</w:t>
            </w: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Above</w:t>
            </w:r>
          </w:p>
        </w:tc>
        <w:tc>
          <w:tcPr>
            <w:tcW w:w="160" w:type="dxa"/>
            <w:vAlign w:val="bottom"/>
          </w:tcPr>
          <w:p>
            <w:pPr>
              <w:spacing w:after="0"/>
              <w:rPr>
                <w:sz w:val="10"/>
                <w:szCs w:val="10"/>
                <w:color w:val="auto"/>
              </w:rPr>
            </w:pPr>
          </w:p>
        </w:tc>
        <w:tc>
          <w:tcPr>
            <w:tcW w:w="760" w:type="dxa"/>
            <w:vAlign w:val="bottom"/>
          </w:tcPr>
          <w:p>
            <w:pPr>
              <w:jc w:val="right"/>
              <w:ind w:right="226"/>
              <w:spacing w:after="0" w:line="122" w:lineRule="exact"/>
              <w:rPr>
                <w:sz w:val="20"/>
                <w:szCs w:val="20"/>
                <w:color w:val="auto"/>
              </w:rPr>
            </w:pPr>
            <w:r>
              <w:rPr>
                <w:rFonts w:ascii="Times New Roman" w:cs="Times New Roman" w:eastAsia="Times New Roman" w:hAnsi="Times New Roman"/>
                <w:sz w:val="11"/>
                <w:szCs w:val="11"/>
                <w:b w:val="1"/>
                <w:bCs w:val="1"/>
                <w:color w:val="auto"/>
              </w:rPr>
              <w:t>Par /</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0"/>
              </w:rPr>
              <w:t xml:space="preserve">Fair Value </w:t>
            </w:r>
            <w:r>
              <w:rPr>
                <w:rFonts w:ascii="Times New Roman" w:cs="Times New Roman" w:eastAsia="Times New Roman" w:hAnsi="Times New Roman"/>
                <w:sz w:val="14"/>
                <w:szCs w:val="14"/>
                <w:b w:val="1"/>
                <w:bCs w:val="1"/>
                <w:color w:val="auto"/>
                <w:w w:val="90"/>
                <w:vertAlign w:val="superscript"/>
              </w:rPr>
              <w:t>(2)</w:t>
            </w:r>
          </w:p>
        </w:tc>
        <w:tc>
          <w:tcPr>
            <w:tcW w:w="0" w:type="dxa"/>
            <w:vAlign w:val="bottom"/>
          </w:tcPr>
          <w:p>
            <w:pPr>
              <w:spacing w:after="0"/>
              <w:rPr>
                <w:sz w:val="1"/>
                <w:szCs w:val="1"/>
                <w:color w:val="auto"/>
              </w:rPr>
            </w:pPr>
          </w:p>
        </w:tc>
      </w:tr>
      <w:tr>
        <w:trPr>
          <w:trHeight w:val="155"/>
        </w:trPr>
        <w:tc>
          <w:tcPr>
            <w:tcW w:w="35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58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8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760" w:type="dxa"/>
            <w:vAlign w:val="bottom"/>
          </w:tcPr>
          <w:p>
            <w:pPr>
              <w:jc w:val="center"/>
              <w:spacing w:after="0" w:line="143" w:lineRule="exact"/>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160" w:type="dxa"/>
            <w:vAlign w:val="bottom"/>
          </w:tcPr>
          <w:p>
            <w:pPr>
              <w:spacing w:after="0"/>
              <w:rPr>
                <w:sz w:val="13"/>
                <w:szCs w:val="13"/>
                <w:color w:val="auto"/>
              </w:rPr>
            </w:pPr>
          </w:p>
        </w:tc>
        <w:tc>
          <w:tcPr>
            <w:tcW w:w="76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3320" w:type="dxa"/>
            <w:vAlign w:val="bottom"/>
          </w:tcPr>
          <w:p>
            <w:pPr>
              <w:ind w:left="20"/>
              <w:spacing w:after="0" w:line="103" w:lineRule="exact"/>
              <w:rPr>
                <w:sz w:val="20"/>
                <w:szCs w:val="20"/>
                <w:color w:val="auto"/>
              </w:rPr>
            </w:pPr>
            <w:r>
              <w:rPr>
                <w:rFonts w:ascii="Times New Roman" w:cs="Times New Roman" w:eastAsia="Times New Roman" w:hAnsi="Times New Roman"/>
                <w:sz w:val="9"/>
                <w:szCs w:val="9"/>
                <w:color w:val="auto"/>
              </w:rPr>
              <w:t xml:space="preserve">Delta InvestCo LP (Sigma Defense Systems, LLC) </w:t>
            </w:r>
            <w:r>
              <w:rPr>
                <w:rFonts w:ascii="Times New Roman" w:cs="Times New Roman" w:eastAsia="Times New Roman" w:hAnsi="Times New Roman"/>
                <w:sz w:val="11"/>
                <w:szCs w:val="11"/>
                <w:color w:val="auto"/>
                <w:vertAlign w:val="superscript"/>
              </w:rPr>
              <w:t>(7), (8)</w:t>
            </w:r>
          </w:p>
        </w:tc>
        <w:tc>
          <w:tcPr>
            <w:tcW w:w="1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ind w:left="46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8"/>
                <w:szCs w:val="8"/>
                <w:color w:val="auto"/>
              </w:rPr>
            </w:pPr>
          </w:p>
        </w:tc>
        <w:tc>
          <w:tcPr>
            <w:tcW w:w="2360" w:type="dxa"/>
            <w:vAlign w:val="bottom"/>
            <w:tcBorders>
              <w:top w:val="single" w:sz="8" w:color="auto"/>
            </w:tcBorders>
          </w:tcPr>
          <w:p>
            <w:pPr>
              <w:jc w:val="center"/>
              <w:spacing w:after="0" w:line="103" w:lineRule="exact"/>
              <w:rPr>
                <w:sz w:val="20"/>
                <w:szCs w:val="20"/>
                <w:color w:val="auto"/>
              </w:rPr>
            </w:pPr>
            <w:r>
              <w:rPr>
                <w:rFonts w:ascii="Times New Roman" w:cs="Times New Roman" w:eastAsia="Times New Roman" w:hAnsi="Times New Roman"/>
                <w:sz w:val="11"/>
                <w:szCs w:val="11"/>
                <w:color w:val="auto"/>
                <w:w w:val="95"/>
              </w:rPr>
              <w:t>IT Services</w:t>
            </w:r>
          </w:p>
        </w:tc>
        <w:tc>
          <w:tcPr>
            <w:tcW w:w="140" w:type="dxa"/>
            <w:vAlign w:val="bottom"/>
          </w:tcPr>
          <w:p>
            <w:pPr>
              <w:spacing w:after="0"/>
              <w:rPr>
                <w:sz w:val="8"/>
                <w:szCs w:val="8"/>
                <w:color w:val="auto"/>
              </w:rPr>
            </w:pPr>
          </w:p>
        </w:tc>
        <w:tc>
          <w:tcPr>
            <w:tcW w:w="70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8"/>
                <w:szCs w:val="8"/>
                <w:color w:val="auto"/>
              </w:rPr>
            </w:pPr>
          </w:p>
        </w:tc>
        <w:tc>
          <w:tcPr>
            <w:tcW w:w="760" w:type="dxa"/>
            <w:vAlign w:val="bottom"/>
            <w:tcBorders>
              <w:top w:val="single" w:sz="8" w:color="auto"/>
            </w:tcBorders>
          </w:tcPr>
          <w:p>
            <w:pPr>
              <w:ind w:left="64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tcPr>
          <w:p>
            <w:pPr>
              <w:spacing w:after="0"/>
              <w:rPr>
                <w:sz w:val="8"/>
                <w:szCs w:val="8"/>
                <w:color w:val="auto"/>
              </w:rPr>
            </w:pPr>
          </w:p>
        </w:tc>
        <w:tc>
          <w:tcPr>
            <w:tcW w:w="76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color w:val="auto"/>
              </w:rPr>
              <w:t>502,435</w:t>
            </w:r>
          </w:p>
        </w:tc>
        <w:tc>
          <w:tcPr>
            <w:tcW w:w="160" w:type="dxa"/>
            <w:vAlign w:val="bottom"/>
          </w:tcPr>
          <w:p>
            <w:pPr>
              <w:spacing w:after="0"/>
              <w:rPr>
                <w:sz w:val="8"/>
                <w:szCs w:val="8"/>
                <w:color w:val="auto"/>
              </w:rPr>
            </w:pPr>
          </w:p>
        </w:tc>
        <w:tc>
          <w:tcPr>
            <w:tcW w:w="160" w:type="dxa"/>
            <w:vAlign w:val="bottom"/>
            <w:tcBorders>
              <w:top w:val="single" w:sz="8" w:color="auto"/>
            </w:tcBorders>
          </w:tcPr>
          <w:p>
            <w:pPr>
              <w:jc w:val="right"/>
              <w:ind w:right="46"/>
              <w:spacing w:after="0" w:line="103"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color w:val="auto"/>
              </w:rPr>
              <w:t>502</w:t>
            </w:r>
          </w:p>
        </w:tc>
        <w:tc>
          <w:tcPr>
            <w:tcW w:w="160" w:type="dxa"/>
            <w:vAlign w:val="bottom"/>
          </w:tcPr>
          <w:p>
            <w:pPr>
              <w:spacing w:after="0"/>
              <w:rPr>
                <w:sz w:val="8"/>
                <w:szCs w:val="8"/>
                <w:color w:val="auto"/>
              </w:rPr>
            </w:pPr>
          </w:p>
        </w:tc>
        <w:tc>
          <w:tcPr>
            <w:tcW w:w="6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color w:val="auto"/>
              </w:rPr>
              <w:t>430</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Delta InvestCo LP (Sigma Defense Systems, LLC) </w:t>
            </w:r>
            <w:r>
              <w:rPr>
                <w:rFonts w:ascii="Times New Roman" w:cs="Times New Roman" w:eastAsia="Times New Roman" w:hAnsi="Times New Roman"/>
                <w:sz w:val="14"/>
                <w:szCs w:val="14"/>
                <w:color w:val="auto"/>
                <w:vertAlign w:val="superscript"/>
              </w:rPr>
              <w:t>(7), (8),(9)</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IT Services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502,435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(73 )</w:t>
            </w: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ECM Investors, LLC </w:t>
            </w:r>
            <w:r>
              <w:rPr>
                <w:rFonts w:ascii="Times New Roman" w:cs="Times New Roman" w:eastAsia="Times New Roman" w:hAnsi="Times New Roman"/>
                <w:sz w:val="14"/>
                <w:szCs w:val="14"/>
                <w:color w:val="auto"/>
                <w:vertAlign w:val="superscript"/>
              </w:rPr>
              <w:t>(7), (8)</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295,982</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eCommission Holding Corporation </w:t>
            </w:r>
            <w:r>
              <w:rPr>
                <w:rFonts w:ascii="Times New Roman" w:cs="Times New Roman" w:eastAsia="Times New Roman" w:hAnsi="Times New Roman"/>
                <w:sz w:val="14"/>
                <w:szCs w:val="14"/>
                <w:color w:val="auto"/>
                <w:vertAlign w:val="superscript"/>
              </w:rPr>
              <w:t>(7), (10)</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Banking, Finance, Insurance &amp; Real Estate</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FedHC InvestCo LP </w:t>
            </w:r>
            <w:r>
              <w:rPr>
                <w:rFonts w:ascii="Times New Roman" w:cs="Times New Roman" w:eastAsia="Times New Roman" w:hAnsi="Times New Roman"/>
                <w:sz w:val="14"/>
                <w:szCs w:val="14"/>
                <w:color w:val="auto"/>
                <w:vertAlign w:val="superscript"/>
              </w:rPr>
              <w:t>(7),(8)</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4,951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52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FedHC InvestCo LP </w:t>
            </w:r>
            <w:r>
              <w:rPr>
                <w:rFonts w:ascii="Times New Roman" w:cs="Times New Roman" w:eastAsia="Times New Roman" w:hAnsi="Times New Roman"/>
                <w:sz w:val="14"/>
                <w:szCs w:val="14"/>
                <w:color w:val="auto"/>
                <w:vertAlign w:val="superscript"/>
              </w:rPr>
              <w:t>(7),(8),(9)</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6,051</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520" w:type="dxa"/>
            <w:vAlign w:val="bottom"/>
            <w:gridSpan w:val="3"/>
          </w:tcPr>
          <w:p>
            <w:pPr>
              <w:ind w:left="20"/>
              <w:spacing w:after="0" w:line="117" w:lineRule="exact"/>
              <w:rPr>
                <w:sz w:val="20"/>
                <w:szCs w:val="20"/>
                <w:color w:val="auto"/>
              </w:rPr>
            </w:pPr>
            <w:r>
              <w:rPr>
                <w:rFonts w:ascii="Times New Roman" w:cs="Times New Roman" w:eastAsia="Times New Roman" w:hAnsi="Times New Roman"/>
                <w:sz w:val="11"/>
                <w:szCs w:val="11"/>
                <w:color w:val="auto"/>
              </w:rPr>
              <w:t>Gauge InfosoftCoInvest, LLC</w:t>
            </w:r>
          </w:p>
        </w:tc>
        <w:tc>
          <w:tcPr>
            <w:tcW w:w="580" w:type="dxa"/>
            <w:vAlign w:val="bottom"/>
          </w:tcPr>
          <w:p>
            <w:pPr>
              <w:ind w:left="46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0"/>
                <w:szCs w:val="10"/>
                <w:color w:val="auto"/>
              </w:rPr>
            </w:pPr>
          </w:p>
        </w:tc>
        <w:tc>
          <w:tcPr>
            <w:tcW w:w="23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Media: Broadcasting and Subscription</w:t>
            </w:r>
          </w:p>
        </w:tc>
        <w:tc>
          <w:tcPr>
            <w:tcW w:w="140" w:type="dxa"/>
            <w:vAlign w:val="bottom"/>
          </w:tcPr>
          <w:p>
            <w:pPr>
              <w:spacing w:after="0"/>
              <w:rPr>
                <w:sz w:val="10"/>
                <w:szCs w:val="10"/>
                <w:color w:val="auto"/>
              </w:rPr>
            </w:pPr>
          </w:p>
        </w:tc>
        <w:tc>
          <w:tcPr>
            <w:tcW w:w="940" w:type="dxa"/>
            <w:vAlign w:val="bottom"/>
            <w:gridSpan w:val="2"/>
          </w:tcPr>
          <w:p>
            <w:pPr>
              <w:jc w:val="right"/>
              <w:ind w:right="2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500</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144</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2,217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(The Infosoft Group, LLC) </w:t>
            </w:r>
            <w:r>
              <w:rPr>
                <w:rFonts w:ascii="Times New Roman" w:cs="Times New Roman" w:eastAsia="Times New Roman" w:hAnsi="Times New Roman"/>
                <w:sz w:val="14"/>
                <w:szCs w:val="14"/>
                <w:color w:val="auto"/>
                <w:vertAlign w:val="superscript"/>
              </w:rPr>
              <w:t>(7)</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Gauge Lash Coinvest LLC </w:t>
            </w:r>
            <w:r>
              <w:rPr>
                <w:rFonts w:ascii="Times New Roman" w:cs="Times New Roman" w:eastAsia="Times New Roman" w:hAnsi="Times New Roman"/>
                <w:sz w:val="14"/>
                <w:szCs w:val="14"/>
                <w:color w:val="auto"/>
                <w:vertAlign w:val="superscript"/>
              </w:rPr>
              <w:t>(7)</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1,485,953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227</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5,944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Gauge Schlesinger Coinvest LLC </w:t>
            </w:r>
            <w:r>
              <w:rPr>
                <w:rFonts w:ascii="Times New Roman" w:cs="Times New Roman" w:eastAsia="Times New Roman" w:hAnsi="Times New Roman"/>
                <w:sz w:val="14"/>
                <w:szCs w:val="14"/>
                <w:color w:val="auto"/>
                <w:vertAlign w:val="superscript"/>
              </w:rPr>
              <w:t>(7)</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437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437</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Gauge TVC Coinvest, LLC (TVC Enterprises, LLC) </w:t>
            </w:r>
            <w:r>
              <w:rPr>
                <w:rFonts w:ascii="Times New Roman" w:cs="Times New Roman" w:eastAsia="Times New Roman" w:hAnsi="Times New Roman"/>
                <w:sz w:val="14"/>
                <w:szCs w:val="14"/>
                <w:color w:val="auto"/>
                <w:vertAlign w:val="superscript"/>
              </w:rPr>
              <w:t>(7)</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391,144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GCOM InvestCo LP </w:t>
            </w:r>
            <w:r>
              <w:rPr>
                <w:rFonts w:ascii="Times New Roman" w:cs="Times New Roman" w:eastAsia="Times New Roman" w:hAnsi="Times New Roman"/>
                <w:sz w:val="14"/>
                <w:szCs w:val="14"/>
                <w:color w:val="auto"/>
                <w:vertAlign w:val="superscript"/>
              </w:rPr>
              <w:t>(7),(8)</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IT Services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17,951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2,930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3,404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52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GCOM InvestCo LP </w:t>
            </w:r>
            <w:r>
              <w:rPr>
                <w:rFonts w:ascii="Times New Roman" w:cs="Times New Roman" w:eastAsia="Times New Roman" w:hAnsi="Times New Roman"/>
                <w:sz w:val="14"/>
                <w:szCs w:val="14"/>
                <w:color w:val="auto"/>
                <w:vertAlign w:val="superscript"/>
              </w:rPr>
              <w:t>(7), (8), (9)</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IT Services</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2,398</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520" w:type="dxa"/>
            <w:vAlign w:val="bottom"/>
            <w:gridSpan w:val="3"/>
          </w:tcPr>
          <w:p>
            <w:pPr>
              <w:ind w:left="20"/>
              <w:spacing w:after="0" w:line="117" w:lineRule="exact"/>
              <w:rPr>
                <w:sz w:val="20"/>
                <w:szCs w:val="20"/>
                <w:color w:val="auto"/>
              </w:rPr>
            </w:pPr>
            <w:r>
              <w:rPr>
                <w:rFonts w:ascii="Times New Roman" w:cs="Times New Roman" w:eastAsia="Times New Roman" w:hAnsi="Times New Roman"/>
                <w:sz w:val="11"/>
                <w:szCs w:val="11"/>
                <w:color w:val="auto"/>
              </w:rPr>
              <w:t>Go Dawgs Capital III, LP</w:t>
            </w:r>
          </w:p>
        </w:tc>
        <w:tc>
          <w:tcPr>
            <w:tcW w:w="580" w:type="dxa"/>
            <w:vAlign w:val="bottom"/>
          </w:tcPr>
          <w:p>
            <w:pPr>
              <w:ind w:left="46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0"/>
                <w:szCs w:val="10"/>
                <w:color w:val="auto"/>
              </w:rPr>
            </w:pPr>
          </w:p>
        </w:tc>
        <w:tc>
          <w:tcPr>
            <w:tcW w:w="23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Building Products</w:t>
            </w:r>
          </w:p>
        </w:tc>
        <w:tc>
          <w:tcPr>
            <w:tcW w:w="140" w:type="dxa"/>
            <w:vAlign w:val="bottom"/>
          </w:tcPr>
          <w:p>
            <w:pPr>
              <w:spacing w:after="0"/>
              <w:rPr>
                <w:sz w:val="10"/>
                <w:szCs w:val="10"/>
                <w:color w:val="auto"/>
              </w:rPr>
            </w:pPr>
          </w:p>
        </w:tc>
        <w:tc>
          <w:tcPr>
            <w:tcW w:w="940" w:type="dxa"/>
            <w:vAlign w:val="bottom"/>
            <w:gridSpan w:val="2"/>
          </w:tcPr>
          <w:p>
            <w:pPr>
              <w:jc w:val="right"/>
              <w:ind w:right="2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324,675</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325</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406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(American Insulated Glass, LLC) </w:t>
            </w:r>
            <w:r>
              <w:rPr>
                <w:rFonts w:ascii="Times New Roman" w:cs="Times New Roman" w:eastAsia="Times New Roman" w:hAnsi="Times New Roman"/>
                <w:sz w:val="14"/>
                <w:szCs w:val="14"/>
                <w:color w:val="auto"/>
                <w:vertAlign w:val="superscript"/>
              </w:rPr>
              <w:t>(7), (8)</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52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Hancock Claims Consultants Investors, LLC </w:t>
            </w:r>
            <w:r>
              <w:rPr>
                <w:rFonts w:ascii="Times New Roman" w:cs="Times New Roman" w:eastAsia="Times New Roman" w:hAnsi="Times New Roman"/>
                <w:sz w:val="14"/>
                <w:szCs w:val="14"/>
                <w:color w:val="auto"/>
                <w:vertAlign w:val="superscript"/>
              </w:rPr>
              <w:t>(7), (8)</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450,000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520" w:type="dxa"/>
            <w:vAlign w:val="bottom"/>
            <w:gridSpan w:val="3"/>
          </w:tcPr>
          <w:p>
            <w:pPr>
              <w:ind w:left="20"/>
              <w:spacing w:after="0" w:line="117" w:lineRule="exact"/>
              <w:rPr>
                <w:sz w:val="20"/>
                <w:szCs w:val="20"/>
                <w:color w:val="auto"/>
              </w:rPr>
            </w:pPr>
            <w:r>
              <w:rPr>
                <w:rFonts w:ascii="Times New Roman" w:cs="Times New Roman" w:eastAsia="Times New Roman" w:hAnsi="Times New Roman"/>
                <w:sz w:val="11"/>
                <w:szCs w:val="11"/>
                <w:color w:val="auto"/>
              </w:rPr>
              <w:t>IIN Group Holdings, LLC</w:t>
            </w:r>
          </w:p>
        </w:tc>
        <w:tc>
          <w:tcPr>
            <w:tcW w:w="580" w:type="dxa"/>
            <w:vAlign w:val="bottom"/>
          </w:tcPr>
          <w:p>
            <w:pPr>
              <w:ind w:left="46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0"/>
                <w:szCs w:val="10"/>
                <w:color w:val="auto"/>
              </w:rPr>
            </w:pPr>
          </w:p>
        </w:tc>
        <w:tc>
          <w:tcPr>
            <w:tcW w:w="23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Consumer Services</w:t>
            </w:r>
          </w:p>
        </w:tc>
        <w:tc>
          <w:tcPr>
            <w:tcW w:w="140" w:type="dxa"/>
            <w:vAlign w:val="bottom"/>
          </w:tcPr>
          <w:p>
            <w:pPr>
              <w:spacing w:after="0"/>
              <w:rPr>
                <w:sz w:val="10"/>
                <w:szCs w:val="10"/>
                <w:color w:val="auto"/>
              </w:rPr>
            </w:pPr>
          </w:p>
        </w:tc>
        <w:tc>
          <w:tcPr>
            <w:tcW w:w="940" w:type="dxa"/>
            <w:vAlign w:val="bottom"/>
            <w:gridSpan w:val="2"/>
          </w:tcPr>
          <w:p>
            <w:pPr>
              <w:jc w:val="right"/>
              <w:ind w:right="2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1,950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(Integrative Nutrition, LLC) </w:t>
            </w:r>
            <w:r>
              <w:rPr>
                <w:rFonts w:ascii="Times New Roman" w:cs="Times New Roman" w:eastAsia="Times New Roman" w:hAnsi="Times New Roman"/>
                <w:sz w:val="14"/>
                <w:szCs w:val="14"/>
                <w:color w:val="auto"/>
                <w:vertAlign w:val="superscript"/>
              </w:rPr>
              <w:t>(7), (8)</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Ironclad Holdco, LLC (Applied Technical Services, LLC) </w:t>
            </w:r>
            <w:r>
              <w:rPr>
                <w:rFonts w:ascii="Times New Roman" w:cs="Times New Roman" w:eastAsia="Times New Roman" w:hAnsi="Times New Roman"/>
                <w:sz w:val="14"/>
                <w:szCs w:val="14"/>
                <w:color w:val="auto"/>
                <w:vertAlign w:val="superscript"/>
              </w:rPr>
              <w:t>(7), (8)</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5,040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496</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ITC Rumba, LLC (Cano Health, LLC) </w:t>
            </w:r>
            <w:r>
              <w:rPr>
                <w:rFonts w:ascii="Times New Roman" w:cs="Times New Roman" w:eastAsia="Times New Roman" w:hAnsi="Times New Roman"/>
                <w:sz w:val="14"/>
                <w:szCs w:val="14"/>
                <w:color w:val="auto"/>
                <w:vertAlign w:val="superscript"/>
              </w:rPr>
              <w:t>(7),(8)</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Healthcare and Pharmaceuticals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46,763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7,569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52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JWC/UMA Holdings, L.P. (Urology Management Associates, LLC) </w:t>
            </w:r>
            <w:r>
              <w:rPr>
                <w:rFonts w:ascii="Times New Roman" w:cs="Times New Roman" w:eastAsia="Times New Roman" w:hAnsi="Times New Roman"/>
                <w:sz w:val="14"/>
                <w:szCs w:val="14"/>
                <w:color w:val="auto"/>
                <w:vertAlign w:val="superscript"/>
              </w:rPr>
              <w:t>(7)</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Healthcare and Pharmaceuticals</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520" w:type="dxa"/>
            <w:vAlign w:val="bottom"/>
            <w:gridSpan w:val="3"/>
          </w:tcPr>
          <w:p>
            <w:pPr>
              <w:ind w:left="20"/>
              <w:spacing w:after="0" w:line="117" w:lineRule="exact"/>
              <w:rPr>
                <w:sz w:val="20"/>
                <w:szCs w:val="20"/>
                <w:color w:val="auto"/>
              </w:rPr>
            </w:pPr>
            <w:r>
              <w:rPr>
                <w:rFonts w:ascii="Times New Roman" w:cs="Times New Roman" w:eastAsia="Times New Roman" w:hAnsi="Times New Roman"/>
                <w:sz w:val="11"/>
                <w:szCs w:val="11"/>
                <w:color w:val="auto"/>
              </w:rPr>
              <w:t>JWC-WE Holdings, L.P.</w:t>
            </w:r>
          </w:p>
        </w:tc>
        <w:tc>
          <w:tcPr>
            <w:tcW w:w="580" w:type="dxa"/>
            <w:vAlign w:val="bottom"/>
          </w:tcPr>
          <w:p>
            <w:pPr>
              <w:ind w:left="46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0"/>
                <w:szCs w:val="10"/>
                <w:color w:val="auto"/>
              </w:rPr>
            </w:pPr>
          </w:p>
        </w:tc>
        <w:tc>
          <w:tcPr>
            <w:tcW w:w="23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Wholesale</w:t>
            </w:r>
          </w:p>
        </w:tc>
        <w:tc>
          <w:tcPr>
            <w:tcW w:w="140" w:type="dxa"/>
            <w:vAlign w:val="bottom"/>
          </w:tcPr>
          <w:p>
            <w:pPr>
              <w:spacing w:after="0"/>
              <w:rPr>
                <w:sz w:val="10"/>
                <w:szCs w:val="10"/>
                <w:color w:val="auto"/>
              </w:rPr>
            </w:pPr>
          </w:p>
        </w:tc>
        <w:tc>
          <w:tcPr>
            <w:tcW w:w="940" w:type="dxa"/>
            <w:vAlign w:val="bottom"/>
            <w:gridSpan w:val="2"/>
          </w:tcPr>
          <w:p>
            <w:pPr>
              <w:jc w:val="right"/>
              <w:ind w:right="2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1,381,741</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4,795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(Walker Edison Furniture Company LLC) </w:t>
            </w:r>
            <w:r>
              <w:rPr>
                <w:rFonts w:ascii="Times New Roman" w:cs="Times New Roman" w:eastAsia="Times New Roman" w:hAnsi="Times New Roman"/>
                <w:sz w:val="14"/>
                <w:szCs w:val="14"/>
                <w:color w:val="auto"/>
                <w:vertAlign w:val="superscript"/>
              </w:rPr>
              <w:t>(7), (8)</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KL Stockton Co-Invest LP (Any Hour Services) </w:t>
            </w:r>
            <w:r>
              <w:rPr>
                <w:rFonts w:ascii="Times New Roman" w:cs="Times New Roman" w:eastAsia="Times New Roman" w:hAnsi="Times New Roman"/>
                <w:sz w:val="14"/>
                <w:szCs w:val="14"/>
                <w:color w:val="auto"/>
                <w:vertAlign w:val="superscript"/>
              </w:rPr>
              <w:t>(7),(8)</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Energy Equipment and Services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382,353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Kentucky Racing Holdco, LLC (Warrants) </w:t>
            </w:r>
            <w:r>
              <w:rPr>
                <w:rFonts w:ascii="Times New Roman" w:cs="Times New Roman" w:eastAsia="Times New Roman" w:hAnsi="Times New Roman"/>
                <w:sz w:val="14"/>
                <w:szCs w:val="14"/>
                <w:color w:val="auto"/>
                <w:vertAlign w:val="superscript"/>
              </w:rPr>
              <w:t>(7), (8)</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Hotels, Restaurants and Leisure</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87,345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Lightspeed Investment Holdco LLC </w:t>
            </w:r>
            <w:r>
              <w:rPr>
                <w:rFonts w:ascii="Times New Roman" w:cs="Times New Roman" w:eastAsia="Times New Roman" w:hAnsi="Times New Roman"/>
                <w:sz w:val="14"/>
                <w:szCs w:val="14"/>
                <w:color w:val="auto"/>
                <w:vertAlign w:val="superscript"/>
              </w:rPr>
              <w:t>(7)</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585,587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586</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Mars Intermediate Holdings II, Inc. </w:t>
            </w:r>
            <w:r>
              <w:rPr>
                <w:rFonts w:ascii="Times New Roman" w:cs="Times New Roman" w:eastAsia="Times New Roman" w:hAnsi="Times New Roman"/>
                <w:sz w:val="14"/>
                <w:szCs w:val="14"/>
                <w:color w:val="auto"/>
                <w:vertAlign w:val="superscript"/>
              </w:rPr>
              <w:t>(7)</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835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52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MeritDirect Holdings, LP </w:t>
            </w:r>
            <w:r>
              <w:rPr>
                <w:rFonts w:ascii="Times New Roman" w:cs="Times New Roman" w:eastAsia="Times New Roman" w:hAnsi="Times New Roman"/>
                <w:sz w:val="14"/>
                <w:szCs w:val="14"/>
                <w:color w:val="auto"/>
                <w:vertAlign w:val="superscript"/>
              </w:rPr>
              <w:t>(7), (8)</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960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520" w:type="dxa"/>
            <w:vAlign w:val="bottom"/>
            <w:gridSpan w:val="3"/>
          </w:tcPr>
          <w:p>
            <w:pPr>
              <w:ind w:left="20"/>
              <w:spacing w:after="0" w:line="117" w:lineRule="exact"/>
              <w:rPr>
                <w:sz w:val="20"/>
                <w:szCs w:val="20"/>
                <w:color w:val="auto"/>
              </w:rPr>
            </w:pPr>
            <w:r>
              <w:rPr>
                <w:rFonts w:ascii="Times New Roman" w:cs="Times New Roman" w:eastAsia="Times New Roman" w:hAnsi="Times New Roman"/>
                <w:sz w:val="11"/>
                <w:szCs w:val="11"/>
                <w:color w:val="auto"/>
              </w:rPr>
              <w:t>MSpark, LLC (Mailsouth Inc.)</w:t>
            </w:r>
          </w:p>
        </w:tc>
        <w:tc>
          <w:tcPr>
            <w:tcW w:w="580" w:type="dxa"/>
            <w:vAlign w:val="bottom"/>
          </w:tcPr>
          <w:p>
            <w:pPr>
              <w:ind w:left="46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0"/>
                <w:szCs w:val="10"/>
                <w:color w:val="auto"/>
              </w:rPr>
            </w:pPr>
          </w:p>
        </w:tc>
        <w:tc>
          <w:tcPr>
            <w:tcW w:w="23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Media: Advertising, Printing and Publishing</w:t>
            </w:r>
          </w:p>
        </w:tc>
        <w:tc>
          <w:tcPr>
            <w:tcW w:w="140" w:type="dxa"/>
            <w:vAlign w:val="bottom"/>
          </w:tcPr>
          <w:p>
            <w:pPr>
              <w:spacing w:after="0"/>
              <w:rPr>
                <w:sz w:val="10"/>
                <w:szCs w:val="10"/>
                <w:color w:val="auto"/>
              </w:rPr>
            </w:pPr>
          </w:p>
        </w:tc>
        <w:tc>
          <w:tcPr>
            <w:tcW w:w="940" w:type="dxa"/>
            <w:vAlign w:val="bottom"/>
            <w:gridSpan w:val="2"/>
          </w:tcPr>
          <w:p>
            <w:pPr>
              <w:jc w:val="right"/>
              <w:ind w:right="2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3,988</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1,288</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859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Municipal Emergency Services, Inc. </w:t>
            </w:r>
            <w:r>
              <w:rPr>
                <w:rFonts w:ascii="Times New Roman" w:cs="Times New Roman" w:eastAsia="Times New Roman" w:hAnsi="Times New Roman"/>
                <w:sz w:val="14"/>
                <w:szCs w:val="14"/>
                <w:color w:val="auto"/>
                <w:vertAlign w:val="superscript"/>
              </w:rPr>
              <w:t>(7)</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802,162</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802</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NEPRT Parent Holdings, LLC (Recteq, LLC) </w:t>
            </w:r>
            <w:r>
              <w:rPr>
                <w:rFonts w:ascii="Times New Roman" w:cs="Times New Roman" w:eastAsia="Times New Roman" w:hAnsi="Times New Roman"/>
                <w:sz w:val="14"/>
                <w:szCs w:val="14"/>
                <w:color w:val="auto"/>
                <w:vertAlign w:val="superscript"/>
              </w:rPr>
              <w:t>(7), (8)</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1,452</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NXOF Holdings, Inc. (Tyto Athene, LLC) </w:t>
            </w:r>
            <w:r>
              <w:rPr>
                <w:rFonts w:ascii="Times New Roman" w:cs="Times New Roman" w:eastAsia="Times New Roman" w:hAnsi="Times New Roman"/>
                <w:sz w:val="14"/>
                <w:szCs w:val="14"/>
                <w:color w:val="auto"/>
                <w:vertAlign w:val="superscript"/>
              </w:rPr>
              <w:t>(7)</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IT Services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14,960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OceanSound Discovery Equity, LP (Holdco Sands Intermediate, LLC) </w:t>
            </w:r>
            <w:r>
              <w:rPr>
                <w:rFonts w:ascii="Times New Roman" w:cs="Times New Roman" w:eastAsia="Times New Roman" w:hAnsi="Times New Roman"/>
                <w:sz w:val="14"/>
                <w:szCs w:val="14"/>
                <w:color w:val="auto"/>
                <w:vertAlign w:val="superscript"/>
              </w:rPr>
              <w:t>(7), (8)</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173,638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1,729</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2,870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Oral Surgery (ITC) Holdings, LLC (OIS Management Services, LLC) </w:t>
            </w:r>
            <w:r>
              <w:rPr>
                <w:rFonts w:ascii="Times New Roman" w:cs="Times New Roman" w:eastAsia="Times New Roman" w:hAnsi="Times New Roman"/>
                <w:sz w:val="14"/>
                <w:szCs w:val="14"/>
                <w:color w:val="auto"/>
                <w:vertAlign w:val="superscript"/>
              </w:rPr>
              <w:t>(7),(8)</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3,872</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ORL Holdco, Inc. </w:t>
            </w:r>
            <w:r>
              <w:rPr>
                <w:rFonts w:ascii="Times New Roman" w:cs="Times New Roman" w:eastAsia="Times New Roman" w:hAnsi="Times New Roman"/>
                <w:sz w:val="14"/>
                <w:szCs w:val="14"/>
                <w:color w:val="auto"/>
                <w:vertAlign w:val="superscript"/>
              </w:rPr>
              <w:t>(7)</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Consumer Finance</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1,474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PennantPark-TSO Senior Loan Fund, LP </w:t>
            </w:r>
            <w:r>
              <w:rPr>
                <w:rFonts w:ascii="Times New Roman" w:cs="Times New Roman" w:eastAsia="Times New Roman" w:hAnsi="Times New Roman"/>
                <w:sz w:val="14"/>
                <w:szCs w:val="14"/>
                <w:color w:val="auto"/>
                <w:vertAlign w:val="superscript"/>
              </w:rPr>
              <w:t>(7)</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15,321,693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15,322</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15,574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PT Network Intermediate Holdings, LLC </w:t>
            </w:r>
            <w:r>
              <w:rPr>
                <w:rFonts w:ascii="Times New Roman" w:cs="Times New Roman" w:eastAsia="Times New Roman" w:hAnsi="Times New Roman"/>
                <w:sz w:val="14"/>
                <w:szCs w:val="14"/>
                <w:color w:val="auto"/>
                <w:vertAlign w:val="superscript"/>
              </w:rPr>
              <w:t>(7),(8)</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Healthcare and Pharmaceuticals</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QuantiTech InvestCo LP </w:t>
            </w:r>
            <w:r>
              <w:rPr>
                <w:rFonts w:ascii="Times New Roman" w:cs="Times New Roman" w:eastAsia="Times New Roman" w:hAnsi="Times New Roman"/>
                <w:sz w:val="14"/>
                <w:szCs w:val="14"/>
                <w:color w:val="auto"/>
                <w:vertAlign w:val="superscript"/>
              </w:rPr>
              <w:t>(7), (8)</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QuantiTech InvestCo LP </w:t>
            </w:r>
            <w:r>
              <w:rPr>
                <w:rFonts w:ascii="Times New Roman" w:cs="Times New Roman" w:eastAsia="Times New Roman" w:hAnsi="Times New Roman"/>
                <w:sz w:val="14"/>
                <w:szCs w:val="14"/>
                <w:color w:val="auto"/>
                <w:vertAlign w:val="superscript"/>
              </w:rPr>
              <w:t>(7), (8), (9)</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967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QuantiTech InvestCo II LP </w:t>
            </w:r>
            <w:r>
              <w:rPr>
                <w:rFonts w:ascii="Times New Roman" w:cs="Times New Roman" w:eastAsia="Times New Roman" w:hAnsi="Times New Roman"/>
                <w:sz w:val="14"/>
                <w:szCs w:val="14"/>
                <w:color w:val="auto"/>
                <w:vertAlign w:val="superscript"/>
              </w:rPr>
              <w:t>(7), (8),</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RFMG Parent, LP (Rancho Health MSO, Inc.) </w:t>
            </w:r>
            <w:r>
              <w:rPr>
                <w:rFonts w:ascii="Times New Roman" w:cs="Times New Roman" w:eastAsia="Times New Roman" w:hAnsi="Times New Roman"/>
                <w:sz w:val="14"/>
                <w:szCs w:val="14"/>
                <w:color w:val="auto"/>
                <w:vertAlign w:val="superscript"/>
              </w:rPr>
              <w:t>(7)</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1,050,000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SBI Holdings Investments LLC (Sales Benchmark Index LLC) </w:t>
            </w:r>
            <w:r>
              <w:rPr>
                <w:rFonts w:ascii="Times New Roman" w:cs="Times New Roman" w:eastAsia="Times New Roman" w:hAnsi="Times New Roman"/>
                <w:sz w:val="14"/>
                <w:szCs w:val="14"/>
                <w:color w:val="auto"/>
                <w:vertAlign w:val="superscript"/>
              </w:rPr>
              <w:t>(7), (8)</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64,634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646</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52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Signature CR Intermediate Holdco, Inc. </w:t>
            </w:r>
            <w:r>
              <w:rPr>
                <w:rFonts w:ascii="Times New Roman" w:cs="Times New Roman" w:eastAsia="Times New Roman" w:hAnsi="Times New Roman"/>
                <w:sz w:val="14"/>
                <w:szCs w:val="14"/>
                <w:color w:val="auto"/>
                <w:vertAlign w:val="superscript"/>
              </w:rPr>
              <w:t>(7)</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320" w:type="dxa"/>
            <w:vAlign w:val="bottom"/>
            <w:shd w:val="clear" w:color="auto" w:fill="CCECFF"/>
          </w:tcPr>
          <w:p>
            <w:pPr>
              <w:ind w:left="20"/>
              <w:spacing w:after="0" w:line="117" w:lineRule="exact"/>
              <w:rPr>
                <w:sz w:val="20"/>
                <w:szCs w:val="20"/>
                <w:color w:val="auto"/>
              </w:rPr>
            </w:pPr>
            <w:r>
              <w:rPr>
                <w:rFonts w:ascii="Times New Roman" w:cs="Times New Roman" w:eastAsia="Times New Roman" w:hAnsi="Times New Roman"/>
                <w:sz w:val="11"/>
                <w:szCs w:val="11"/>
                <w:color w:val="auto"/>
              </w:rPr>
              <w:t>SSC Dominion Holdings, LLC</w:t>
            </w:r>
          </w:p>
        </w:tc>
        <w:tc>
          <w:tcPr>
            <w:tcW w:w="200" w:type="dxa"/>
            <w:vAlign w:val="bottom"/>
            <w:gridSpan w:val="2"/>
          </w:tcPr>
          <w:p>
            <w:pPr>
              <w:spacing w:after="0"/>
              <w:rPr>
                <w:sz w:val="10"/>
                <w:szCs w:val="10"/>
                <w:color w:val="auto"/>
              </w:rPr>
            </w:pPr>
          </w:p>
        </w:tc>
        <w:tc>
          <w:tcPr>
            <w:tcW w:w="580" w:type="dxa"/>
            <w:vAlign w:val="bottom"/>
          </w:tcPr>
          <w:p>
            <w:pPr>
              <w:ind w:left="46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0"/>
                <w:szCs w:val="10"/>
                <w:color w:val="auto"/>
              </w:rPr>
            </w:pPr>
          </w:p>
        </w:tc>
        <w:tc>
          <w:tcPr>
            <w:tcW w:w="23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6"/>
              </w:rPr>
              <w:t>Capital Equipment</w:t>
            </w:r>
          </w:p>
        </w:tc>
        <w:tc>
          <w:tcPr>
            <w:tcW w:w="140" w:type="dxa"/>
            <w:vAlign w:val="bottom"/>
          </w:tcPr>
          <w:p>
            <w:pPr>
              <w:spacing w:after="0"/>
              <w:rPr>
                <w:sz w:val="10"/>
                <w:szCs w:val="10"/>
                <w:color w:val="auto"/>
              </w:rPr>
            </w:pPr>
          </w:p>
        </w:tc>
        <w:tc>
          <w:tcPr>
            <w:tcW w:w="940" w:type="dxa"/>
            <w:vAlign w:val="bottom"/>
            <w:gridSpan w:val="2"/>
          </w:tcPr>
          <w:p>
            <w:pPr>
              <w:jc w:val="right"/>
              <w:ind w:right="2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500</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500</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630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3320" w:type="dxa"/>
            <w:vAlign w:val="bottom"/>
            <w:vMerge w:val="restart"/>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 xml:space="preserve">Class A (US Dominion, Inc.) </w:t>
            </w:r>
            <w:r>
              <w:rPr>
                <w:rFonts w:ascii="Times New Roman" w:cs="Times New Roman" w:eastAsia="Times New Roman" w:hAnsi="Times New Roman"/>
                <w:sz w:val="14"/>
                <w:szCs w:val="14"/>
                <w:color w:val="auto"/>
                <w:vertAlign w:val="superscript"/>
              </w:rPr>
              <w:t>(7)</w:t>
            </w:r>
          </w:p>
        </w:tc>
        <w:tc>
          <w:tcPr>
            <w:tcW w:w="2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320" w:type="dxa"/>
            <w:vAlign w:val="bottom"/>
            <w:vMerge w:val="continue"/>
            <w:shd w:val="clear" w:color="auto" w:fill="CCECFF"/>
          </w:tcPr>
          <w:p>
            <w:pPr>
              <w:spacing w:after="0"/>
              <w:rPr>
                <w:sz w:val="11"/>
                <w:szCs w:val="11"/>
                <w:color w:val="auto"/>
              </w:rPr>
            </w:pPr>
          </w:p>
        </w:tc>
        <w:tc>
          <w:tcPr>
            <w:tcW w:w="200" w:type="dxa"/>
            <w:vAlign w:val="bottom"/>
            <w:gridSpan w:val="2"/>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3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32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SSC Dominion Holdings, LLC</w:t>
            </w:r>
          </w:p>
        </w:tc>
        <w:tc>
          <w:tcPr>
            <w:tcW w:w="200" w:type="dxa"/>
            <w:vAlign w:val="bottom"/>
            <w:gridSpan w:val="2"/>
          </w:tcPr>
          <w:p>
            <w:pPr>
              <w:spacing w:after="0"/>
              <w:rPr>
                <w:sz w:val="8"/>
                <w:szCs w:val="8"/>
                <w:color w:val="auto"/>
              </w:rPr>
            </w:pPr>
          </w:p>
        </w:tc>
        <w:tc>
          <w:tcPr>
            <w:tcW w:w="580" w:type="dxa"/>
            <w:vAlign w:val="bottom"/>
          </w:tcPr>
          <w:p>
            <w:pPr>
              <w:ind w:left="46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8"/>
                <w:szCs w:val="8"/>
                <w:color w:val="auto"/>
              </w:rPr>
            </w:pPr>
          </w:p>
        </w:tc>
        <w:tc>
          <w:tcPr>
            <w:tcW w:w="236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6"/>
              </w:rPr>
              <w:t>Capital Equipment</w:t>
            </w:r>
          </w:p>
        </w:tc>
        <w:tc>
          <w:tcPr>
            <w:tcW w:w="140" w:type="dxa"/>
            <w:vAlign w:val="bottom"/>
          </w:tcPr>
          <w:p>
            <w:pPr>
              <w:spacing w:after="0"/>
              <w:rPr>
                <w:sz w:val="8"/>
                <w:szCs w:val="8"/>
                <w:color w:val="auto"/>
              </w:rPr>
            </w:pPr>
          </w:p>
        </w:tc>
        <w:tc>
          <w:tcPr>
            <w:tcW w:w="940" w:type="dxa"/>
            <w:vAlign w:val="bottom"/>
            <w:gridSpan w:val="2"/>
          </w:tcPr>
          <w:p>
            <w:pPr>
              <w:jc w:val="right"/>
              <w:ind w:right="260"/>
              <w:spacing w:after="0" w:line="103"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500</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1,178</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Class B (US Dominion, Inc.) </w:t>
            </w:r>
            <w:r>
              <w:rPr>
                <w:rFonts w:ascii="Times New Roman" w:cs="Times New Roman" w:eastAsia="Times New Roman" w:hAnsi="Times New Roman"/>
                <w:sz w:val="14"/>
                <w:szCs w:val="14"/>
                <w:color w:val="auto"/>
                <w:vertAlign w:val="superscript"/>
              </w:rPr>
              <w:t>(7)</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StellPen Holdings, LLC (CF512, Inc.) </w:t>
            </w:r>
            <w:r>
              <w:rPr>
                <w:rFonts w:ascii="Times New Roman" w:cs="Times New Roman" w:eastAsia="Times New Roman" w:hAnsi="Times New Roman"/>
                <w:sz w:val="14"/>
                <w:szCs w:val="14"/>
                <w:color w:val="auto"/>
                <w:vertAlign w:val="superscript"/>
              </w:rPr>
              <w:t>(7)</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161,538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TAC LifePort Holdings, LLC </w:t>
            </w:r>
            <w:r>
              <w:rPr>
                <w:rFonts w:ascii="Times New Roman" w:cs="Times New Roman" w:eastAsia="Times New Roman" w:hAnsi="Times New Roman"/>
                <w:sz w:val="14"/>
                <w:szCs w:val="14"/>
                <w:color w:val="auto"/>
                <w:vertAlign w:val="superscript"/>
              </w:rPr>
              <w:t>(7),(8)</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488,372</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TPC Holding Company, LP </w:t>
            </w:r>
            <w:r>
              <w:rPr>
                <w:rFonts w:ascii="Times New Roman" w:cs="Times New Roman" w:eastAsia="Times New Roman" w:hAnsi="Times New Roman"/>
                <w:sz w:val="14"/>
                <w:szCs w:val="14"/>
                <w:color w:val="auto"/>
                <w:vertAlign w:val="superscript"/>
              </w:rPr>
              <w:t>(5), (7), (10)</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Food Products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21,527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TWD Parent Holdings, LLC (The Vertex Companies, LLC) </w:t>
            </w:r>
            <w:r>
              <w:rPr>
                <w:rFonts w:ascii="Times New Roman" w:cs="Times New Roman" w:eastAsia="Times New Roman" w:hAnsi="Times New Roman"/>
                <w:sz w:val="14"/>
                <w:szCs w:val="14"/>
                <w:color w:val="auto"/>
                <w:vertAlign w:val="superscript"/>
              </w:rPr>
              <w:t>(7)</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Construction &amp; Engineering</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UniTek Global Services, Inc. </w:t>
            </w:r>
            <w:r>
              <w:rPr>
                <w:rFonts w:ascii="Times New Roman" w:cs="Times New Roman" w:eastAsia="Times New Roman" w:hAnsi="Times New Roman"/>
                <w:sz w:val="14"/>
                <w:szCs w:val="14"/>
                <w:color w:val="auto"/>
                <w:vertAlign w:val="superscript"/>
              </w:rPr>
              <w:t>(7)</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213,739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UniTek Global Services, Inc. (Warrants) </w:t>
            </w:r>
            <w:r>
              <w:rPr>
                <w:rFonts w:ascii="Times New Roman" w:cs="Times New Roman" w:eastAsia="Times New Roman" w:hAnsi="Times New Roman"/>
                <w:sz w:val="14"/>
                <w:szCs w:val="14"/>
                <w:color w:val="auto"/>
                <w:vertAlign w:val="superscript"/>
              </w:rPr>
              <w:t>(7)</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23,889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UniVista Insurance </w:t>
            </w:r>
            <w:r>
              <w:rPr>
                <w:rFonts w:ascii="Times New Roman" w:cs="Times New Roman" w:eastAsia="Times New Roman" w:hAnsi="Times New Roman"/>
                <w:sz w:val="14"/>
                <w:szCs w:val="14"/>
                <w:color w:val="auto"/>
                <w:vertAlign w:val="superscript"/>
              </w:rPr>
              <w:t>(7),(8)</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52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 xml:space="preserve">Wildcat Parent, LP (Wildcat Buyerco, Inc.) </w:t>
            </w:r>
            <w:r>
              <w:rPr>
                <w:rFonts w:ascii="Times New Roman" w:cs="Times New Roman" w:eastAsia="Times New Roman" w:hAnsi="Times New Roman"/>
                <w:sz w:val="14"/>
                <w:szCs w:val="14"/>
                <w:color w:val="auto"/>
                <w:vertAlign w:val="superscript"/>
              </w:rPr>
              <w:t>(7), (8)</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14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2,240</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224</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520" w:type="dxa"/>
            <w:vAlign w:val="bottom"/>
            <w:tcBorders>
              <w:bottom w:val="single" w:sz="8" w:color="CCECFF"/>
            </w:tcBorders>
            <w:gridSpan w:val="3"/>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Common Equity/Warrants</w:t>
            </w:r>
          </w:p>
        </w:tc>
        <w:tc>
          <w:tcPr>
            <w:tcW w:w="58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23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41,384</w:t>
            </w:r>
          </w:p>
        </w:tc>
        <w:tc>
          <w:tcPr>
            <w:tcW w:w="16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82,342</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520" w:type="dxa"/>
            <w:vAlign w:val="bottom"/>
            <w:gridSpan w:val="3"/>
          </w:tcPr>
          <w:p>
            <w:pPr>
              <w:ind w:left="20"/>
              <w:spacing w:after="0" w:line="110" w:lineRule="exact"/>
              <w:rPr>
                <w:sz w:val="20"/>
                <w:szCs w:val="20"/>
                <w:color w:val="auto"/>
              </w:rPr>
            </w:pPr>
            <w:r>
              <w:rPr>
                <w:rFonts w:ascii="Times New Roman" w:cs="Times New Roman" w:eastAsia="Times New Roman" w:hAnsi="Times New Roman"/>
                <w:sz w:val="11"/>
                <w:szCs w:val="11"/>
                <w:b w:val="1"/>
                <w:bCs w:val="1"/>
                <w:color w:val="auto"/>
              </w:rPr>
              <w:t>Total Investments in Non-Controlled, Non-Affiliated Portfolio Companies</w:t>
            </w: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824,542</w:t>
            </w:r>
          </w:p>
        </w:tc>
        <w:tc>
          <w:tcPr>
            <w:tcW w:w="1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856,806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520" w:type="dxa"/>
            <w:vAlign w:val="bottom"/>
            <w:gridSpan w:val="3"/>
          </w:tcPr>
          <w:p>
            <w:pPr>
              <w:ind w:left="20"/>
              <w:spacing w:after="0" w:line="119" w:lineRule="exact"/>
              <w:rPr>
                <w:sz w:val="20"/>
                <w:szCs w:val="20"/>
                <w:color w:val="auto"/>
              </w:rPr>
            </w:pPr>
            <w:r>
              <w:rPr>
                <w:rFonts w:ascii="Times New Roman" w:cs="Times New Roman" w:eastAsia="Times New Roman" w:hAnsi="Times New Roman"/>
                <w:sz w:val="10"/>
                <w:szCs w:val="10"/>
                <w:b w:val="1"/>
                <w:bCs w:val="1"/>
                <w:color w:val="auto"/>
              </w:rPr>
              <w:t xml:space="preserve">Investments in Non-Controlled, Affiliated Portfolio Companies—1.5% </w:t>
            </w:r>
            <w:r>
              <w:rPr>
                <w:rFonts w:ascii="Times New Roman" w:cs="Times New Roman" w:eastAsia="Times New Roman" w:hAnsi="Times New Roman"/>
                <w:sz w:val="13"/>
                <w:szCs w:val="13"/>
                <w:b w:val="1"/>
                <w:bCs w:val="1"/>
                <w:color w:val="auto"/>
                <w:vertAlign w:val="superscript"/>
              </w:rPr>
              <w:t>(3), (4)</w:t>
            </w: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5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Second Lien Secured Debt—1.1%</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DBI Holdings, LLC, Term Loan B</w:t>
            </w:r>
          </w:p>
        </w:tc>
        <w:tc>
          <w:tcPr>
            <w:tcW w:w="200" w:type="dxa"/>
            <w:vAlign w:val="bottom"/>
            <w:gridSpan w:val="2"/>
            <w:shd w:val="clear" w:color="auto" w:fill="CCECFF"/>
          </w:tcPr>
          <w:p>
            <w:pPr>
              <w:spacing w:after="0"/>
              <w:rPr>
                <w:sz w:val="12"/>
                <w:szCs w:val="12"/>
                <w:color w:val="auto"/>
              </w:rPr>
            </w:pPr>
          </w:p>
        </w:tc>
        <w:tc>
          <w:tcPr>
            <w:tcW w:w="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02/02/2026</w:t>
            </w:r>
          </w:p>
        </w:tc>
        <w:tc>
          <w:tcPr>
            <w:tcW w:w="180" w:type="dxa"/>
            <w:vAlign w:val="bottom"/>
            <w:shd w:val="clear" w:color="auto" w:fill="CCECFF"/>
          </w:tcPr>
          <w:p>
            <w:pPr>
              <w:spacing w:after="0"/>
              <w:rPr>
                <w:sz w:val="12"/>
                <w:szCs w:val="12"/>
                <w:color w:val="auto"/>
              </w:rPr>
            </w:pP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11.00 %</w:t>
            </w:r>
          </w:p>
        </w:tc>
        <w:tc>
          <w:tcPr>
            <w:tcW w:w="7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3,405</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3,405</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3,405</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DBI Holding, LLC - 1.5 Lien Term Loan </w:t>
            </w:r>
            <w:r>
              <w:rPr>
                <w:rFonts w:ascii="Times New Roman" w:cs="Times New Roman" w:eastAsia="Times New Roman" w:hAnsi="Times New Roman"/>
                <w:sz w:val="14"/>
                <w:szCs w:val="14"/>
                <w:color w:val="auto"/>
                <w:vertAlign w:val="superscript"/>
              </w:rPr>
              <w:t>(7)</w:t>
            </w:r>
          </w:p>
        </w:tc>
        <w:tc>
          <w:tcPr>
            <w:tcW w:w="1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3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(PIK 3.00%)</w:t>
            </w: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vMerge w:val="continue"/>
          </w:tcPr>
          <w:p>
            <w:pPr>
              <w:spacing w:after="0"/>
              <w:rPr>
                <w:sz w:val="11"/>
                <w:szCs w:val="11"/>
                <w:color w:val="auto"/>
              </w:rPr>
            </w:pPr>
          </w:p>
        </w:tc>
        <w:tc>
          <w:tcPr>
            <w:tcW w:w="200" w:type="dxa"/>
            <w:vAlign w:val="bottom"/>
            <w:gridSpan w:val="2"/>
          </w:tcPr>
          <w:p>
            <w:pPr>
              <w:spacing w:after="0"/>
              <w:rPr>
                <w:sz w:val="11"/>
                <w:szCs w:val="11"/>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05/01/2023</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14.00 %</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2,190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(PIK 14.00%)</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520" w:type="dxa"/>
            <w:vAlign w:val="bottom"/>
            <w:gridSpan w:val="3"/>
            <w:vMerge w:val="continue"/>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5,594</w:t>
            </w:r>
          </w:p>
        </w:tc>
        <w:tc>
          <w:tcPr>
            <w:tcW w:w="1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5,594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520" w:type="dxa"/>
            <w:vAlign w:val="bottom"/>
            <w:gridSpan w:val="3"/>
          </w:tcPr>
          <w:p>
            <w:pPr>
              <w:ind w:left="20"/>
              <w:spacing w:after="0" w:line="103" w:lineRule="exact"/>
              <w:rPr>
                <w:sz w:val="20"/>
                <w:szCs w:val="20"/>
                <w:color w:val="auto"/>
              </w:rPr>
            </w:pPr>
            <w:r>
              <w:rPr>
                <w:rFonts w:ascii="Times New Roman" w:cs="Times New Roman" w:eastAsia="Times New Roman" w:hAnsi="Times New Roman"/>
                <w:sz w:val="9"/>
                <w:szCs w:val="9"/>
                <w:b w:val="1"/>
                <w:bCs w:val="1"/>
                <w:color w:val="auto"/>
              </w:rPr>
              <w:t xml:space="preserve">Preferred Equity— 0.4% </w:t>
            </w:r>
            <w:r>
              <w:rPr>
                <w:rFonts w:ascii="Times New Roman" w:cs="Times New Roman" w:eastAsia="Times New Roman" w:hAnsi="Times New Roman"/>
                <w:sz w:val="11"/>
                <w:szCs w:val="11"/>
                <w:b w:val="1"/>
                <w:bCs w:val="1"/>
                <w:color w:val="auto"/>
                <w:vertAlign w:val="superscript"/>
              </w:rPr>
              <w:t>(6)</w:t>
            </w: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DBI Intermediate HoldCo LLC, Series A-1 </w:t>
            </w:r>
            <w:r>
              <w:rPr>
                <w:rFonts w:ascii="Times New Roman" w:cs="Times New Roman" w:eastAsia="Times New Roman" w:hAnsi="Times New Roman"/>
                <w:sz w:val="14"/>
                <w:szCs w:val="14"/>
                <w:color w:val="auto"/>
                <w:vertAlign w:val="superscript"/>
              </w:rPr>
              <w:t>(8)</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14.00 %</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9,488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7,041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52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 xml:space="preserve">DBI Intermediate HoldCo LLC, Series AA </w:t>
            </w:r>
            <w:r>
              <w:rPr>
                <w:rFonts w:ascii="Times New Roman" w:cs="Times New Roman" w:eastAsia="Times New Roman" w:hAnsi="Times New Roman"/>
                <w:sz w:val="14"/>
                <w:szCs w:val="14"/>
                <w:color w:val="auto"/>
                <w:vertAlign w:val="superscript"/>
              </w:rPr>
              <w:t>(8)</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9,800</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9,414</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1,839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20" w:type="dxa"/>
            <w:vAlign w:val="bottom"/>
            <w:gridSpan w:val="3"/>
          </w:tcPr>
          <w:p>
            <w:pPr>
              <w:ind w:left="20"/>
              <w:spacing w:after="0" w:line="110" w:lineRule="exact"/>
              <w:rPr>
                <w:sz w:val="20"/>
                <w:szCs w:val="20"/>
                <w:color w:val="auto"/>
              </w:rPr>
            </w:pPr>
            <w:r>
              <w:rPr>
                <w:rFonts w:ascii="Times New Roman" w:cs="Times New Roman" w:eastAsia="Times New Roman" w:hAnsi="Times New Roman"/>
                <w:sz w:val="11"/>
                <w:szCs w:val="11"/>
                <w:b w:val="1"/>
                <w:bCs w:val="1"/>
                <w:color w:val="auto"/>
              </w:rPr>
              <w:t>Total Preferred Equity</w:t>
            </w: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16,455</w:t>
            </w:r>
          </w:p>
        </w:tc>
        <w:tc>
          <w:tcPr>
            <w:tcW w:w="1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1,839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520" w:type="dxa"/>
            <w:vAlign w:val="bottom"/>
            <w:gridSpan w:val="3"/>
          </w:tcPr>
          <w:p>
            <w:pPr>
              <w:ind w:left="20"/>
              <w:spacing w:after="0" w:line="103" w:lineRule="exact"/>
              <w:rPr>
                <w:sz w:val="20"/>
                <w:szCs w:val="20"/>
                <w:color w:val="auto"/>
              </w:rPr>
            </w:pPr>
            <w:r>
              <w:rPr>
                <w:rFonts w:ascii="Times New Roman" w:cs="Times New Roman" w:eastAsia="Times New Roman" w:hAnsi="Times New Roman"/>
                <w:sz w:val="9"/>
                <w:szCs w:val="9"/>
                <w:b w:val="1"/>
                <w:bCs w:val="1"/>
                <w:color w:val="auto"/>
              </w:rPr>
              <w:t xml:space="preserve">Common Equity— 0.0% </w:t>
            </w:r>
            <w:r>
              <w:rPr>
                <w:rFonts w:ascii="Times New Roman" w:cs="Times New Roman" w:eastAsia="Times New Roman" w:hAnsi="Times New Roman"/>
                <w:sz w:val="11"/>
                <w:szCs w:val="11"/>
                <w:b w:val="1"/>
                <w:bCs w:val="1"/>
                <w:color w:val="auto"/>
                <w:vertAlign w:val="superscript"/>
              </w:rPr>
              <w:t>(6)</w:t>
            </w: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52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 xml:space="preserve">DBI Intermediate HoldCo LLC, Series B </w:t>
            </w:r>
            <w:r>
              <w:rPr>
                <w:rFonts w:ascii="Times New Roman" w:cs="Times New Roman" w:eastAsia="Times New Roman" w:hAnsi="Times New Roman"/>
                <w:sz w:val="14"/>
                <w:szCs w:val="14"/>
                <w:color w:val="auto"/>
                <w:vertAlign w:val="superscript"/>
              </w:rPr>
              <w:t>(8)</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1,489,508</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331</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5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Total Common Equity</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8"/>
        </w:trPr>
        <w:tc>
          <w:tcPr>
            <w:tcW w:w="352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in Non-Controlled, Affiliated Portfolio Companies</w:t>
            </w:r>
          </w:p>
        </w:tc>
        <w:tc>
          <w:tcPr>
            <w:tcW w:w="5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3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60" w:type="dxa"/>
            <w:vAlign w:val="bottom"/>
            <w:tcBorders>
              <w:top w:val="single" w:sz="8" w:color="auto"/>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22,380</w:t>
            </w:r>
          </w:p>
        </w:tc>
        <w:tc>
          <w:tcPr>
            <w:tcW w:w="160" w:type="dxa"/>
            <w:vAlign w:val="bottom"/>
            <w:shd w:val="clear" w:color="auto" w:fill="CCECFF"/>
          </w:tcPr>
          <w:p>
            <w:pPr>
              <w:spacing w:after="0"/>
              <w:rPr>
                <w:sz w:val="11"/>
                <w:szCs w:val="11"/>
                <w:color w:val="auto"/>
              </w:rPr>
            </w:pPr>
          </w:p>
        </w:tc>
        <w:tc>
          <w:tcPr>
            <w:tcW w:w="60" w:type="dxa"/>
            <w:vAlign w:val="bottom"/>
            <w:tcBorders>
              <w:top w:val="single" w:sz="8" w:color="auto"/>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7,433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-6257290</wp:posOffset>
            </wp:positionV>
            <wp:extent cx="21088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108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-6162675</wp:posOffset>
            </wp:positionV>
            <wp:extent cx="7132320" cy="8572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-5991225</wp:posOffset>
            </wp:positionV>
            <wp:extent cx="7132320" cy="8572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-5819775</wp:posOffset>
            </wp:positionV>
            <wp:extent cx="7132320" cy="8572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-5562600</wp:posOffset>
            </wp:positionV>
            <wp:extent cx="7132320" cy="8572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-5391150</wp:posOffset>
            </wp:positionV>
            <wp:extent cx="7132320" cy="8572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-5219700</wp:posOffset>
            </wp:positionV>
            <wp:extent cx="7132320" cy="8572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-4962525</wp:posOffset>
            </wp:positionV>
            <wp:extent cx="7132320" cy="8572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-4705350</wp:posOffset>
            </wp:positionV>
            <wp:extent cx="7132320" cy="8572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-4533900</wp:posOffset>
            </wp:positionV>
            <wp:extent cx="7132320" cy="8572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-4276725</wp:posOffset>
            </wp:positionV>
            <wp:extent cx="7132320" cy="8572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-4105275</wp:posOffset>
            </wp:positionV>
            <wp:extent cx="7132320" cy="8572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-3933825</wp:posOffset>
            </wp:positionV>
            <wp:extent cx="7132320" cy="8572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-3762375</wp:posOffset>
            </wp:positionV>
            <wp:extent cx="7132320" cy="8572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-3590925</wp:posOffset>
            </wp:positionV>
            <wp:extent cx="7132320" cy="8572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-3419475</wp:posOffset>
            </wp:positionV>
            <wp:extent cx="7132320" cy="8572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-3248025</wp:posOffset>
            </wp:positionV>
            <wp:extent cx="7132320" cy="8572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-3076575</wp:posOffset>
            </wp:positionV>
            <wp:extent cx="7132320" cy="8572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-2905125</wp:posOffset>
            </wp:positionV>
            <wp:extent cx="7132320" cy="8572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-2733675</wp:posOffset>
            </wp:positionV>
            <wp:extent cx="7132320" cy="8572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-2562225</wp:posOffset>
            </wp:positionV>
            <wp:extent cx="7132320" cy="8572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-2219325</wp:posOffset>
            </wp:positionV>
            <wp:extent cx="7132320" cy="8572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-2047875</wp:posOffset>
            </wp:positionV>
            <wp:extent cx="7132320" cy="8572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-1876425</wp:posOffset>
            </wp:positionV>
            <wp:extent cx="7132320" cy="8572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-1704975</wp:posOffset>
            </wp:positionV>
            <wp:extent cx="7132320" cy="8572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-1439545</wp:posOffset>
            </wp:positionV>
            <wp:extent cx="2603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-1439545</wp:posOffset>
            </wp:positionV>
            <wp:extent cx="2603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-1336675</wp:posOffset>
            </wp:positionV>
            <wp:extent cx="7132320" cy="8572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-1165225</wp:posOffset>
            </wp:positionV>
            <wp:extent cx="2108835" cy="1714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10883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-814070</wp:posOffset>
            </wp:positionV>
            <wp:extent cx="7132320" cy="946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7132320" cy="8572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9398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946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6" w:name="page17"/>
    <w:bookmarkEnd w:id="16"/>
    <w:p>
      <w:pPr>
        <w:ind w:left="3260"/>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Spread</w:t>
            </w: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right"/>
              <w:ind w:right="280"/>
              <w:spacing w:after="0" w:line="122" w:lineRule="exact"/>
              <w:rPr>
                <w:sz w:val="20"/>
                <w:szCs w:val="20"/>
                <w:color w:val="auto"/>
              </w:rPr>
            </w:pPr>
            <w:r>
              <w:rPr>
                <w:rFonts w:ascii="Times New Roman" w:cs="Times New Roman" w:eastAsia="Times New Roman" w:hAnsi="Times New Roman"/>
                <w:sz w:val="11"/>
                <w:szCs w:val="11"/>
                <w:b w:val="1"/>
                <w:bCs w:val="1"/>
                <w:color w:val="auto"/>
              </w:rPr>
              <w:t>Current</w:t>
            </w:r>
          </w:p>
        </w:tc>
        <w:tc>
          <w:tcPr>
            <w:tcW w:w="14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Above</w:t>
            </w:r>
          </w:p>
        </w:tc>
        <w:tc>
          <w:tcPr>
            <w:tcW w:w="160" w:type="dxa"/>
            <w:vAlign w:val="bottom"/>
          </w:tcPr>
          <w:p>
            <w:pPr>
              <w:spacing w:after="0"/>
              <w:rPr>
                <w:sz w:val="10"/>
                <w:szCs w:val="10"/>
                <w:color w:val="auto"/>
              </w:rPr>
            </w:pPr>
          </w:p>
        </w:tc>
        <w:tc>
          <w:tcPr>
            <w:tcW w:w="760" w:type="dxa"/>
            <w:vAlign w:val="bottom"/>
          </w:tcPr>
          <w:p>
            <w:pPr>
              <w:jc w:val="right"/>
              <w:ind w:right="226"/>
              <w:spacing w:after="0" w:line="122" w:lineRule="exact"/>
              <w:rPr>
                <w:sz w:val="20"/>
                <w:szCs w:val="20"/>
                <w:color w:val="auto"/>
              </w:rPr>
            </w:pPr>
            <w:r>
              <w:rPr>
                <w:rFonts w:ascii="Times New Roman" w:cs="Times New Roman" w:eastAsia="Times New Roman" w:hAnsi="Times New Roman"/>
                <w:sz w:val="11"/>
                <w:szCs w:val="11"/>
                <w:b w:val="1"/>
                <w:bCs w:val="1"/>
                <w:color w:val="auto"/>
              </w:rPr>
              <w:t>Par /</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vMerge w:val="restart"/>
          </w:tcPr>
          <w:p>
            <w:pPr>
              <w:jc w:val="right"/>
              <w:ind w:right="82"/>
              <w:spacing w:after="0"/>
              <w:rPr>
                <w:sz w:val="20"/>
                <w:szCs w:val="20"/>
                <w:color w:val="auto"/>
              </w:rPr>
            </w:pPr>
            <w:r>
              <w:rPr>
                <w:rFonts w:ascii="Times New Roman" w:cs="Times New Roman" w:eastAsia="Times New Roman" w:hAnsi="Times New Roman"/>
                <w:sz w:val="11"/>
                <w:szCs w:val="11"/>
                <w:b w:val="1"/>
                <w:bCs w:val="1"/>
                <w:color w:val="auto"/>
                <w:w w:val="90"/>
              </w:rPr>
              <w:t xml:space="preserve">Fair Value </w:t>
            </w:r>
            <w:r>
              <w:rPr>
                <w:rFonts w:ascii="Times New Roman" w:cs="Times New Roman" w:eastAsia="Times New Roman" w:hAnsi="Times New Roman"/>
                <w:sz w:val="14"/>
                <w:szCs w:val="14"/>
                <w:b w:val="1"/>
                <w:bCs w:val="1"/>
                <w:color w:val="auto"/>
                <w:w w:val="90"/>
                <w:vertAlign w:val="superscript"/>
              </w:rPr>
              <w:t>(2)</w:t>
            </w:r>
          </w:p>
        </w:tc>
        <w:tc>
          <w:tcPr>
            <w:tcW w:w="0" w:type="dxa"/>
            <w:vAlign w:val="bottom"/>
          </w:tcPr>
          <w:p>
            <w:pPr>
              <w:spacing w:after="0"/>
              <w:rPr>
                <w:sz w:val="1"/>
                <w:szCs w:val="1"/>
                <w:color w:val="auto"/>
              </w:rPr>
            </w:pPr>
          </w:p>
        </w:tc>
      </w:tr>
      <w:tr>
        <w:trPr>
          <w:trHeight w:val="156"/>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8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4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140" w:type="dxa"/>
            <w:vAlign w:val="bottom"/>
          </w:tcPr>
          <w:p>
            <w:pPr>
              <w:spacing w:after="0"/>
              <w:rPr>
                <w:sz w:val="13"/>
                <w:szCs w:val="13"/>
                <w:color w:val="auto"/>
              </w:rPr>
            </w:pPr>
          </w:p>
        </w:tc>
        <w:tc>
          <w:tcPr>
            <w:tcW w:w="760" w:type="dxa"/>
            <w:vAlign w:val="bottom"/>
          </w:tcPr>
          <w:p>
            <w:pPr>
              <w:jc w:val="center"/>
              <w:spacing w:after="0" w:line="143" w:lineRule="exact"/>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160" w:type="dxa"/>
            <w:vAlign w:val="bottom"/>
          </w:tcPr>
          <w:p>
            <w:pPr>
              <w:spacing w:after="0"/>
              <w:rPr>
                <w:sz w:val="13"/>
                <w:szCs w:val="13"/>
                <w:color w:val="auto"/>
              </w:rPr>
            </w:pPr>
          </w:p>
        </w:tc>
        <w:tc>
          <w:tcPr>
            <w:tcW w:w="76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320" w:type="dxa"/>
            <w:vAlign w:val="bottom"/>
          </w:tcPr>
          <w:p>
            <w:pPr>
              <w:ind w:left="20"/>
              <w:spacing w:after="0" w:line="119" w:lineRule="exact"/>
              <w:rPr>
                <w:sz w:val="20"/>
                <w:szCs w:val="20"/>
                <w:color w:val="auto"/>
              </w:rPr>
            </w:pPr>
            <w:r>
              <w:rPr>
                <w:rFonts w:ascii="Times New Roman" w:cs="Times New Roman" w:eastAsia="Times New Roman" w:hAnsi="Times New Roman"/>
                <w:sz w:val="10"/>
                <w:szCs w:val="10"/>
                <w:b w:val="1"/>
                <w:bCs w:val="1"/>
                <w:color w:val="auto"/>
              </w:rPr>
              <w:t xml:space="preserve">Investments in Controlled, Affiliated Portfolio Companies—44.3% </w:t>
            </w:r>
            <w:r>
              <w:rPr>
                <w:rFonts w:ascii="Times New Roman" w:cs="Times New Roman" w:eastAsia="Times New Roman" w:hAnsi="Times New Roman"/>
                <w:sz w:val="13"/>
                <w:szCs w:val="13"/>
                <w:b w:val="1"/>
                <w:bCs w:val="1"/>
                <w:color w:val="auto"/>
                <w:vertAlign w:val="superscript"/>
              </w:rPr>
              <w:t>(3), (4)</w:t>
            </w:r>
          </w:p>
        </w:tc>
        <w:tc>
          <w:tcPr>
            <w:tcW w:w="1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320" w:type="dxa"/>
            <w:vAlign w:val="bottom"/>
          </w:tcPr>
          <w:p>
            <w:pPr>
              <w:ind w:left="20"/>
              <w:spacing w:after="0" w:line="119" w:lineRule="exact"/>
              <w:rPr>
                <w:sz w:val="20"/>
                <w:szCs w:val="20"/>
                <w:color w:val="auto"/>
              </w:rPr>
            </w:pPr>
            <w:r>
              <w:rPr>
                <w:rFonts w:ascii="Times New Roman" w:cs="Times New Roman" w:eastAsia="Times New Roman" w:hAnsi="Times New Roman"/>
                <w:sz w:val="11"/>
                <w:szCs w:val="11"/>
                <w:b w:val="1"/>
                <w:bCs w:val="1"/>
                <w:color w:val="auto"/>
              </w:rPr>
              <w:t>First Lien Secured Debt—34.6%</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Marketplace Events, LLC - Super Priority First Lien Term Loan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09/30/2025</w:t>
            </w:r>
          </w:p>
        </w:tc>
        <w:tc>
          <w:tcPr>
            <w:tcW w:w="18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6.25 %</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3,417</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3,417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Marketplace Events, LLC - Super Priority First Lien </w:t>
            </w:r>
            <w:r>
              <w:rPr>
                <w:rFonts w:ascii="Times New Roman" w:cs="Times New Roman" w:eastAsia="Times New Roman" w:hAnsi="Times New Roman"/>
                <w:sz w:val="14"/>
                <w:szCs w:val="14"/>
                <w:color w:val="auto"/>
                <w:vertAlign w:val="superscript"/>
              </w:rPr>
              <w:t>(7), (9)</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(PIK 6.25%)</w:t>
            </w:r>
          </w:p>
        </w:tc>
        <w:tc>
          <w:tcPr>
            <w:tcW w:w="14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320" w:type="dxa"/>
            <w:vAlign w:val="bottom"/>
            <w:vMerge w:val="continue"/>
          </w:tcPr>
          <w:p>
            <w:pPr>
              <w:spacing w:after="0"/>
              <w:rPr>
                <w:sz w:val="10"/>
                <w:szCs w:val="10"/>
                <w:color w:val="auto"/>
              </w:rPr>
            </w:pPr>
          </w:p>
        </w:tc>
        <w:tc>
          <w:tcPr>
            <w:tcW w:w="780" w:type="dxa"/>
            <w:vAlign w:val="bottom"/>
            <w:gridSpan w:val="2"/>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5"/>
              </w:rPr>
              <w:t>09/30/2025</w:t>
            </w:r>
          </w:p>
        </w:tc>
        <w:tc>
          <w:tcPr>
            <w:tcW w:w="180" w:type="dxa"/>
            <w:vAlign w:val="bottom"/>
          </w:tcPr>
          <w:p>
            <w:pPr>
              <w:spacing w:after="0"/>
              <w:rPr>
                <w:sz w:val="10"/>
                <w:szCs w:val="10"/>
                <w:color w:val="auto"/>
              </w:rPr>
            </w:pPr>
          </w:p>
        </w:tc>
        <w:tc>
          <w:tcPr>
            <w:tcW w:w="23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40" w:type="dxa"/>
            <w:vAlign w:val="bottom"/>
          </w:tcPr>
          <w:p>
            <w:pPr>
              <w:spacing w:after="0"/>
              <w:rPr>
                <w:sz w:val="10"/>
                <w:szCs w:val="10"/>
                <w:color w:val="auto"/>
              </w:rPr>
            </w:pPr>
          </w:p>
        </w:tc>
        <w:tc>
          <w:tcPr>
            <w:tcW w:w="8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vMerge w:val="restart"/>
          </w:tcPr>
          <w:p>
            <w:pPr>
              <w:jc w:val="right"/>
              <w:ind w:right="4"/>
              <w:spacing w:after="0"/>
              <w:rPr>
                <w:sz w:val="20"/>
                <w:szCs w:val="20"/>
                <w:color w:val="auto"/>
              </w:rPr>
            </w:pPr>
            <w:r>
              <w:rPr>
                <w:rFonts w:ascii="Times New Roman" w:cs="Times New Roman" w:eastAsia="Times New Roman" w:hAnsi="Times New Roman"/>
                <w:sz w:val="7"/>
                <w:szCs w:val="7"/>
                <w:color w:val="auto"/>
                <w:w w:val="97"/>
              </w:rPr>
              <w:t>(6)</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3,261</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22"/>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Marketplace Events, LLC</w:t>
            </w:r>
          </w:p>
        </w:tc>
        <w:tc>
          <w:tcPr>
            <w:tcW w:w="7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09/30/2026</w:t>
            </w:r>
          </w:p>
        </w:tc>
        <w:tc>
          <w:tcPr>
            <w:tcW w:w="180" w:type="dxa"/>
            <w:vAlign w:val="bottom"/>
          </w:tcPr>
          <w:p>
            <w:pPr>
              <w:spacing w:after="0"/>
              <w:rPr>
                <w:sz w:val="10"/>
                <w:szCs w:val="10"/>
                <w:color w:val="auto"/>
              </w:rPr>
            </w:pPr>
          </w:p>
        </w:tc>
        <w:tc>
          <w:tcPr>
            <w:tcW w:w="23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Media: Diversified and Production</w:t>
            </w:r>
          </w:p>
        </w:tc>
        <w:tc>
          <w:tcPr>
            <w:tcW w:w="9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0.00 %</w:t>
            </w:r>
          </w:p>
        </w:tc>
        <w:tc>
          <w:tcPr>
            <w:tcW w:w="140" w:type="dxa"/>
            <w:vAlign w:val="bottom"/>
            <w:vMerge w:val="continue"/>
          </w:tcPr>
          <w:p>
            <w:pPr>
              <w:spacing w:after="0"/>
              <w:rPr>
                <w:sz w:val="10"/>
                <w:szCs w:val="10"/>
                <w:color w:val="auto"/>
              </w:rPr>
            </w:pP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25,542</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19,047</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25,542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PennantPark Senior Secured Loan Fund I LLC </w:t>
            </w:r>
            <w:r>
              <w:rPr>
                <w:rFonts w:ascii="Times New Roman" w:cs="Times New Roman" w:eastAsia="Times New Roman" w:hAnsi="Times New Roman"/>
                <w:sz w:val="14"/>
                <w:szCs w:val="14"/>
                <w:color w:val="auto"/>
                <w:vertAlign w:val="superscript"/>
              </w:rPr>
              <w:t>(7), (9), (10)</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05/06/2024</w:t>
            </w:r>
          </w:p>
        </w:tc>
        <w:tc>
          <w:tcPr>
            <w:tcW w:w="18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8.13 %</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140,875</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140,875</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140,875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3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234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163,339</w:t>
            </w:r>
          </w:p>
        </w:tc>
        <w:tc>
          <w:tcPr>
            <w:tcW w:w="16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169,834</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3320" w:type="dxa"/>
            <w:vAlign w:val="bottom"/>
          </w:tcPr>
          <w:p>
            <w:pPr>
              <w:ind w:left="20"/>
              <w:spacing w:after="0" w:line="97" w:lineRule="exact"/>
              <w:rPr>
                <w:sz w:val="20"/>
                <w:szCs w:val="20"/>
                <w:color w:val="auto"/>
              </w:rPr>
            </w:pPr>
            <w:r>
              <w:rPr>
                <w:rFonts w:ascii="Times New Roman" w:cs="Times New Roman" w:eastAsia="Times New Roman" w:hAnsi="Times New Roman"/>
                <w:sz w:val="11"/>
                <w:szCs w:val="11"/>
                <w:b w:val="1"/>
                <w:bCs w:val="1"/>
                <w:color w:val="auto"/>
              </w:rPr>
              <w:t>Equity Interests—9.7%</w:t>
            </w: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New MPE Holdings, LLC (Marketplace Events, LLC) </w:t>
            </w:r>
            <w:r>
              <w:rPr>
                <w:rFonts w:ascii="Times New Roman" w:cs="Times New Roman" w:eastAsia="Times New Roman" w:hAnsi="Times New Roman"/>
                <w:sz w:val="14"/>
                <w:szCs w:val="14"/>
                <w:color w:val="auto"/>
                <w:vertAlign w:val="superscript"/>
              </w:rPr>
              <w:t>(7),(8)</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2,690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PennantPark Senior Secured Loan Fund I LLC </w:t>
            </w:r>
            <w:r>
              <w:rPr>
                <w:rFonts w:ascii="Times New Roman" w:cs="Times New Roman" w:eastAsia="Times New Roman" w:hAnsi="Times New Roman"/>
                <w:sz w:val="14"/>
                <w:szCs w:val="14"/>
                <w:color w:val="auto"/>
                <w:vertAlign w:val="superscript"/>
              </w:rPr>
              <w:t>(7), (9), (10)</w:t>
            </w:r>
          </w:p>
        </w:tc>
        <w:tc>
          <w:tcPr>
            <w:tcW w:w="140" w:type="dxa"/>
            <w:vAlign w:val="bottom"/>
          </w:tcPr>
          <w:p>
            <w:pPr>
              <w:spacing w:after="0"/>
              <w:rPr>
                <w:sz w:val="14"/>
                <w:szCs w:val="14"/>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60,375</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60,375</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44,856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3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Equity Interests</w:t>
            </w: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234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60,375</w:t>
            </w:r>
          </w:p>
        </w:tc>
        <w:tc>
          <w:tcPr>
            <w:tcW w:w="16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47,546</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in Controlled, Affiliated Portfolio Companies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223,714</w:t>
            </w: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217,380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3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Investments—220.5%</w:t>
            </w: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234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1,070,636</w:t>
            </w:r>
          </w:p>
        </w:tc>
        <w:tc>
          <w:tcPr>
            <w:tcW w:w="16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1,081,619</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Equivalents—10.2%</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7,433</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7,433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BNY Mellon Cash</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42,392</w:t>
            </w: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42,392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3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234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49,826</w:t>
            </w:r>
          </w:p>
        </w:tc>
        <w:tc>
          <w:tcPr>
            <w:tcW w:w="16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49,826</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Equivalents—230.6%</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1,120,462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1,131,445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 in Excess of Other Assets—(130.6)%</w:t>
            </w: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116"/>
        </w:trPr>
        <w:tc>
          <w:tcPr>
            <w:tcW w:w="33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rPr>
              <w:t>(640,834</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3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Net Assets—100.0%</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490,611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-1936750</wp:posOffset>
            </wp:positionV>
            <wp:extent cx="7132320" cy="946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-1756410</wp:posOffset>
            </wp:positionV>
            <wp:extent cx="7132320" cy="1714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-1499235</wp:posOffset>
            </wp:positionV>
            <wp:extent cx="7132320" cy="8572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-1233805</wp:posOffset>
            </wp:positionV>
            <wp:extent cx="260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-1233805</wp:posOffset>
            </wp:positionV>
            <wp:extent cx="260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-1139190</wp:posOffset>
            </wp:positionV>
            <wp:extent cx="7132320" cy="8572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-873760</wp:posOffset>
            </wp:positionV>
            <wp:extent cx="2603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-873760</wp:posOffset>
            </wp:positionV>
            <wp:extent cx="2603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-685165</wp:posOffset>
            </wp:positionV>
            <wp:extent cx="2603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-685165</wp:posOffset>
            </wp:positionV>
            <wp:extent cx="2603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-325120</wp:posOffset>
            </wp:positionV>
            <wp:extent cx="260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-325120</wp:posOffset>
            </wp:positionV>
            <wp:extent cx="2603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9398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171450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61" w:lineRule="exact"/>
        <w:rPr>
          <w:sz w:val="20"/>
          <w:szCs w:val="20"/>
          <w:color w:val="auto"/>
        </w:rPr>
      </w:pPr>
    </w:p>
    <w:p>
      <w:pPr>
        <w:ind w:left="380" w:right="20" w:hanging="372"/>
        <w:spacing w:after="0" w:line="237" w:lineRule="auto"/>
        <w:tabs>
          <w:tab w:leader="none" w:pos="380" w:val="left"/>
        </w:tabs>
        <w:numPr>
          <w:ilvl w:val="0"/>
          <w:numId w:val="4"/>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payment-in-kind, or PIK, interest and other fee rates, if any.</w:t>
      </w:r>
    </w:p>
    <w:p>
      <w:pPr>
        <w:ind w:left="380" w:hanging="372"/>
        <w:spacing w:after="0" w:line="211" w:lineRule="auto"/>
        <w:tabs>
          <w:tab w:leader="none" w:pos="38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Valued based on our accounting policy (See Note 2). The value of all securities was determined using significant unobservable inputs (See Note 5).</w:t>
      </w:r>
    </w:p>
    <w:p>
      <w:pPr>
        <w:spacing w:after="0" w:line="10" w:lineRule="exact"/>
        <w:rPr>
          <w:rFonts w:ascii="Times New Roman" w:cs="Times New Roman" w:eastAsia="Times New Roman" w:hAnsi="Times New Roman"/>
          <w:sz w:val="16"/>
          <w:szCs w:val="16"/>
          <w:color w:val="auto"/>
          <w:vertAlign w:val="superscript"/>
        </w:rPr>
      </w:pPr>
    </w:p>
    <w:p>
      <w:pPr>
        <w:ind w:left="380" w:right="220" w:hanging="372"/>
        <w:spacing w:after="0" w:line="203" w:lineRule="auto"/>
        <w:tabs>
          <w:tab w:leader="none" w:pos="38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380" w:hanging="372"/>
        <w:spacing w:after="0" w:line="211" w:lineRule="auto"/>
        <w:tabs>
          <w:tab w:leader="none" w:pos="38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ind w:left="380" w:hanging="372"/>
        <w:spacing w:after="0" w:line="193" w:lineRule="auto"/>
        <w:tabs>
          <w:tab w:leader="none" w:pos="38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Non-U.S. company or principal place of business outside the United States.</w:t>
      </w:r>
    </w:p>
    <w:p>
      <w:pPr>
        <w:spacing w:after="0" w:line="24" w:lineRule="exact"/>
        <w:rPr>
          <w:rFonts w:ascii="Times New Roman" w:cs="Times New Roman" w:eastAsia="Times New Roman" w:hAnsi="Times New Roman"/>
          <w:sz w:val="16"/>
          <w:szCs w:val="16"/>
          <w:color w:val="auto"/>
          <w:vertAlign w:val="superscript"/>
        </w:rPr>
      </w:pPr>
    </w:p>
    <w:p>
      <w:pPr>
        <w:ind w:left="380" w:hanging="372"/>
        <w:spacing w:after="0" w:line="180" w:lineRule="auto"/>
        <w:tabs>
          <w:tab w:leader="none" w:pos="38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Non-income producing securities.</w:t>
      </w:r>
    </w:p>
    <w:p>
      <w:pPr>
        <w:spacing w:after="0" w:line="10" w:lineRule="exact"/>
        <w:rPr>
          <w:rFonts w:ascii="Times New Roman" w:cs="Times New Roman" w:eastAsia="Times New Roman" w:hAnsi="Times New Roman"/>
          <w:sz w:val="16"/>
          <w:szCs w:val="16"/>
          <w:color w:val="auto"/>
          <w:vertAlign w:val="superscript"/>
        </w:rPr>
      </w:pPr>
    </w:p>
    <w:p>
      <w:pPr>
        <w:ind w:left="380" w:hanging="372"/>
        <w:spacing w:after="0" w:line="180" w:lineRule="auto"/>
        <w:tabs>
          <w:tab w:leader="none" w:pos="38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securities, or a portion thereof, are not 1) pledged as collateral under the Credit Facility and held through Funding I; or, 2) securing the 2031 Asset-Backed Debt (See Note 10) and held through PennantPark CLO I, Ltd.</w:t>
      </w:r>
    </w:p>
    <w:p>
      <w:pPr>
        <w:spacing w:after="0" w:line="10" w:lineRule="exact"/>
        <w:rPr>
          <w:rFonts w:ascii="Times New Roman" w:cs="Times New Roman" w:eastAsia="Times New Roman" w:hAnsi="Times New Roman"/>
          <w:sz w:val="16"/>
          <w:szCs w:val="16"/>
          <w:color w:val="auto"/>
          <w:vertAlign w:val="superscript"/>
        </w:rPr>
      </w:pPr>
    </w:p>
    <w:p>
      <w:pPr>
        <w:ind w:left="380" w:hanging="372"/>
        <w:spacing w:after="0" w:line="180" w:lineRule="auto"/>
        <w:tabs>
          <w:tab w:leader="none" w:pos="38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Investment is held through our Taxable Subsidiary (See Note 1).</w:t>
      </w:r>
    </w:p>
    <w:p>
      <w:pPr>
        <w:spacing w:after="0" w:line="10" w:lineRule="exact"/>
        <w:rPr>
          <w:rFonts w:ascii="Times New Roman" w:cs="Times New Roman" w:eastAsia="Times New Roman" w:hAnsi="Times New Roman"/>
          <w:sz w:val="16"/>
          <w:szCs w:val="16"/>
          <w:color w:val="auto"/>
          <w:vertAlign w:val="superscript"/>
        </w:rPr>
      </w:pPr>
    </w:p>
    <w:p>
      <w:pPr>
        <w:ind w:left="380" w:hanging="372"/>
        <w:spacing w:after="0" w:line="180" w:lineRule="auto"/>
        <w:tabs>
          <w:tab w:leader="none" w:pos="38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24" w:lineRule="exact"/>
        <w:rPr>
          <w:rFonts w:ascii="Times New Roman" w:cs="Times New Roman" w:eastAsia="Times New Roman" w:hAnsi="Times New Roman"/>
          <w:sz w:val="16"/>
          <w:szCs w:val="16"/>
          <w:color w:val="auto"/>
          <w:vertAlign w:val="superscript"/>
        </w:rPr>
      </w:pPr>
    </w:p>
    <w:p>
      <w:pPr>
        <w:ind w:left="380" w:right="20" w:hanging="372"/>
        <w:spacing w:after="0" w:line="203" w:lineRule="auto"/>
        <w:tabs>
          <w:tab w:leader="none" w:pos="38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2021, qualifying assets represent 81% of our total assets and non-qualifying assets represent 19% of our total assets.</w:t>
      </w:r>
    </w:p>
    <w:p>
      <w:pPr>
        <w:ind w:left="380" w:hanging="372"/>
        <w:spacing w:after="0" w:line="193" w:lineRule="auto"/>
        <w:tabs>
          <w:tab w:leader="none" w:pos="38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Par amount is denominated in Canadian Dollars (C$) as denoted.</w:t>
      </w: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7" w:name="page18"/>
    <w:bookmarkEnd w:id="17"/>
    <w:p>
      <w:pPr>
        <w:ind w:left="3260"/>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ORGANIZATION</w:t>
      </w:r>
    </w:p>
    <w:p>
      <w:pPr>
        <w:spacing w:after="0" w:line="165" w:lineRule="exact"/>
        <w:rPr>
          <w:sz w:val="20"/>
          <w:szCs w:val="20"/>
          <w:color w:val="auto"/>
        </w:rPr>
      </w:pPr>
    </w:p>
    <w:p>
      <w:pPr>
        <w:ind w:right="20" w:firstLine="449"/>
        <w:spacing w:after="0" w:line="302" w:lineRule="auto"/>
        <w:rPr>
          <w:sz w:val="20"/>
          <w:szCs w:val="20"/>
          <w:color w:val="auto"/>
        </w:rPr>
      </w:pPr>
      <w:r>
        <w:rPr>
          <w:rFonts w:ascii="Times New Roman" w:cs="Times New Roman" w:eastAsia="Times New Roman" w:hAnsi="Times New Roman"/>
          <w:sz w:val="14"/>
          <w:szCs w:val="14"/>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94" w:lineRule="exact"/>
        <w:rPr>
          <w:sz w:val="20"/>
          <w:szCs w:val="20"/>
          <w:color w:val="auto"/>
        </w:rPr>
      </w:pPr>
    </w:p>
    <w:p>
      <w:pPr>
        <w:ind w:right="100" w:firstLine="449"/>
        <w:spacing w:after="0" w:line="253" w:lineRule="auto"/>
        <w:rPr>
          <w:sz w:val="20"/>
          <w:szCs w:val="20"/>
          <w:color w:val="auto"/>
        </w:rPr>
      </w:pPr>
      <w:r>
        <w:rPr>
          <w:rFonts w:ascii="Times New Roman" w:cs="Times New Roman" w:eastAsia="Times New Roman" w:hAnsi="Times New Roman"/>
          <w:sz w:val="14"/>
          <w:szCs w:val="14"/>
          <w:color w:val="auto"/>
        </w:rPr>
        <w:t>Our investment objectives are to generate both current income and capital appreciation while seeking to preserve capital. We seek to achieve our investment objective by investing primarily in Floating Rate Loans, and other investments made to U.S. middle-market private companies whose debt is rated below investment grade. Floating Rate Loans pay interest at variable rates, which are determined periodically, on the basis of a floating base lending rate such as LIBOR, with or without a floor, plus a fixed spread. Under normal market conditions, we generally expect that at least 80% of the value of our Managed Assets will be invested in Floating Rate Loans and other investments bearing a variable rate of interest, which may include, from time to time, variable rate derivative instruments. We generally expect that first lien secured debt will represent at least 65% of our overall portfolio. We generally expect to invest up to 35% of our overall portfolio opportunistically in other types of investments, including second lien secured debt, subordinated debt, and, to a lesser extent, equity investments.</w:t>
      </w:r>
    </w:p>
    <w:p>
      <w:pPr>
        <w:spacing w:after="0" w:line="143" w:lineRule="exact"/>
        <w:rPr>
          <w:sz w:val="20"/>
          <w:szCs w:val="20"/>
          <w:color w:val="auto"/>
        </w:rPr>
      </w:pPr>
    </w:p>
    <w:p>
      <w:pPr>
        <w:ind w:right="220" w:firstLine="449"/>
        <w:spacing w:after="0" w:line="261" w:lineRule="auto"/>
        <w:rPr>
          <w:sz w:val="20"/>
          <w:szCs w:val="20"/>
          <w:color w:val="auto"/>
        </w:rPr>
      </w:pPr>
      <w:r>
        <w:rPr>
          <w:rFonts w:ascii="Times New Roman" w:cs="Times New Roman" w:eastAsia="Times New Roman" w:hAnsi="Times New Roman"/>
          <w:sz w:val="14"/>
          <w:szCs w:val="14"/>
          <w:color w:val="auto"/>
        </w:rPr>
        <w:t>We have entered into an investment management agreement, or the Investment Management Agreement, with the Investment Adviser, an external adviser that manages our day-to-day operations. We have also entered into an administration agreement, or the Administration Agreement, with the Administrator, which provides the administrative services necessary for us to operate.</w:t>
      </w:r>
    </w:p>
    <w:p>
      <w:pPr>
        <w:spacing w:after="0" w:line="136"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4"/>
          <w:szCs w:val="14"/>
          <w:color w:val="auto"/>
        </w:rPr>
        <w:t>Funding I, our wholly-owned subsidiary and a special purpose entity, was organized in Delaware as a limited liability company in May 2011. We formed Funding I in order to establish the Credit Facility. The Investment Adviser serves as the collateral manager to Funding I and has irrevocably directed that any management fee owed with respect to such services is to be paid to us so long as the Investment Adviser remains the collateral manager. This arrangement does not increase our consolidated management fee. The Credit Facility allows Funding I to borrow up to $300 million at LIBOR (or an alternative risk-free floating interest rate index) plus 225 basis points during the revolving period. The Credit Facility is secured by all of the assets held by Funding I. See Note 10.</w:t>
      </w:r>
    </w:p>
    <w:p>
      <w:pPr>
        <w:spacing w:after="0" w:line="127" w:lineRule="exact"/>
        <w:rPr>
          <w:sz w:val="20"/>
          <w:szCs w:val="20"/>
          <w:color w:val="auto"/>
        </w:rPr>
      </w:pPr>
    </w:p>
    <w:p>
      <w:pPr>
        <w:ind w:right="20" w:firstLine="449"/>
        <w:spacing w:after="0" w:line="302" w:lineRule="auto"/>
        <w:rPr>
          <w:sz w:val="20"/>
          <w:szCs w:val="20"/>
          <w:color w:val="auto"/>
        </w:rPr>
      </w:pPr>
      <w:r>
        <w:rPr>
          <w:rFonts w:ascii="Times New Roman" w:cs="Times New Roman" w:eastAsia="Times New Roman" w:hAnsi="Times New Roman"/>
          <w:sz w:val="14"/>
          <w:szCs w:val="14"/>
          <w:color w:val="auto"/>
        </w:rPr>
        <w:t>We have formed and expect to continue to form certain taxable subsidiaries, including the Taxable Subsidiary,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94" w:lineRule="exact"/>
        <w:rPr>
          <w:sz w:val="20"/>
          <w:szCs w:val="20"/>
          <w:color w:val="auto"/>
        </w:rPr>
      </w:pPr>
    </w:p>
    <w:p>
      <w:pPr>
        <w:ind w:right="380" w:firstLine="449"/>
        <w:spacing w:after="0" w:line="282" w:lineRule="auto"/>
        <w:rPr>
          <w:sz w:val="20"/>
          <w:szCs w:val="20"/>
          <w:color w:val="auto"/>
        </w:rPr>
      </w:pPr>
      <w:r>
        <w:rPr>
          <w:rFonts w:ascii="Times New Roman" w:cs="Times New Roman" w:eastAsia="Times New Roman" w:hAnsi="Times New Roman"/>
          <w:sz w:val="14"/>
          <w:szCs w:val="14"/>
          <w:color w:val="auto"/>
        </w:rPr>
        <w:t>In May 2017, we and a subsidiary of Kemper Corporation (NYSE: KMPR), Trinity Universal Insurance Company, or Kemper, formed PSSL, an unconsolidated joint venture. PSSL invests primarily in middle-market and other corporate debt securities consistent with our strategy. PSSL was formed as a Delaware limited liability company. See Note 4.</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In connection with the issuance of the 2023 Notes, we have dual listed our common stock on the Tel Aviv Stock Exchange or TASE.</w:t>
      </w:r>
    </w:p>
    <w:p>
      <w:pPr>
        <w:spacing w:after="0" w:line="163" w:lineRule="exact"/>
        <w:rPr>
          <w:sz w:val="20"/>
          <w:szCs w:val="20"/>
          <w:color w:val="auto"/>
        </w:rPr>
      </w:pPr>
    </w:p>
    <w:p>
      <w:pPr>
        <w:ind w:right="100" w:firstLine="449"/>
        <w:spacing w:after="0" w:line="302" w:lineRule="auto"/>
        <w:rPr>
          <w:sz w:val="20"/>
          <w:szCs w:val="20"/>
          <w:color w:val="auto"/>
        </w:rPr>
      </w:pPr>
      <w:r>
        <w:rPr>
          <w:rFonts w:ascii="Times New Roman" w:cs="Times New Roman" w:eastAsia="Times New Roman" w:hAnsi="Times New Roman"/>
          <w:sz w:val="14"/>
          <w:szCs w:val="14"/>
          <w:color w:val="auto"/>
        </w:rPr>
        <w:t>In September 2019, the Securitization Issuers completed the Debt Securitization. The 2031 Asset-Backed Debt is secured by a diversified portfolio of the Securitization Issuer consisting primarily of middle market loans and participation interests in middle market loans.</w:t>
      </w:r>
    </w:p>
    <w:p>
      <w:pPr>
        <w:spacing w:after="0" w:line="94"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4"/>
          <w:szCs w:val="14"/>
          <w:color w:val="auto"/>
        </w:rPr>
        <w:t>In March 2021 and in October 2021, we issued $100.0 million and $85.0 million, respectively, in aggregate principal amount of $185 million of our 2026 Notes at a public offering price per note of 99.4% and 101.5%, respectively. Interest on the 2026 Notes is paid semi-annually on April 1 and October 1 of each year, at a rate of 4.25% per year, commencing October 1, 2021. The 2026 Notes mature on April 1, 2026 and may be redeemed in whole or in part at our option subject to a make-whole premium if redeemed more than three months prior to maturity. The 2026 Notes are our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43" w:lineRule="exact"/>
        <w:rPr>
          <w:sz w:val="20"/>
          <w:szCs w:val="20"/>
          <w:color w:val="auto"/>
        </w:rPr>
      </w:pPr>
    </w:p>
    <w:p>
      <w:pPr>
        <w:ind w:right="60" w:firstLine="360"/>
        <w:spacing w:after="0" w:line="261" w:lineRule="auto"/>
        <w:rPr>
          <w:sz w:val="20"/>
          <w:szCs w:val="20"/>
          <w:color w:val="auto"/>
        </w:rPr>
      </w:pPr>
      <w:r>
        <w:rPr>
          <w:rFonts w:ascii="Times New Roman" w:cs="Times New Roman" w:eastAsia="Times New Roman" w:hAnsi="Times New Roman"/>
          <w:sz w:val="14"/>
          <w:szCs w:val="14"/>
          <w:color w:val="auto"/>
        </w:rPr>
        <w:t>In April 2021, we formed PTSF, an unconsolidated limited partnership, organized as a Delaware limited liability partnership. We sold $81.4 million in investments to a wholly-owned subsidiary of PTSF in exchange for cash in the amount of $69.5 million and an $11.9 million equity interest in PTSF representing 23.08% of the total outstanding Class A Units of PTSF. We recognized $0.4 million of realized gain upon the formation of PTSF. As of March 31, 2022, our capital commitment of $15.3 million is fully funded and we hold 23.08% of the total outstanding Class A Units of PTSF and a 4.99% voting interest in the general partner which manages PTSF.</w:t>
      </w:r>
    </w:p>
    <w:p>
      <w:pPr>
        <w:spacing w:after="0" w:line="164" w:lineRule="exact"/>
        <w:rPr>
          <w:sz w:val="20"/>
          <w:szCs w:val="20"/>
          <w:color w:val="auto"/>
        </w:rPr>
      </w:pPr>
    </w:p>
    <w:p>
      <w:pPr>
        <w:ind w:right="20" w:firstLine="360"/>
        <w:spacing w:after="0" w:line="257" w:lineRule="auto"/>
        <w:rPr>
          <w:sz w:val="20"/>
          <w:szCs w:val="20"/>
          <w:color w:val="auto"/>
        </w:rPr>
      </w:pPr>
      <w:r>
        <w:rPr>
          <w:rFonts w:ascii="Times New Roman" w:cs="Times New Roman" w:eastAsia="Times New Roman" w:hAnsi="Times New Roman"/>
          <w:sz w:val="14"/>
          <w:szCs w:val="14"/>
          <w:color w:val="auto"/>
        </w:rPr>
        <w:t>On August 20, 2021, we entered into equity distribution agreements (together, the “Equity Distribution Agreements”) with each of JMP Securities LLC and Raymond James &amp; Associates, Inc., as the sales agents, in connection with the sale of shares of our common stock, par value $0.001 per share (the “Common Stock”), with an aggregate offering price of up to $75 million under an at-the-market offering (the “ATM Program”). The Equity Distribution Agreements provide that we may offer and sell shares of our Common Stock from time to time through a Sales Agent in amounts and at times to be determined by us. Actual sales will depend on a variety of factors to be determined by us from time to time, including, market conditions and the trading price of our Common Stock.</w:t>
      </w:r>
    </w:p>
    <w:p>
      <w:pPr>
        <w:spacing w:after="0" w:line="350" w:lineRule="exact"/>
        <w:rPr>
          <w:sz w:val="20"/>
          <w:szCs w:val="20"/>
          <w:color w:val="auto"/>
        </w:rPr>
      </w:pPr>
    </w:p>
    <w:p>
      <w:pPr>
        <w:jc w:val="both"/>
        <w:ind w:right="40" w:firstLine="360"/>
        <w:spacing w:after="0" w:line="282" w:lineRule="auto"/>
        <w:rPr>
          <w:sz w:val="20"/>
          <w:szCs w:val="20"/>
          <w:color w:val="auto"/>
        </w:rPr>
      </w:pPr>
      <w:r>
        <w:rPr>
          <w:rFonts w:ascii="Times New Roman" w:cs="Times New Roman" w:eastAsia="Times New Roman" w:hAnsi="Times New Roman"/>
          <w:sz w:val="14"/>
          <w:szCs w:val="14"/>
          <w:color w:val="auto"/>
        </w:rPr>
        <w:t>During the six months ended March 31, 2022, we issued 2,328,838 shares of our Common Stock under the ATM Program at a weighted-average price of $13.10 per share, raising $30.5 million of gross proceeds. Net proceeds were $30.1 million after commissions to the Sales Agents on shares sold. As of March 31, 2022, we had $43.1 million available under the ATM Program.</w:t>
      </w:r>
    </w:p>
    <w:p>
      <w:pPr>
        <w:spacing w:after="0" w:line="162"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4"/>
          <w:szCs w:val="14"/>
          <w:color w:val="auto"/>
        </w:rPr>
        <w:t>Since inception of the ATM Program through March 31, 2022, we have issued 2,437,492 shares of our Common Stock at a weighted-average price of $13.09, raising $31.9 million of gross proceeds. Net proceeds were $31.4 million after commissions to the Sales Agents on shares sold. We incurred $0.5 million of legal and other offering costs associated with establishing the ATM Program.</w:t>
      </w:r>
    </w:p>
    <w:p>
      <w:pPr>
        <w:spacing w:after="0" w:line="136" w:lineRule="exact"/>
        <w:rPr>
          <w:sz w:val="20"/>
          <w:szCs w:val="20"/>
          <w:color w:val="auto"/>
        </w:rPr>
      </w:pPr>
    </w:p>
    <w:p>
      <w:pPr>
        <w:jc w:val="both"/>
        <w:ind w:right="40" w:firstLine="449"/>
        <w:spacing w:after="0" w:line="282" w:lineRule="auto"/>
        <w:rPr>
          <w:sz w:val="20"/>
          <w:szCs w:val="20"/>
          <w:color w:val="auto"/>
        </w:rPr>
      </w:pPr>
      <w:r>
        <w:rPr>
          <w:rFonts w:ascii="Times New Roman" w:cs="Times New Roman" w:eastAsia="Times New Roman" w:hAnsi="Times New Roman"/>
          <w:sz w:val="14"/>
          <w:szCs w:val="14"/>
          <w:color w:val="auto"/>
        </w:rPr>
        <w:t>We are operated by a person who has claimed an exclusion from the definition of the term “commodity pool operator” under the Commodity Exchange Act and therefore, is not subject to registration or regulation as a commodity pool operator under the Commodity Exchange Act.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7" w:right="359" w:bottom="1440" w:gutter="0" w:footer="0" w:header="0"/>
        </w:sectPr>
      </w:pPr>
    </w:p>
    <w:bookmarkStart w:id="18" w:name="page19"/>
    <w:bookmarkEnd w:id="18"/>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SIGNIFICANT ACCOUNTING POLICIES</w:t>
      </w:r>
    </w:p>
    <w:p>
      <w:pPr>
        <w:spacing w:after="0" w:line="165"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4"/>
          <w:szCs w:val="14"/>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Changes in the economic and regulatory environment, financial markets, the credit worthiness of our portfolio companies, the global outbreak of the novel coronavirus (“COVID-19”) during the first quarter of 2020, and any other parameters used in determining these estimates and assumptions could cause actual results to differ from these estimates and assumptions. We may reclassify certain prior period amounts to conform to the current period presentation. We have eliminated all intercompany balances and transactions. References to the Financial Accounting Standards Board’s, or FASB’s,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41" w:lineRule="exact"/>
        <w:rPr>
          <w:sz w:val="20"/>
          <w:szCs w:val="20"/>
          <w:color w:val="auto"/>
        </w:rPr>
      </w:pPr>
    </w:p>
    <w:p>
      <w:pPr>
        <w:ind w:right="240" w:firstLine="449"/>
        <w:spacing w:after="0" w:line="261" w:lineRule="auto"/>
        <w:rPr>
          <w:sz w:val="20"/>
          <w:szCs w:val="20"/>
          <w:color w:val="auto"/>
        </w:rPr>
      </w:pPr>
      <w:r>
        <w:rPr>
          <w:rFonts w:ascii="Times New Roman" w:cs="Times New Roman" w:eastAsia="Times New Roman" w:hAnsi="Times New Roman"/>
          <w:sz w:val="14"/>
          <w:szCs w:val="14"/>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significant accounting policies consistently applied are as follows:</w:t>
      </w:r>
    </w:p>
    <w:p>
      <w:pPr>
        <w:spacing w:after="0" w:line="1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(a) Investment Valuations</w:t>
      </w:r>
    </w:p>
    <w:p>
      <w:pPr>
        <w:spacing w:after="0" w:line="181" w:lineRule="exact"/>
        <w:rPr>
          <w:sz w:val="20"/>
          <w:szCs w:val="20"/>
          <w:color w:val="auto"/>
        </w:rPr>
      </w:pPr>
    </w:p>
    <w:p>
      <w:pPr>
        <w:ind w:right="40" w:firstLine="449"/>
        <w:spacing w:after="0" w:line="251" w:lineRule="auto"/>
        <w:rPr>
          <w:sz w:val="20"/>
          <w:szCs w:val="20"/>
          <w:color w:val="auto"/>
        </w:rPr>
      </w:pPr>
      <w:r>
        <w:rPr>
          <w:rFonts w:ascii="Times New Roman" w:cs="Times New Roman" w:eastAsia="Times New Roman" w:hAnsi="Times New Roman"/>
          <w:sz w:val="14"/>
          <w:szCs w:val="14"/>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44" w:lineRule="exact"/>
        <w:rPr>
          <w:sz w:val="20"/>
          <w:szCs w:val="20"/>
          <w:color w:val="auto"/>
        </w:rPr>
      </w:pPr>
    </w:p>
    <w:p>
      <w:pPr>
        <w:ind w:right="320" w:firstLine="449"/>
        <w:spacing w:after="0" w:line="282" w:lineRule="auto"/>
        <w:rPr>
          <w:sz w:val="20"/>
          <w:szCs w:val="20"/>
          <w:color w:val="auto"/>
        </w:rPr>
      </w:pPr>
      <w:r>
        <w:rPr>
          <w:rFonts w:ascii="Times New Roman" w:cs="Times New Roman" w:eastAsia="Times New Roman" w:hAnsi="Times New Roman"/>
          <w:sz w:val="14"/>
          <w:szCs w:val="14"/>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08" w:lineRule="exact"/>
        <w:rPr>
          <w:sz w:val="20"/>
          <w:szCs w:val="20"/>
          <w:color w:val="auto"/>
        </w:rPr>
      </w:pPr>
    </w:p>
    <w:p>
      <w:pPr>
        <w:ind w:left="840" w:right="60" w:hanging="383"/>
        <w:spacing w:after="0" w:line="302" w:lineRule="auto"/>
        <w:tabs>
          <w:tab w:leader="none" w:pos="8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94"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Preliminary valuation conclusions are then documented and discussed with the management of the Investment Adviser;</w:t>
      </w:r>
    </w:p>
    <w:p>
      <w:pPr>
        <w:spacing w:after="0" w:line="176" w:lineRule="exact"/>
        <w:rPr>
          <w:rFonts w:ascii="Times New Roman" w:cs="Times New Roman" w:eastAsia="Times New Roman" w:hAnsi="Times New Roman"/>
          <w:sz w:val="14"/>
          <w:szCs w:val="14"/>
          <w:color w:val="auto"/>
        </w:rPr>
      </w:pPr>
    </w:p>
    <w:p>
      <w:pPr>
        <w:ind w:left="840" w:right="120" w:hanging="383"/>
        <w:spacing w:after="0" w:line="261" w:lineRule="auto"/>
        <w:tabs>
          <w:tab w:leader="none" w:pos="8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36" w:lineRule="exact"/>
        <w:rPr>
          <w:rFonts w:ascii="Times New Roman" w:cs="Times New Roman" w:eastAsia="Times New Roman" w:hAnsi="Times New Roman"/>
          <w:sz w:val="14"/>
          <w:szCs w:val="14"/>
          <w:color w:val="auto"/>
        </w:rPr>
      </w:pPr>
    </w:p>
    <w:p>
      <w:pPr>
        <w:ind w:left="840" w:hanging="383"/>
        <w:spacing w:after="0" w:line="261" w:lineRule="auto"/>
        <w:tabs>
          <w:tab w:leader="none" w:pos="8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36" w:lineRule="exact"/>
        <w:rPr>
          <w:rFonts w:ascii="Times New Roman" w:cs="Times New Roman" w:eastAsia="Times New Roman" w:hAnsi="Times New Roman"/>
          <w:sz w:val="14"/>
          <w:szCs w:val="14"/>
          <w:color w:val="auto"/>
        </w:rPr>
      </w:pPr>
    </w:p>
    <w:p>
      <w:pPr>
        <w:ind w:left="840" w:right="120" w:hanging="383"/>
        <w:spacing w:after="0" w:line="282" w:lineRule="auto"/>
        <w:tabs>
          <w:tab w:leader="none" w:pos="8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8" w:lineRule="exact"/>
        <w:rPr>
          <w:sz w:val="20"/>
          <w:szCs w:val="20"/>
          <w:color w:val="auto"/>
        </w:rPr>
      </w:pPr>
    </w:p>
    <w:p>
      <w:pPr>
        <w:ind w:right="220" w:firstLine="449"/>
        <w:spacing w:after="0" w:line="261" w:lineRule="auto"/>
        <w:rPr>
          <w:sz w:val="20"/>
          <w:szCs w:val="20"/>
          <w:color w:val="auto"/>
        </w:rPr>
      </w:pPr>
      <w:r>
        <w:rPr>
          <w:rFonts w:ascii="Times New Roman" w:cs="Times New Roman" w:eastAsia="Times New Roman" w:hAnsi="Times New Roman"/>
          <w:sz w:val="14"/>
          <w:szCs w:val="14"/>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(b) Security Transactions, Revenue Recognition, and Realized/Unrealized Gains or Losses</w:t>
      </w:r>
    </w:p>
    <w:p>
      <w:pPr>
        <w:spacing w:after="0" w:line="167"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the Credit Facility and the 2023 Notes during the reporting period, including any reversal of previously recorded unrealized appreciation or depreciation, when gains or losses are realized.</w:t>
      </w:r>
    </w:p>
    <w:p>
      <w:pPr>
        <w:spacing w:after="0" w:line="123" w:lineRule="exact"/>
        <w:rPr>
          <w:sz w:val="20"/>
          <w:szCs w:val="20"/>
          <w:color w:val="auto"/>
        </w:rPr>
      </w:pPr>
    </w:p>
    <w:p>
      <w:pPr>
        <w:ind w:right="40" w:firstLine="449"/>
        <w:spacing w:after="0" w:line="249" w:lineRule="auto"/>
        <w:rPr>
          <w:sz w:val="20"/>
          <w:szCs w:val="20"/>
          <w:color w:val="auto"/>
        </w:rPr>
      </w:pPr>
      <w:r>
        <w:rPr>
          <w:rFonts w:ascii="Times New Roman" w:cs="Times New Roman" w:eastAsia="Times New Roman" w:hAnsi="Times New Roman"/>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Subtopic 450-30, Gain Contingencies, or ASC 450-30.</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23" w:lineRule="exact"/>
        <w:rPr>
          <w:sz w:val="20"/>
          <w:szCs w:val="20"/>
          <w:color w:val="auto"/>
        </w:rPr>
      </w:pPr>
    </w:p>
    <w:p>
      <w:pPr>
        <w:ind w:right="120" w:firstLine="449"/>
        <w:spacing w:after="0" w:line="256" w:lineRule="auto"/>
        <w:rPr>
          <w:sz w:val="20"/>
          <w:szCs w:val="20"/>
          <w:color w:val="auto"/>
        </w:rPr>
      </w:pPr>
      <w:r>
        <w:rPr>
          <w:rFonts w:ascii="Times New Roman" w:cs="Times New Roman" w:eastAsia="Times New Roman" w:hAnsi="Times New Roman"/>
          <w:sz w:val="14"/>
          <w:szCs w:val="14"/>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 As of March 31, 2022, we had two portfolio companies on non-accrual, representing 2.5% and 2.3% of our overall portfolio on a cost and fair value basis, respectively. As of September 30, 2021, we had two portfolio companies on non-accrual, representing 2.7% and 2.6% of our overall portfolio on a cost and fair value basis, respectively.</w:t>
      </w:r>
    </w:p>
    <w:p>
      <w:pPr>
        <w:spacing w:after="0" w:line="1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 Income Taxes</w:t>
      </w:r>
    </w:p>
    <w:p>
      <w:pPr>
        <w:spacing w:after="0" w:line="18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4"/>
          <w:szCs w:val="14"/>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U.S. federal income tax purposes, we typically do not incur material U.S. federal income taxes. However, we may choose to retain a portion of our calendar year income, which may result in the imposition of a federal excise tax, or we may incur taxes through our taxable subsidiaries, including the Taxable Subsidiary. For both the three and six months ended March 31, 2022 and 2021, we recorded a provision for taxes on net investment income of $0.1 million and $0.2 million, respectively, pertaining to federal excise tax.</w:t>
      </w:r>
    </w:p>
    <w:p>
      <w:pPr>
        <w:spacing w:after="0" w:line="129" w:lineRule="exact"/>
        <w:rPr>
          <w:sz w:val="20"/>
          <w:szCs w:val="20"/>
          <w:color w:val="auto"/>
        </w:rPr>
      </w:pPr>
    </w:p>
    <w:p>
      <w:pPr>
        <w:ind w:right="220" w:firstLine="449"/>
        <w:spacing w:after="0" w:line="257" w:lineRule="auto"/>
        <w:rPr>
          <w:sz w:val="20"/>
          <w:szCs w:val="20"/>
          <w:color w:val="auto"/>
        </w:rPr>
      </w:pPr>
      <w:r>
        <w:rPr>
          <w:rFonts w:ascii="Times New Roman" w:cs="Times New Roman" w:eastAsia="Times New Roman" w:hAnsi="Times New Roman"/>
          <w:sz w:val="14"/>
          <w:szCs w:val="14"/>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127"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4"/>
          <w:szCs w:val="14"/>
          <w:color w:val="auto"/>
        </w:rPr>
        <w:t>PFLT Investment Holdings, LLC, a wholly-owned subsidiary of the Company (the “Taxable Subsidiary”), is subject to U.S. federal, state and local corporate income taxes. The income tax expense and related tax liabilities of the Taxable Subsidiary are reflected in the Company’s consolidated financial statements.</w:t>
      </w:r>
    </w:p>
    <w:p>
      <w:pPr>
        <w:spacing w:after="0" w:line="121" w:lineRule="exact"/>
        <w:rPr>
          <w:sz w:val="20"/>
          <w:szCs w:val="20"/>
          <w:color w:val="auto"/>
        </w:rPr>
      </w:pPr>
    </w:p>
    <w:p>
      <w:pPr>
        <w:ind w:right="60" w:firstLine="449"/>
        <w:spacing w:after="0" w:line="251" w:lineRule="auto"/>
        <w:rPr>
          <w:sz w:val="20"/>
          <w:szCs w:val="20"/>
          <w:color w:val="auto"/>
        </w:rPr>
      </w:pPr>
      <w:r>
        <w:rPr>
          <w:rFonts w:ascii="Times New Roman" w:cs="Times New Roman" w:eastAsia="Times New Roman" w:hAnsi="Times New Roman"/>
          <w:sz w:val="14"/>
          <w:szCs w:val="14"/>
          <w:color w:val="auto"/>
        </w:rPr>
        <w:t>For the three and six months ended March 31, 2022, the Company recognized a provision for taxes of $3.8 million and $5.3 million, respectively, on unrealized appreciation on investments by the Taxable Subsidiary. For the three and six months ended March 31, 2021, the Company recognized a provision for taxes of zero on unrealized appreciation on investments by the Taxable Subsidiary. The provision for taxes on unrealized appreciation on investments is the result of netting (i) the expected tax liability on gains from sales of investments and (ii) the expected tax benefit from the use of losses in the current year. As of March 31, 2022 and September 30, 2021, $5.3 million and zero, respectively, was accrued as a deferred tax liability on the Consolidated Statements of Assets and Liabilities relating to unrealized gain on investments. During the three and six months ended March 31, 2022, the Company paid $1.2 million in taxes on realized gains on the sale of investments held by the Taxable Subsidiary, resulting in a $1.2 million prepaid tax asset as of March 31, 2022 included under prepaid expenses and other assets in the consolidated statement of assets and liabilities.</w:t>
      </w:r>
    </w:p>
    <w:p>
      <w:pPr>
        <w:spacing w:after="0" w:line="144" w:lineRule="exact"/>
        <w:rPr>
          <w:sz w:val="20"/>
          <w:szCs w:val="20"/>
          <w:color w:val="auto"/>
        </w:rPr>
      </w:pPr>
    </w:p>
    <w:p>
      <w:pPr>
        <w:jc w:val="both"/>
        <w:ind w:right="120" w:firstLine="449"/>
        <w:spacing w:after="0" w:line="261" w:lineRule="auto"/>
        <w:rPr>
          <w:sz w:val="20"/>
          <w:szCs w:val="20"/>
          <w:color w:val="auto"/>
        </w:rPr>
      </w:pPr>
      <w:r>
        <w:rPr>
          <w:rFonts w:ascii="Times New Roman" w:cs="Times New Roman" w:eastAsia="Times New Roman" w:hAnsi="Times New Roman"/>
          <w:sz w:val="14"/>
          <w:szCs w:val="14"/>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(d) Distributions and Capital Transactions</w:t>
      </w:r>
    </w:p>
    <w:p>
      <w:pPr>
        <w:spacing w:after="0" w:line="167" w:lineRule="exact"/>
        <w:rPr>
          <w:sz w:val="20"/>
          <w:szCs w:val="20"/>
          <w:color w:val="auto"/>
        </w:rPr>
      </w:pPr>
    </w:p>
    <w:p>
      <w:pPr>
        <w:ind w:right="100" w:firstLine="449"/>
        <w:spacing w:after="0" w:line="271" w:lineRule="auto"/>
        <w:rPr>
          <w:sz w:val="20"/>
          <w:szCs w:val="20"/>
          <w:color w:val="auto"/>
        </w:rPr>
      </w:pPr>
      <w:r>
        <w:rPr>
          <w:rFonts w:ascii="Times New Roman" w:cs="Times New Roman" w:eastAsia="Times New Roman" w:hAnsi="Times New Roman"/>
          <w:sz w:val="14"/>
          <w:szCs w:val="14"/>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a return of capital.</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Capital transactions through offerings of our common stock are recorded when issued and offering costs are charged as a reduction of capital upon issuance of our common stock.</w:t>
      </w:r>
    </w:p>
    <w:p>
      <w:pPr>
        <w:spacing w:after="0" w:line="173" w:lineRule="exact"/>
        <w:rPr>
          <w:sz w:val="20"/>
          <w:szCs w:val="20"/>
          <w:color w:val="auto"/>
        </w:rPr>
      </w:pPr>
    </w:p>
    <w:p>
      <w:pPr>
        <w:ind w:left="460" w:hanging="197"/>
        <w:spacing w:after="0"/>
        <w:tabs>
          <w:tab w:leader="none" w:pos="460" w:val="left"/>
        </w:tabs>
        <w:numPr>
          <w:ilvl w:val="0"/>
          <w:numId w:val="6"/>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Foreign Currency Translation</w:t>
      </w:r>
    </w:p>
    <w:p>
      <w:pPr>
        <w:spacing w:after="0" w:line="167" w:lineRule="exact"/>
        <w:rPr>
          <w:rFonts w:ascii="Times New Roman" w:cs="Times New Roman" w:eastAsia="Times New Roman" w:hAnsi="Times New Roman"/>
          <w:sz w:val="14"/>
          <w:szCs w:val="14"/>
          <w:b w:val="1"/>
          <w:bCs w:val="1"/>
          <w:i w:val="1"/>
          <w:iCs w:val="1"/>
          <w:color w:val="auto"/>
        </w:rPr>
      </w:pPr>
    </w:p>
    <w:p>
      <w:pPr>
        <w:ind w:left="460"/>
        <w:spacing w:after="0"/>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Our books and records are maintained in U.S. dollars. Any foreign currency amounts are translated into U.S. dollars on the following basis:</w:t>
      </w:r>
    </w:p>
    <w:p>
      <w:pPr>
        <w:spacing w:after="0" w:line="176" w:lineRule="exact"/>
        <w:rPr>
          <w:rFonts w:ascii="Times New Roman" w:cs="Times New Roman" w:eastAsia="Times New Roman" w:hAnsi="Times New Roman"/>
          <w:sz w:val="14"/>
          <w:szCs w:val="14"/>
          <w:b w:val="1"/>
          <w:bCs w:val="1"/>
          <w:i w:val="1"/>
          <w:iCs w:val="1"/>
          <w:color w:val="auto"/>
        </w:rPr>
      </w:pPr>
    </w:p>
    <w:p>
      <w:pPr>
        <w:ind w:left="860" w:hanging="384"/>
        <w:spacing w:after="0"/>
        <w:tabs>
          <w:tab w:leader="none" w:pos="86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of investment securities, other assets and liabilities – at the exchange rates prevailing at the end of the applicable period; and</w:t>
      </w:r>
    </w:p>
    <w:p>
      <w:pPr>
        <w:spacing w:after="0" w:line="163" w:lineRule="exact"/>
        <w:rPr>
          <w:rFonts w:ascii="Times New Roman" w:cs="Times New Roman" w:eastAsia="Times New Roman" w:hAnsi="Times New Roman"/>
          <w:sz w:val="14"/>
          <w:szCs w:val="14"/>
          <w:color w:val="auto"/>
        </w:rPr>
      </w:pPr>
    </w:p>
    <w:p>
      <w:pPr>
        <w:ind w:left="860" w:hanging="384"/>
        <w:spacing w:after="0"/>
        <w:tabs>
          <w:tab w:leader="none" w:pos="86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and sales of investment securities, income and expenses – at the exchange rates prevailing on the respective dates of such transactions.</w:t>
      </w:r>
    </w:p>
    <w:p>
      <w:pPr>
        <w:spacing w:after="0" w:line="177" w:lineRule="exact"/>
        <w:rPr>
          <w:sz w:val="20"/>
          <w:szCs w:val="20"/>
          <w:color w:val="auto"/>
        </w:rPr>
      </w:pPr>
    </w:p>
    <w:p>
      <w:pPr>
        <w:jc w:val="both"/>
        <w:ind w:right="80" w:firstLine="449"/>
        <w:spacing w:after="0" w:line="261" w:lineRule="auto"/>
        <w:rPr>
          <w:sz w:val="20"/>
          <w:szCs w:val="20"/>
          <w:color w:val="auto"/>
        </w:rPr>
      </w:pPr>
      <w:r>
        <w:rPr>
          <w:rFonts w:ascii="Times New Roman" w:cs="Times New Roman" w:eastAsia="Times New Roman" w:hAnsi="Times New Roman"/>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spacing w:after="0" w:line="136" w:lineRule="exact"/>
        <w:rPr>
          <w:sz w:val="20"/>
          <w:szCs w:val="20"/>
          <w:color w:val="auto"/>
        </w:rPr>
      </w:pPr>
    </w:p>
    <w:p>
      <w:pPr>
        <w:jc w:val="both"/>
        <w:ind w:right="160" w:firstLine="449"/>
        <w:spacing w:after="0" w:line="261" w:lineRule="auto"/>
        <w:rPr>
          <w:sz w:val="20"/>
          <w:szCs w:val="20"/>
          <w:color w:val="auto"/>
        </w:rPr>
      </w:pPr>
      <w:r>
        <w:rPr>
          <w:rFonts w:ascii="Times New Roman" w:cs="Times New Roman" w:eastAsia="Times New Roman" w:hAnsi="Times New Roman"/>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(f) Consolidation</w:t>
      </w:r>
    </w:p>
    <w:p>
      <w:pPr>
        <w:spacing w:after="0" w:line="167" w:lineRule="exact"/>
        <w:rPr>
          <w:sz w:val="20"/>
          <w:szCs w:val="20"/>
          <w:color w:val="auto"/>
        </w:rPr>
      </w:pPr>
    </w:p>
    <w:p>
      <w:pPr>
        <w:ind w:right="80" w:firstLine="449"/>
        <w:spacing w:after="0" w:line="263" w:lineRule="auto"/>
        <w:rPr>
          <w:sz w:val="20"/>
          <w:szCs w:val="20"/>
          <w:color w:val="auto"/>
        </w:rPr>
      </w:pPr>
      <w:r>
        <w:rPr>
          <w:rFonts w:ascii="Times New Roman" w:cs="Times New Roman" w:eastAsia="Times New Roman" w:hAnsi="Times New Roman"/>
          <w:sz w:val="14"/>
          <w:szCs w:val="14"/>
          <w:color w:val="auto"/>
        </w:rPr>
        <w:t>As permitted under Regulation S-X and as explained by ASC paragraph 946-810-45-3, PennantPark Floating Rate Capital Ltd. will generally not consolidate its investment in a company other than an investment company wholly-owned subsidiary or a controlled operating company whose business consists of providing services to</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 Accordingly, we have consolidated the results of our taxable subsidiaries, including the Taxable Subsidiary, Funding I and the Securitization Issuer in our Consolidated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do not consolidate our non-controlling interest in PSSL or PTSF. See further description of our investment in PSSL in Note 4.</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(g) Asset Transfers and Servicing</w:t>
      </w:r>
    </w:p>
    <w:p>
      <w:pPr>
        <w:spacing w:after="0" w:line="181"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4"/>
          <w:szCs w:val="14"/>
          <w:color w:val="auto"/>
        </w:rPr>
        <w:t>Asset transfers that do not meet ASC Topic 860, Transfers and Servicing, requirements for sale accounting treatment are reflected in the Consolidated Statements of Assets and Liabilities and the Consolidated Schedules of Investments as investments. The creditors of Funding I have received a security interest in all of its assets and such assets are not intended to be available to the creditors of PennantPark Floating Rate Capital Ltd. or any of its affiliates.</w:t>
      </w:r>
    </w:p>
    <w:p>
      <w:pPr>
        <w:spacing w:after="0" w:line="1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i w:val="1"/>
          <w:iCs w:val="1"/>
          <w:color w:val="auto"/>
        </w:rPr>
        <w:t>(h) Recent Accounting Pronouncements</w:t>
      </w:r>
    </w:p>
    <w:p>
      <w:pPr>
        <w:spacing w:after="0" w:line="208" w:lineRule="exact"/>
        <w:rPr>
          <w:sz w:val="20"/>
          <w:szCs w:val="20"/>
          <w:color w:val="auto"/>
        </w:rPr>
      </w:pPr>
    </w:p>
    <w:p>
      <w:pPr>
        <w:ind w:right="180" w:firstLine="360"/>
        <w:spacing w:after="0" w:line="261" w:lineRule="auto"/>
        <w:rPr>
          <w:sz w:val="20"/>
          <w:szCs w:val="20"/>
          <w:color w:val="auto"/>
        </w:rPr>
      </w:pPr>
      <w:r>
        <w:rPr>
          <w:rFonts w:ascii="Times New Roman" w:cs="Times New Roman" w:eastAsia="Times New Roman" w:hAnsi="Times New Roman"/>
          <w:sz w:val="14"/>
          <w:szCs w:val="14"/>
          <w:color w:val="auto"/>
        </w:rPr>
        <w:t>In March 2020, the FASB issued Accounting Standards Update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AGREEMENTS AND RELATED PARTY TRANSACTIONS</w:t>
      </w:r>
    </w:p>
    <w:p>
      <w:pPr>
        <w:spacing w:after="0" w:line="161" w:lineRule="exact"/>
        <w:rPr>
          <w:sz w:val="20"/>
          <w:szCs w:val="20"/>
          <w:color w:val="auto"/>
        </w:rPr>
      </w:pPr>
    </w:p>
    <w:p>
      <w:pPr>
        <w:jc w:val="center"/>
        <w:ind w:right="8800"/>
        <w:spacing w:after="0"/>
        <w:rPr>
          <w:sz w:val="20"/>
          <w:szCs w:val="20"/>
          <w:color w:val="auto"/>
        </w:rPr>
      </w:pPr>
      <w:r>
        <w:rPr>
          <w:rFonts w:ascii="Times New Roman" w:cs="Times New Roman" w:eastAsia="Times New Roman" w:hAnsi="Times New Roman"/>
          <w:sz w:val="14"/>
          <w:szCs w:val="14"/>
          <w:b w:val="1"/>
          <w:bCs w:val="1"/>
          <w:i w:val="1"/>
          <w:iCs w:val="1"/>
          <w:color w:val="auto"/>
        </w:rPr>
        <w:t>(a)  Investment Management Agreement</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Base Management Fee</w:t>
      </w:r>
    </w:p>
    <w:p>
      <w:pPr>
        <w:spacing w:after="0" w:line="167"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4"/>
          <w:szCs w:val="14"/>
          <w:color w:val="auto"/>
        </w:rPr>
        <w:t>The Investment Management Agreement with the Investment Adviser was reapproved by our board of directors, including a majority of our directors who are not interested persons of us or the Investment Adviser, in February 2022.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any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 a base management fee and an incentive fee.</w:t>
      </w:r>
    </w:p>
    <w:p>
      <w:pPr>
        <w:spacing w:after="0" w:line="140" w:lineRule="exact"/>
        <w:rPr>
          <w:sz w:val="20"/>
          <w:szCs w:val="20"/>
          <w:color w:val="auto"/>
        </w:rPr>
      </w:pPr>
    </w:p>
    <w:p>
      <w:pPr>
        <w:ind w:right="20" w:firstLine="449"/>
        <w:spacing w:after="0" w:line="250" w:lineRule="auto"/>
        <w:rPr>
          <w:sz w:val="20"/>
          <w:szCs w:val="20"/>
          <w:color w:val="auto"/>
        </w:rPr>
      </w:pPr>
      <w:r>
        <w:rPr>
          <w:rFonts w:ascii="Times New Roman" w:cs="Times New Roman" w:eastAsia="Times New Roman" w:hAnsi="Times New Roman"/>
          <w:sz w:val="14"/>
          <w:szCs w:val="14"/>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and six months ended March 31, 2022, the Investment Adviser earned a base management fee of $2.9 million and $5.8 million respectively, from us. For the three and six months ended March 31, 2021, the Investment Adviser earned a base management fee of $2.6 million and $5.3 million, respectively, from us.</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Incentive Fee</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incentive fee has two parts, as follows:</w:t>
      </w:r>
    </w:p>
    <w:p>
      <w:pPr>
        <w:spacing w:after="0" w:line="150" w:lineRule="exact"/>
        <w:rPr>
          <w:sz w:val="20"/>
          <w:szCs w:val="20"/>
          <w:color w:val="auto"/>
        </w:rPr>
      </w:pPr>
    </w:p>
    <w:p>
      <w:pPr>
        <w:ind w:firstLine="449"/>
        <w:spacing w:after="0" w:line="247" w:lineRule="auto"/>
        <w:rPr>
          <w:sz w:val="20"/>
          <w:szCs w:val="20"/>
          <w:color w:val="auto"/>
        </w:rPr>
      </w:pPr>
      <w:r>
        <w:rPr>
          <w:rFonts w:ascii="Times New Roman" w:cs="Times New Roman" w:eastAsia="Times New Roman" w:hAnsi="Times New Roman"/>
          <w:sz w:val="14"/>
          <w:szCs w:val="14"/>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w:t>
      </w:r>
    </w:p>
    <w:p>
      <w:pPr>
        <w:spacing w:after="0" w:line="9"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4"/>
          <w:szCs w:val="14"/>
          <w:color w:val="auto"/>
        </w:rPr>
        <w:t>2.9167% in any calendar quarter. These calculations are pro-rated for any share issuances or repurchases during the relevant quarter, if applicable. For the three and six months ended March 31, 2022, the Investment Adviser earned $2.7 million and $5.9 million, respectively, in incentive fees on net investment income from us. For the three and six months ended March 31, 2021, the Investment Adviser earned $1.3 million and $3.1 million, respectively, in incentive fees on net investment income from us.</w:t>
      </w:r>
    </w:p>
    <w:p>
      <w:pPr>
        <w:spacing w:after="0" w:line="111"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4"/>
          <w:szCs w:val="14"/>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three and six months ended March 31, 2022 and 2021, the Investment Adviser did not accrue an incentive fee on capital gains, as calculated under the Investment Management Agreement (as described above).</w:t>
      </w:r>
    </w:p>
    <w:p>
      <w:pPr>
        <w:spacing w:after="0" w:line="123" w:lineRule="exact"/>
        <w:rPr>
          <w:sz w:val="20"/>
          <w:szCs w:val="20"/>
          <w:color w:val="auto"/>
        </w:rPr>
      </w:pPr>
    </w:p>
    <w:p>
      <w:pPr>
        <w:ind w:right="80" w:firstLine="449"/>
        <w:spacing w:after="0" w:line="252" w:lineRule="auto"/>
        <w:rPr>
          <w:sz w:val="20"/>
          <w:szCs w:val="20"/>
          <w:color w:val="auto"/>
        </w:rPr>
      </w:pPr>
      <w:r>
        <w:rPr>
          <w:rFonts w:ascii="Times New Roman" w:cs="Times New Roman" w:eastAsia="Times New Roman" w:hAnsi="Times New Roman"/>
          <w:sz w:val="14"/>
          <w:szCs w:val="14"/>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4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to incentive fees paid in all prior years. If such amount is negative, then there is no accrual for such year. There can be no assurance that such unrealized capital appreciation will be realized in the future. The incentive fee accrued for, but not payable, under GAAP on our unrealized and realized capital gains for the three and six months ended March 31, 2022 and 2021, was zero.</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  Administration Agreement</w:t>
      </w:r>
    </w:p>
    <w:p>
      <w:pPr>
        <w:spacing w:after="0" w:line="167" w:lineRule="exact"/>
        <w:rPr>
          <w:sz w:val="20"/>
          <w:szCs w:val="20"/>
          <w:color w:val="auto"/>
        </w:rPr>
      </w:pPr>
    </w:p>
    <w:p>
      <w:pPr>
        <w:ind w:right="20" w:firstLine="449"/>
        <w:spacing w:after="0" w:line="251" w:lineRule="auto"/>
        <w:rPr>
          <w:sz w:val="20"/>
          <w:szCs w:val="20"/>
          <w:color w:val="auto"/>
        </w:rPr>
      </w:pPr>
      <w:r>
        <w:rPr>
          <w:rFonts w:ascii="Times New Roman" w:cs="Times New Roman" w:eastAsia="Times New Roman" w:hAnsi="Times New Roman"/>
          <w:sz w:val="14"/>
          <w:szCs w:val="14"/>
          <w:color w:val="auto"/>
        </w:rPr>
        <w:t>The Administration Agreement with the Administrator was reapproved by our board of directors, including a majority of our directors who are not interested persons of us, in February 2022. Under the Administration Agreement, the Administrator provides administrative services and office facilities to us.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three and six months ended March 31, 2022, we reimbursed the Investment Adviser approximately $0.4 million and $0.9 million, respectively, including expenses the Investment Adviser incurred on behalf of the Administrator, for services described above. For the three and six months ended March 31, 2021, we reimbursed the Investment Adviser approximately $0.5 million and $0.7 million, respectively, including expenses the Investment Adviser incurred on behalf of the Administrator, for services described above.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 Other Related Party Transactions</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There were no transactions subject to Rule 17a-7 under the 1940 Act during each of the three and six months ended March 31, 2022 and 2021.</w:t>
      </w:r>
    </w:p>
    <w:p>
      <w:pPr>
        <w:spacing w:after="0" w:line="163" w:lineRule="exact"/>
        <w:rPr>
          <w:sz w:val="20"/>
          <w:szCs w:val="20"/>
          <w:color w:val="auto"/>
        </w:rPr>
      </w:pPr>
    </w:p>
    <w:p>
      <w:pPr>
        <w:jc w:val="both"/>
        <w:ind w:right="40" w:firstLine="449"/>
        <w:spacing w:after="0" w:line="261" w:lineRule="auto"/>
        <w:rPr>
          <w:sz w:val="20"/>
          <w:szCs w:val="20"/>
          <w:color w:val="auto"/>
        </w:rPr>
      </w:pPr>
      <w:r>
        <w:rPr>
          <w:rFonts w:ascii="Times New Roman" w:cs="Times New Roman" w:eastAsia="Times New Roman" w:hAnsi="Times New Roman"/>
          <w:sz w:val="14"/>
          <w:szCs w:val="14"/>
          <w:color w:val="auto"/>
        </w:rPr>
        <w:t>For the three and six months ended March 31, 2022, we sold $57.7 million and $180.4 in investments to PSSL at fair value, respectively, and recognized $(0.2) million and $(0.5) million of net realized losses, respectively, for the same period. For both the three and six months ended March 31, 2021, we sold $125.2 million in investments to PSSL at fair value and recognized $0.3 million of net realized gains.</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For the six months ended March 31, 2022, we sold no investments to PTSF.</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INVESTMENTS</w:t>
      </w:r>
    </w:p>
    <w:p>
      <w:pPr>
        <w:spacing w:after="0" w:line="179" w:lineRule="exact"/>
        <w:rPr>
          <w:sz w:val="20"/>
          <w:szCs w:val="20"/>
          <w:color w:val="auto"/>
        </w:rPr>
      </w:pPr>
    </w:p>
    <w:p>
      <w:pPr>
        <w:ind w:right="140" w:firstLine="449"/>
        <w:spacing w:after="0" w:line="255" w:lineRule="auto"/>
        <w:rPr>
          <w:sz w:val="20"/>
          <w:szCs w:val="20"/>
          <w:color w:val="auto"/>
        </w:rPr>
      </w:pPr>
      <w:r>
        <w:rPr>
          <w:rFonts w:ascii="Times New Roman" w:cs="Times New Roman" w:eastAsia="Times New Roman" w:hAnsi="Times New Roman"/>
          <w:sz w:val="14"/>
          <w:szCs w:val="14"/>
          <w:color w:val="auto"/>
        </w:rPr>
        <w:t>Purchases of investments, including PIK interest, for the three and six months ended March 31, 2022 totaled $113.7 million and $449.2 million, respectively. For the same periods in the prior year, purchases of investments, including PIK interest, for the three and six months ended March 31, 2021 totaled $160.8 million and $229.3 million, respectively. Sales and repayments of investments for the three and six months ended March 31, 2022 totaled $103.9 million and $342.2 million, respectively. For the same periods in the prior year, sales and repayments of investments for the three and six months ended March 31, 2021 totaled $172.1 million and $281.7 million, respectively.</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Investments and cash and cash equivalents consisted of the following:</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1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40" w:type="dxa"/>
            <w:vAlign w:val="bottom"/>
          </w:tcPr>
          <w:p>
            <w:pPr>
              <w:spacing w:after="0"/>
              <w:rPr>
                <w:sz w:val="16"/>
                <w:szCs w:val="16"/>
                <w:color w:val="auto"/>
              </w:rPr>
            </w:pPr>
          </w:p>
        </w:tc>
      </w:tr>
      <w:tr>
        <w:trPr>
          <w:trHeight w:val="169"/>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Classification</w:t>
            </w:r>
          </w:p>
        </w:tc>
        <w:tc>
          <w:tcPr>
            <w:tcW w:w="360" w:type="dxa"/>
            <w:vAlign w:val="bottom"/>
          </w:tcPr>
          <w:p>
            <w:pPr>
              <w:spacing w:after="0"/>
              <w:rPr>
                <w:sz w:val="14"/>
                <w:szCs w:val="14"/>
                <w:color w:val="auto"/>
              </w:rPr>
            </w:pPr>
          </w:p>
        </w:tc>
        <w:tc>
          <w:tcPr>
            <w:tcW w:w="11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Pr>
          <w:p>
            <w:pPr>
              <w:spacing w:after="0"/>
              <w:rPr>
                <w:sz w:val="14"/>
                <w:szCs w:val="14"/>
                <w:color w:val="auto"/>
              </w:rPr>
            </w:pPr>
          </w:p>
        </w:tc>
      </w:tr>
      <w:tr>
        <w:trPr>
          <w:trHeight w:val="169"/>
        </w:trPr>
        <w:tc>
          <w:tcPr>
            <w:tcW w:w="432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60" w:type="dxa"/>
            <w:vAlign w:val="bottom"/>
            <w:shd w:val="clear" w:color="auto" w:fill="CCECFF"/>
          </w:tcPr>
          <w:p>
            <w:pPr>
              <w:spacing w:after="0"/>
              <w:rPr>
                <w:sz w:val="14"/>
                <w:szCs w:val="14"/>
                <w:color w:val="auto"/>
              </w:rPr>
            </w:pPr>
          </w:p>
        </w:tc>
        <w:tc>
          <w:tcPr>
            <w:tcW w:w="360" w:type="dxa"/>
            <w:vAlign w:val="bottom"/>
            <w:tcBorders>
              <w:top w:val="single" w:sz="8" w:color="auto"/>
            </w:tcBorders>
            <w:shd w:val="clear" w:color="auto" w:fill="CCEC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863,986</w:t>
            </w:r>
          </w:p>
        </w:tc>
        <w:tc>
          <w:tcPr>
            <w:tcW w:w="220" w:type="dxa"/>
            <w:vAlign w:val="bottom"/>
            <w:shd w:val="clear" w:color="auto" w:fill="CCECFF"/>
          </w:tcPr>
          <w:p>
            <w:pPr>
              <w:spacing w:after="0"/>
              <w:rPr>
                <w:sz w:val="14"/>
                <w:szCs w:val="14"/>
                <w:color w:val="auto"/>
              </w:rPr>
            </w:pPr>
          </w:p>
        </w:tc>
        <w:tc>
          <w:tcPr>
            <w:tcW w:w="400" w:type="dxa"/>
            <w:vAlign w:val="bottom"/>
            <w:tcBorders>
              <w:top w:val="single" w:sz="8" w:color="auto"/>
            </w:tcBorders>
            <w:shd w:val="clear" w:color="auto" w:fill="CCEC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861,657</w:t>
            </w:r>
          </w:p>
        </w:tc>
        <w:tc>
          <w:tcPr>
            <w:tcW w:w="220" w:type="dxa"/>
            <w:vAlign w:val="bottom"/>
            <w:shd w:val="clear" w:color="auto" w:fill="CCECFF"/>
          </w:tcPr>
          <w:p>
            <w:pPr>
              <w:spacing w:after="0"/>
              <w:rPr>
                <w:sz w:val="14"/>
                <w:szCs w:val="14"/>
                <w:color w:val="auto"/>
              </w:rPr>
            </w:pPr>
          </w:p>
        </w:tc>
        <w:tc>
          <w:tcPr>
            <w:tcW w:w="340" w:type="dxa"/>
            <w:vAlign w:val="bottom"/>
            <w:tcBorders>
              <w:top w:val="single" w:sz="8" w:color="auto"/>
            </w:tcBorders>
            <w:shd w:val="clear" w:color="auto" w:fill="CCEC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795,264</w:t>
            </w:r>
          </w:p>
        </w:tc>
        <w:tc>
          <w:tcPr>
            <w:tcW w:w="200" w:type="dxa"/>
            <w:vAlign w:val="bottom"/>
            <w:shd w:val="clear" w:color="auto" w:fill="CCECFF"/>
          </w:tcPr>
          <w:p>
            <w:pPr>
              <w:spacing w:after="0"/>
              <w:rPr>
                <w:sz w:val="14"/>
                <w:szCs w:val="14"/>
                <w:color w:val="auto"/>
              </w:rPr>
            </w:pPr>
          </w:p>
        </w:tc>
        <w:tc>
          <w:tcPr>
            <w:tcW w:w="260" w:type="dxa"/>
            <w:vAlign w:val="bottom"/>
            <w:tcBorders>
              <w:top w:val="single" w:sz="8" w:color="auto"/>
            </w:tcBorders>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793,543</w:t>
            </w:r>
          </w:p>
        </w:tc>
        <w:tc>
          <w:tcPr>
            <w:tcW w:w="40" w:type="dxa"/>
            <w:vAlign w:val="bottom"/>
            <w:shd w:val="clear" w:color="auto" w:fill="CCECFF"/>
          </w:tcPr>
          <w:p>
            <w:pPr>
              <w:spacing w:after="0"/>
              <w:rPr>
                <w:sz w:val="14"/>
                <w:szCs w:val="14"/>
                <w:color w:val="auto"/>
              </w:rPr>
            </w:pPr>
          </w:p>
        </w:tc>
      </w:tr>
      <w:tr>
        <w:trPr>
          <w:trHeight w:val="175"/>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First lien in PSSL</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170,275</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170,275</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140,875</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140,875</w:t>
            </w:r>
          </w:p>
        </w:tc>
        <w:tc>
          <w:tcPr>
            <w:tcW w:w="40" w:type="dxa"/>
            <w:vAlign w:val="bottom"/>
          </w:tcPr>
          <w:p>
            <w:pPr>
              <w:spacing w:after="0"/>
              <w:rPr>
                <w:sz w:val="15"/>
                <w:szCs w:val="15"/>
                <w:color w:val="auto"/>
              </w:rPr>
            </w:pPr>
          </w:p>
        </w:tc>
      </w:tr>
      <w:tr>
        <w:trPr>
          <w:trHeight w:val="175"/>
        </w:trPr>
        <w:tc>
          <w:tcPr>
            <w:tcW w:w="448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360" w:type="dxa"/>
            <w:vAlign w:val="bottom"/>
            <w:shd w:val="clear" w:color="auto" w:fill="CCECFF"/>
          </w:tcPr>
          <w:p>
            <w:pPr>
              <w:spacing w:after="0"/>
              <w:rPr>
                <w:sz w:val="15"/>
                <w:szCs w:val="15"/>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1,079</w:t>
            </w:r>
          </w:p>
        </w:tc>
        <w:tc>
          <w:tcPr>
            <w:tcW w:w="220" w:type="dxa"/>
            <w:vAlign w:val="bottom"/>
            <w:shd w:val="clear" w:color="auto" w:fill="CCECFF"/>
          </w:tcPr>
          <w:p>
            <w:pPr>
              <w:spacing w:after="0"/>
              <w:rPr>
                <w:sz w:val="15"/>
                <w:szCs w:val="15"/>
                <w:color w:val="auto"/>
              </w:rPr>
            </w:pPr>
          </w:p>
        </w:tc>
        <w:tc>
          <w:tcPr>
            <w:tcW w:w="400" w:type="dxa"/>
            <w:vAlign w:val="bottom"/>
            <w:shd w:val="clear" w:color="auto" w:fill="CCECFF"/>
          </w:tcPr>
          <w:p>
            <w:pPr>
              <w:spacing w:after="0"/>
              <w:rPr>
                <w:sz w:val="15"/>
                <w:szCs w:val="15"/>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22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8,937</w:t>
            </w:r>
          </w:p>
        </w:tc>
        <w:tc>
          <w:tcPr>
            <w:tcW w:w="20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8,949</w:t>
            </w:r>
          </w:p>
        </w:tc>
        <w:tc>
          <w:tcPr>
            <w:tcW w:w="40" w:type="dxa"/>
            <w:vAlign w:val="bottom"/>
            <w:shd w:val="clear" w:color="auto" w:fill="CCECFF"/>
          </w:tcPr>
          <w:p>
            <w:pPr>
              <w:spacing w:after="0"/>
              <w:rPr>
                <w:sz w:val="15"/>
                <w:szCs w:val="15"/>
                <w:color w:val="auto"/>
              </w:rPr>
            </w:pPr>
          </w:p>
        </w:tc>
      </w:tr>
      <w:tr>
        <w:trPr>
          <w:trHeight w:val="175"/>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58,946</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104,240</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65,186</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93,396</w:t>
            </w:r>
          </w:p>
        </w:tc>
        <w:tc>
          <w:tcPr>
            <w:tcW w:w="40" w:type="dxa"/>
            <w:vAlign w:val="bottom"/>
          </w:tcPr>
          <w:p>
            <w:pPr>
              <w:spacing w:after="0"/>
              <w:rPr>
                <w:sz w:val="15"/>
                <w:szCs w:val="15"/>
                <w:color w:val="auto"/>
              </w:rPr>
            </w:pPr>
          </w:p>
        </w:tc>
      </w:tr>
      <w:tr>
        <w:trPr>
          <w:trHeight w:val="175"/>
        </w:trPr>
        <w:tc>
          <w:tcPr>
            <w:tcW w:w="448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Equity interests in PSSL</w:t>
            </w:r>
          </w:p>
        </w:tc>
        <w:tc>
          <w:tcPr>
            <w:tcW w:w="360" w:type="dxa"/>
            <w:vAlign w:val="bottom"/>
            <w:tcBorders>
              <w:bottom w:val="single" w:sz="8" w:color="auto"/>
            </w:tcBorders>
            <w:shd w:val="clear" w:color="auto" w:fill="CCECFF"/>
          </w:tcPr>
          <w:p>
            <w:pPr>
              <w:spacing w:after="0"/>
              <w:rPr>
                <w:sz w:val="15"/>
                <w:szCs w:val="15"/>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72,975</w:t>
            </w:r>
          </w:p>
        </w:tc>
        <w:tc>
          <w:tcPr>
            <w:tcW w:w="220" w:type="dxa"/>
            <w:vAlign w:val="bottom"/>
            <w:tcBorders>
              <w:bottom w:val="single" w:sz="8" w:color="CCECFF"/>
            </w:tcBorders>
            <w:shd w:val="clear" w:color="auto" w:fill="CCECFF"/>
          </w:tcPr>
          <w:p>
            <w:pPr>
              <w:spacing w:after="0"/>
              <w:rPr>
                <w:sz w:val="15"/>
                <w:szCs w:val="15"/>
                <w:color w:val="auto"/>
              </w:rPr>
            </w:pPr>
          </w:p>
        </w:tc>
        <w:tc>
          <w:tcPr>
            <w:tcW w:w="400" w:type="dxa"/>
            <w:vAlign w:val="bottom"/>
            <w:tcBorders>
              <w:bottom w:val="single" w:sz="8" w:color="auto"/>
            </w:tcBorders>
            <w:shd w:val="clear" w:color="auto" w:fill="CCECFF"/>
          </w:tcPr>
          <w:p>
            <w:pPr>
              <w:spacing w:after="0"/>
              <w:rPr>
                <w:sz w:val="15"/>
                <w:szCs w:val="15"/>
                <w:color w:val="auto"/>
              </w:rPr>
            </w:pPr>
          </w:p>
        </w:tc>
        <w:tc>
          <w:tcPr>
            <w:tcW w:w="1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55,405</w:t>
            </w:r>
          </w:p>
        </w:tc>
        <w:tc>
          <w:tcPr>
            <w:tcW w:w="220" w:type="dxa"/>
            <w:vAlign w:val="bottom"/>
            <w:tcBorders>
              <w:bottom w:val="single" w:sz="8" w:color="CCECFF"/>
            </w:tcBorders>
            <w:shd w:val="clear" w:color="auto" w:fill="CCECFF"/>
          </w:tcPr>
          <w:p>
            <w:pPr>
              <w:spacing w:after="0"/>
              <w:rPr>
                <w:sz w:val="15"/>
                <w:szCs w:val="15"/>
                <w:color w:val="auto"/>
              </w:rPr>
            </w:pPr>
          </w:p>
        </w:tc>
        <w:tc>
          <w:tcPr>
            <w:tcW w:w="340" w:type="dxa"/>
            <w:vAlign w:val="bottom"/>
            <w:tcBorders>
              <w:bottom w:val="single" w:sz="8" w:color="auto"/>
            </w:tcBorders>
            <w:shd w:val="clear" w:color="auto" w:fill="CCECFF"/>
          </w:tcPr>
          <w:p>
            <w:pPr>
              <w:spacing w:after="0"/>
              <w:rPr>
                <w:sz w:val="15"/>
                <w:szCs w:val="15"/>
                <w:color w:val="auto"/>
              </w:rPr>
            </w:pPr>
          </w:p>
        </w:tc>
        <w:tc>
          <w:tcPr>
            <w:tcW w:w="1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60,375</w:t>
            </w:r>
          </w:p>
        </w:tc>
        <w:tc>
          <w:tcPr>
            <w:tcW w:w="20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auto"/>
            </w:tcBorders>
            <w:shd w:val="clear" w:color="auto" w:fill="CCECFF"/>
          </w:tcPr>
          <w:p>
            <w:pPr>
              <w:spacing w:after="0"/>
              <w:rPr>
                <w:sz w:val="15"/>
                <w:szCs w:val="15"/>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44,856</w:t>
            </w:r>
          </w:p>
        </w:tc>
        <w:tc>
          <w:tcPr>
            <w:tcW w:w="40" w:type="dxa"/>
            <w:vAlign w:val="bottom"/>
            <w:tcBorders>
              <w:bottom w:val="single" w:sz="8" w:color="CCECFF"/>
            </w:tcBorders>
            <w:shd w:val="clear" w:color="auto" w:fill="CCECFF"/>
          </w:tcPr>
          <w:p>
            <w:pPr>
              <w:spacing w:after="0"/>
              <w:rPr>
                <w:sz w:val="15"/>
                <w:szCs w:val="15"/>
                <w:color w:val="auto"/>
              </w:rPr>
            </w:pPr>
          </w:p>
        </w:tc>
      </w:tr>
      <w:tr>
        <w:trPr>
          <w:trHeight w:val="169"/>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investments</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1,167,262</w:t>
            </w: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1,192,613</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1,070,636</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1,081,619</w:t>
            </w:r>
          </w:p>
        </w:tc>
        <w:tc>
          <w:tcPr>
            <w:tcW w:w="40" w:type="dxa"/>
            <w:vAlign w:val="bottom"/>
          </w:tcPr>
          <w:p>
            <w:pPr>
              <w:spacing w:after="0"/>
              <w:rPr>
                <w:sz w:val="14"/>
                <w:szCs w:val="14"/>
                <w:color w:val="auto"/>
              </w:rPr>
            </w:pPr>
          </w:p>
        </w:tc>
      </w:tr>
      <w:tr>
        <w:trPr>
          <w:trHeight w:val="169"/>
        </w:trPr>
        <w:tc>
          <w:tcPr>
            <w:tcW w:w="448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60" w:type="dxa"/>
            <w:vAlign w:val="bottom"/>
            <w:tcBorders>
              <w:bottom w:val="single" w:sz="8" w:color="auto"/>
            </w:tcBorders>
            <w:shd w:val="clear" w:color="auto" w:fill="CCECFF"/>
          </w:tcPr>
          <w:p>
            <w:pPr>
              <w:spacing w:after="0"/>
              <w:rPr>
                <w:sz w:val="14"/>
                <w:szCs w:val="14"/>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50,053</w:t>
            </w:r>
          </w:p>
        </w:tc>
        <w:tc>
          <w:tcPr>
            <w:tcW w:w="220" w:type="dxa"/>
            <w:vAlign w:val="bottom"/>
            <w:tcBorders>
              <w:bottom w:val="single" w:sz="8" w:color="CCECFF"/>
            </w:tcBorders>
            <w:shd w:val="clear" w:color="auto" w:fill="CCECFF"/>
          </w:tcPr>
          <w:p>
            <w:pPr>
              <w:spacing w:after="0"/>
              <w:rPr>
                <w:sz w:val="14"/>
                <w:szCs w:val="14"/>
                <w:color w:val="auto"/>
              </w:rPr>
            </w:pPr>
          </w:p>
        </w:tc>
        <w:tc>
          <w:tcPr>
            <w:tcW w:w="400" w:type="dxa"/>
            <w:vAlign w:val="bottom"/>
            <w:tcBorders>
              <w:bottom w:val="single" w:sz="8" w:color="auto"/>
            </w:tcBorders>
            <w:shd w:val="clear" w:color="auto" w:fill="CCECFF"/>
          </w:tcPr>
          <w:p>
            <w:pPr>
              <w:spacing w:after="0"/>
              <w:rPr>
                <w:sz w:val="14"/>
                <w:szCs w:val="14"/>
                <w:color w:val="auto"/>
              </w:rPr>
            </w:pPr>
          </w:p>
        </w:tc>
        <w:tc>
          <w:tcPr>
            <w:tcW w:w="1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50,064</w:t>
            </w:r>
          </w:p>
        </w:tc>
        <w:tc>
          <w:tcPr>
            <w:tcW w:w="220" w:type="dxa"/>
            <w:vAlign w:val="bottom"/>
            <w:tcBorders>
              <w:bottom w:val="single" w:sz="8" w:color="CCECFF"/>
            </w:tcBorders>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1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49,826</w:t>
            </w:r>
          </w:p>
        </w:tc>
        <w:tc>
          <w:tcPr>
            <w:tcW w:w="200" w:type="dxa"/>
            <w:vAlign w:val="bottom"/>
            <w:tcBorders>
              <w:bottom w:val="single" w:sz="8" w:color="CCECFF"/>
            </w:tcBorders>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49,826</w:t>
            </w:r>
          </w:p>
        </w:tc>
        <w:tc>
          <w:tcPr>
            <w:tcW w:w="40" w:type="dxa"/>
            <w:vAlign w:val="bottom"/>
            <w:tcBorders>
              <w:bottom w:val="single" w:sz="8" w:color="CCECFF"/>
            </w:tcBorders>
            <w:shd w:val="clear" w:color="auto" w:fill="CCECFF"/>
          </w:tcPr>
          <w:p>
            <w:pPr>
              <w:spacing w:after="0"/>
              <w:rPr>
                <w:sz w:val="14"/>
                <w:szCs w:val="14"/>
                <w:color w:val="auto"/>
              </w:rPr>
            </w:pPr>
          </w:p>
        </w:tc>
      </w:tr>
      <w:tr>
        <w:trPr>
          <w:trHeight w:val="169"/>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investments and cash and cash equivalents</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1,217,315</w:t>
            </w:r>
          </w:p>
        </w:tc>
        <w:tc>
          <w:tcPr>
            <w:tcW w:w="62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1,242,676</w:t>
            </w:r>
          </w:p>
        </w:tc>
        <w:tc>
          <w:tcPr>
            <w:tcW w:w="5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1,120,462</w:t>
            </w:r>
          </w:p>
        </w:tc>
        <w:tc>
          <w:tcPr>
            <w:tcW w:w="4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1,131,445</w:t>
            </w:r>
          </w:p>
        </w:tc>
        <w:tc>
          <w:tcPr>
            <w:tcW w:w="40" w:type="dxa"/>
            <w:vAlign w:val="bottom"/>
          </w:tcPr>
          <w:p>
            <w:pPr>
              <w:spacing w:after="0"/>
              <w:rPr>
                <w:sz w:val="14"/>
                <w:szCs w:val="14"/>
                <w:color w:val="auto"/>
              </w:rPr>
            </w:pPr>
          </w:p>
        </w:tc>
      </w:tr>
      <w:tr>
        <w:trPr>
          <w:trHeight w:val="20"/>
        </w:trPr>
        <w:tc>
          <w:tcPr>
            <w:tcW w:w="4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2"/>
        </w:trPr>
        <w:tc>
          <w:tcPr>
            <w:tcW w:w="4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22</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1"/>
        </w:trPr>
        <w:tc>
          <w:tcPr>
            <w:tcW w:w="43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-710565</wp:posOffset>
            </wp:positionV>
            <wp:extent cx="3429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-710565</wp:posOffset>
            </wp:positionV>
            <wp:extent cx="3429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-710565</wp:posOffset>
            </wp:positionV>
            <wp:extent cx="254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-710565</wp:posOffset>
            </wp:positionV>
            <wp:extent cx="2603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-471170</wp:posOffset>
            </wp:positionV>
            <wp:extent cx="3429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-471170</wp:posOffset>
            </wp:positionV>
            <wp:extent cx="3429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-471170</wp:posOffset>
            </wp:positionV>
            <wp:extent cx="254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-471170</wp:posOffset>
            </wp:positionV>
            <wp:extent cx="2603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23" w:lineRule="exact"/>
        <w:rPr>
          <w:sz w:val="20"/>
          <w:szCs w:val="20"/>
          <w:color w:val="auto"/>
        </w:rPr>
      </w:pPr>
    </w:p>
    <w:p>
      <w:pPr>
        <w:ind w:right="200" w:firstLine="449"/>
        <w:spacing w:after="0" w:line="265" w:lineRule="auto"/>
        <w:rPr>
          <w:sz w:val="20"/>
          <w:szCs w:val="20"/>
          <w:color w:val="auto"/>
        </w:rPr>
      </w:pPr>
      <w:r>
        <w:rPr>
          <w:rFonts w:ascii="Times New Roman" w:cs="Times New Roman" w:eastAsia="Times New Roman" w:hAnsi="Times New Roman"/>
          <w:sz w:val="14"/>
          <w:szCs w:val="14"/>
          <w:color w:val="auto"/>
        </w:rPr>
        <w:t>The table below describes investments by industry classification and enumerates the percentage, by fair value, of the total portfolio assets (excluding cash and cash equivalents) in such industries:</w:t>
      </w:r>
    </w:p>
    <w:tbl>
      <w:tblPr>
        <w:tblLayout w:type="fixed"/>
        <w:tblInd w:w="0" w:type="dxa"/>
        <w:tblCellMar>
          <w:top w:w="0" w:type="dxa"/>
          <w:left w:w="0" w:type="dxa"/>
          <w:bottom w:w="0" w:type="dxa"/>
          <w:right w:w="0" w:type="dxa"/>
        </w:tblCellMar>
      </w:tblPr>
      <w:tr>
        <w:trPr>
          <w:trHeight w:val="207"/>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Industry Classification</w:t>
            </w:r>
          </w:p>
        </w:tc>
        <w:tc>
          <w:tcPr>
            <w:tcW w:w="180" w:type="dxa"/>
            <w:vAlign w:val="bottom"/>
          </w:tcPr>
          <w:p>
            <w:pPr>
              <w:spacing w:after="0"/>
              <w:rPr>
                <w:sz w:val="18"/>
                <w:szCs w:val="18"/>
                <w:color w:val="auto"/>
              </w:rPr>
            </w:pPr>
          </w:p>
        </w:tc>
        <w:tc>
          <w:tcPr>
            <w:tcW w:w="1860" w:type="dxa"/>
            <w:vAlign w:val="bottom"/>
            <w:gridSpan w:val="2"/>
          </w:tcPr>
          <w:p>
            <w:pPr>
              <w:jc w:val="right"/>
              <w:ind w:right="488"/>
              <w:spacing w:after="0" w:line="207" w:lineRule="exact"/>
              <w:rPr>
                <w:sz w:val="20"/>
                <w:szCs w:val="20"/>
                <w:color w:val="auto"/>
              </w:rPr>
            </w:pPr>
            <w:r>
              <w:rPr>
                <w:rFonts w:ascii="Times New Roman" w:cs="Times New Roman" w:eastAsia="Times New Roman" w:hAnsi="Times New Roman"/>
                <w:sz w:val="14"/>
                <w:szCs w:val="14"/>
                <w:b w:val="1"/>
                <w:bCs w:val="1"/>
                <w:color w:val="auto"/>
              </w:rPr>
              <w:t xml:space="preserve">March 31, 2022 </w:t>
            </w:r>
            <w:r>
              <w:rPr>
                <w:rFonts w:ascii="Times New Roman" w:cs="Times New Roman" w:eastAsia="Times New Roman" w:hAnsi="Times New Roman"/>
                <w:sz w:val="19"/>
                <w:szCs w:val="19"/>
                <w:b w:val="1"/>
                <w:bCs w:val="1"/>
                <w:color w:val="auto"/>
                <w:vertAlign w:val="superscript"/>
              </w:rPr>
              <w:t>(1)</w:t>
            </w:r>
          </w:p>
        </w:tc>
        <w:tc>
          <w:tcPr>
            <w:tcW w:w="1760" w:type="dxa"/>
            <w:vAlign w:val="bottom"/>
            <w:gridSpan w:val="2"/>
          </w:tcPr>
          <w:p>
            <w:pPr>
              <w:jc w:val="right"/>
              <w:ind w:right="208"/>
              <w:spacing w:after="0" w:line="207" w:lineRule="exact"/>
              <w:rPr>
                <w:sz w:val="20"/>
                <w:szCs w:val="20"/>
                <w:color w:val="auto"/>
              </w:rPr>
            </w:pPr>
            <w:r>
              <w:rPr>
                <w:rFonts w:ascii="Times New Roman" w:cs="Times New Roman" w:eastAsia="Times New Roman" w:hAnsi="Times New Roman"/>
                <w:sz w:val="14"/>
                <w:szCs w:val="14"/>
                <w:b w:val="1"/>
                <w:bCs w:val="1"/>
                <w:color w:val="auto"/>
              </w:rPr>
              <w:t xml:space="preserve">September 30, 2021 </w:t>
            </w:r>
            <w:r>
              <w:rPr>
                <w:rFonts w:ascii="Times New Roman" w:cs="Times New Roman" w:eastAsia="Times New Roman" w:hAnsi="Times New Roman"/>
                <w:sz w:val="19"/>
                <w:szCs w:val="19"/>
                <w:b w:val="1"/>
                <w:bCs w:val="1"/>
                <w:color w:val="auto"/>
                <w:vertAlign w:val="superscript"/>
              </w:rPr>
              <w:t>(1)</w:t>
            </w:r>
          </w:p>
        </w:tc>
      </w:tr>
      <w:tr>
        <w:trPr>
          <w:trHeight w:val="169"/>
        </w:trPr>
        <w:tc>
          <w:tcPr>
            <w:tcW w:w="7440" w:type="dxa"/>
            <w:vAlign w:val="bottom"/>
            <w:tcBorders>
              <w:top w:val="single" w:sz="8" w:color="auto"/>
            </w:tcBorders>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Professional Services</w:t>
            </w:r>
          </w:p>
        </w:tc>
        <w:tc>
          <w:tcPr>
            <w:tcW w:w="180" w:type="dxa"/>
            <w:vAlign w:val="bottom"/>
            <w:shd w:val="clear" w:color="auto" w:fill="CCECFF"/>
          </w:tcPr>
          <w:p>
            <w:pPr>
              <w:spacing w:after="0"/>
              <w:rPr>
                <w:sz w:val="14"/>
                <w:szCs w:val="14"/>
                <w:color w:val="auto"/>
              </w:rPr>
            </w:pPr>
          </w:p>
        </w:tc>
        <w:tc>
          <w:tcPr>
            <w:tcW w:w="15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360" w:type="dxa"/>
            <w:vAlign w:val="bottom"/>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Media</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3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80" w:type="dxa"/>
            <w:vAlign w:val="bottom"/>
          </w:tcPr>
          <w:p>
            <w:pPr>
              <w:spacing w:after="0"/>
              <w:rPr>
                <w:sz w:val="15"/>
                <w:szCs w:val="15"/>
                <w:color w:val="auto"/>
              </w:rPr>
            </w:pPr>
          </w:p>
        </w:tc>
      </w:tr>
      <w:tr>
        <w:trPr>
          <w:trHeight w:val="175"/>
        </w:trPr>
        <w:tc>
          <w:tcPr>
            <w:tcW w:w="74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Personal Products</w:t>
            </w:r>
          </w:p>
        </w:tc>
        <w:tc>
          <w:tcPr>
            <w:tcW w:w="16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360" w:type="dxa"/>
            <w:vAlign w:val="bottom"/>
            <w:shd w:val="clear" w:color="auto" w:fill="CCECFF"/>
          </w:tcPr>
          <w:p>
            <w:pPr>
              <w:spacing w:after="0"/>
              <w:rPr>
                <w:sz w:val="15"/>
                <w:szCs w:val="15"/>
                <w:color w:val="auto"/>
              </w:rPr>
            </w:pPr>
          </w:p>
        </w:tc>
        <w:tc>
          <w:tcPr>
            <w:tcW w:w="1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80" w:type="dxa"/>
            <w:vAlign w:val="bottom"/>
            <w:shd w:val="clear" w:color="auto" w:fill="CCECFF"/>
          </w:tcPr>
          <w:p>
            <w:pPr>
              <w:spacing w:after="0"/>
              <w:rPr>
                <w:sz w:val="15"/>
                <w:szCs w:val="15"/>
                <w:color w:val="auto"/>
              </w:rPr>
            </w:pPr>
          </w:p>
        </w:tc>
      </w:tr>
      <w:tr>
        <w:trPr>
          <w:trHeight w:val="176"/>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High Tech Industries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80" w:type="dxa"/>
            <w:vAlign w:val="bottom"/>
          </w:tcPr>
          <w:p>
            <w:pPr>
              <w:spacing w:after="0"/>
              <w:rPr>
                <w:sz w:val="15"/>
                <w:szCs w:val="15"/>
                <w:color w:val="auto"/>
              </w:rPr>
            </w:pPr>
          </w:p>
        </w:tc>
      </w:tr>
      <w:tr>
        <w:trPr>
          <w:trHeight w:val="176"/>
        </w:trPr>
        <w:tc>
          <w:tcPr>
            <w:tcW w:w="74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IT Services</w:t>
            </w:r>
          </w:p>
        </w:tc>
        <w:tc>
          <w:tcPr>
            <w:tcW w:w="16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60" w:type="dxa"/>
            <w:vAlign w:val="bottom"/>
            <w:shd w:val="clear" w:color="auto" w:fill="CCECFF"/>
          </w:tcPr>
          <w:p>
            <w:pPr>
              <w:spacing w:after="0"/>
              <w:rPr>
                <w:sz w:val="15"/>
                <w:szCs w:val="15"/>
                <w:color w:val="auto"/>
              </w:rPr>
            </w:pPr>
          </w:p>
        </w:tc>
        <w:tc>
          <w:tcPr>
            <w:tcW w:w="1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shd w:val="clear" w:color="auto" w:fill="CCECFF"/>
          </w:tcPr>
          <w:p>
            <w:pPr>
              <w:spacing w:after="0"/>
              <w:rPr>
                <w:sz w:val="15"/>
                <w:szCs w:val="15"/>
                <w:color w:val="auto"/>
              </w:rPr>
            </w:pPr>
          </w:p>
        </w:tc>
      </w:tr>
      <w:tr>
        <w:trPr>
          <w:trHeight w:val="175"/>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Aerospace and Defense</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80" w:type="dxa"/>
            <w:vAlign w:val="bottom"/>
          </w:tcPr>
          <w:p>
            <w:pPr>
              <w:spacing w:after="0"/>
              <w:rPr>
                <w:sz w:val="15"/>
                <w:szCs w:val="15"/>
                <w:color w:val="auto"/>
              </w:rPr>
            </w:pPr>
          </w:p>
        </w:tc>
      </w:tr>
      <w:tr>
        <w:trPr>
          <w:trHeight w:val="176"/>
        </w:trPr>
        <w:tc>
          <w:tcPr>
            <w:tcW w:w="74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Capital Equipment</w:t>
            </w:r>
          </w:p>
        </w:tc>
        <w:tc>
          <w:tcPr>
            <w:tcW w:w="16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60" w:type="dxa"/>
            <w:vAlign w:val="bottom"/>
            <w:shd w:val="clear" w:color="auto" w:fill="CCECFF"/>
          </w:tcPr>
          <w:p>
            <w:pPr>
              <w:spacing w:after="0"/>
              <w:rPr>
                <w:sz w:val="15"/>
                <w:szCs w:val="15"/>
                <w:color w:val="auto"/>
              </w:rPr>
            </w:pPr>
          </w:p>
        </w:tc>
        <w:tc>
          <w:tcPr>
            <w:tcW w:w="1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shd w:val="clear" w:color="auto" w:fill="CCECFF"/>
          </w:tcPr>
          <w:p>
            <w:pPr>
              <w:spacing w:after="0"/>
              <w:rPr>
                <w:sz w:val="15"/>
                <w:szCs w:val="15"/>
                <w:color w:val="auto"/>
              </w:rPr>
            </w:pPr>
          </w:p>
        </w:tc>
      </w:tr>
      <w:tr>
        <w:trPr>
          <w:trHeight w:val="175"/>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Commercial Services &amp; Supplies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tcPr>
          <w:p>
            <w:pPr>
              <w:spacing w:after="0"/>
              <w:rPr>
                <w:sz w:val="15"/>
                <w:szCs w:val="15"/>
                <w:color w:val="auto"/>
              </w:rPr>
            </w:pPr>
          </w:p>
        </w:tc>
      </w:tr>
      <w:tr>
        <w:trPr>
          <w:trHeight w:val="176"/>
        </w:trPr>
        <w:tc>
          <w:tcPr>
            <w:tcW w:w="74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Media: Diversified and Production</w:t>
            </w:r>
          </w:p>
        </w:tc>
        <w:tc>
          <w:tcPr>
            <w:tcW w:w="16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60" w:type="dxa"/>
            <w:vAlign w:val="bottom"/>
            <w:shd w:val="clear" w:color="auto" w:fill="CCECFF"/>
          </w:tcPr>
          <w:p>
            <w:pPr>
              <w:spacing w:after="0"/>
              <w:rPr>
                <w:sz w:val="15"/>
                <w:szCs w:val="15"/>
                <w:color w:val="auto"/>
              </w:rPr>
            </w:pPr>
          </w:p>
        </w:tc>
        <w:tc>
          <w:tcPr>
            <w:tcW w:w="1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shd w:val="clear" w:color="auto" w:fill="CCECFF"/>
          </w:tcPr>
          <w:p>
            <w:pPr>
              <w:spacing w:after="0"/>
              <w:rPr>
                <w:sz w:val="15"/>
                <w:szCs w:val="15"/>
                <w:color w:val="auto"/>
              </w:rPr>
            </w:pPr>
          </w:p>
        </w:tc>
      </w:tr>
      <w:tr>
        <w:trPr>
          <w:trHeight w:val="175"/>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Automobiles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5"/>
                <w:szCs w:val="15"/>
                <w:color w:val="auto"/>
              </w:rPr>
            </w:pPr>
          </w:p>
        </w:tc>
      </w:tr>
      <w:tr>
        <w:trPr>
          <w:trHeight w:val="176"/>
        </w:trPr>
        <w:tc>
          <w:tcPr>
            <w:tcW w:w="74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Business Services</w:t>
            </w:r>
          </w:p>
        </w:tc>
        <w:tc>
          <w:tcPr>
            <w:tcW w:w="16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60" w:type="dxa"/>
            <w:vAlign w:val="bottom"/>
            <w:shd w:val="clear" w:color="auto" w:fill="CCECFF"/>
          </w:tcPr>
          <w:p>
            <w:pPr>
              <w:spacing w:after="0"/>
              <w:rPr>
                <w:sz w:val="15"/>
                <w:szCs w:val="15"/>
                <w:color w:val="auto"/>
              </w:rPr>
            </w:pPr>
          </w:p>
        </w:tc>
        <w:tc>
          <w:tcPr>
            <w:tcW w:w="1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80" w:type="dxa"/>
            <w:vAlign w:val="bottom"/>
            <w:shd w:val="clear" w:color="auto" w:fill="CCECFF"/>
          </w:tcPr>
          <w:p>
            <w:pPr>
              <w:spacing w:after="0"/>
              <w:rPr>
                <w:sz w:val="15"/>
                <w:szCs w:val="15"/>
                <w:color w:val="auto"/>
              </w:rPr>
            </w:pPr>
          </w:p>
        </w:tc>
      </w:tr>
      <w:tr>
        <w:trPr>
          <w:trHeight w:val="176"/>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Construction and Building</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tcPr>
          <w:p>
            <w:pPr>
              <w:spacing w:after="0"/>
              <w:rPr>
                <w:sz w:val="15"/>
                <w:szCs w:val="15"/>
                <w:color w:val="auto"/>
              </w:rPr>
            </w:pPr>
          </w:p>
        </w:tc>
      </w:tr>
      <w:tr>
        <w:trPr>
          <w:trHeight w:val="175"/>
        </w:trPr>
        <w:tc>
          <w:tcPr>
            <w:tcW w:w="74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Diversified Consumer Services</w:t>
            </w:r>
          </w:p>
        </w:tc>
        <w:tc>
          <w:tcPr>
            <w:tcW w:w="16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60" w:type="dxa"/>
            <w:vAlign w:val="bottom"/>
            <w:shd w:val="clear" w:color="auto" w:fill="CCECFF"/>
          </w:tcPr>
          <w:p>
            <w:pPr>
              <w:spacing w:after="0"/>
              <w:rPr>
                <w:sz w:val="15"/>
                <w:szCs w:val="15"/>
                <w:color w:val="auto"/>
              </w:rPr>
            </w:pPr>
          </w:p>
        </w:tc>
        <w:tc>
          <w:tcPr>
            <w:tcW w:w="1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shd w:val="clear" w:color="auto" w:fill="CCECFF"/>
          </w:tcPr>
          <w:p>
            <w:pPr>
              <w:spacing w:after="0"/>
              <w:rPr>
                <w:sz w:val="15"/>
                <w:szCs w:val="15"/>
                <w:color w:val="auto"/>
              </w:rPr>
            </w:pPr>
          </w:p>
        </w:tc>
      </w:tr>
      <w:tr>
        <w:trPr>
          <w:trHeight w:val="176"/>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Electronic Equipment, Instruments, and Components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tcPr>
          <w:p>
            <w:pPr>
              <w:spacing w:after="0"/>
              <w:rPr>
                <w:sz w:val="15"/>
                <w:szCs w:val="15"/>
                <w:color w:val="auto"/>
              </w:rPr>
            </w:pPr>
          </w:p>
        </w:tc>
      </w:tr>
      <w:tr>
        <w:trPr>
          <w:trHeight w:val="175"/>
        </w:trPr>
        <w:tc>
          <w:tcPr>
            <w:tcW w:w="74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Healthcare Technology</w:t>
            </w:r>
          </w:p>
        </w:tc>
        <w:tc>
          <w:tcPr>
            <w:tcW w:w="16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60" w:type="dxa"/>
            <w:vAlign w:val="bottom"/>
            <w:shd w:val="clear" w:color="auto" w:fill="CCECFF"/>
          </w:tcPr>
          <w:p>
            <w:pPr>
              <w:spacing w:after="0"/>
              <w:rPr>
                <w:sz w:val="15"/>
                <w:szCs w:val="15"/>
                <w:color w:val="auto"/>
              </w:rPr>
            </w:pPr>
          </w:p>
        </w:tc>
        <w:tc>
          <w:tcPr>
            <w:tcW w:w="1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80" w:type="dxa"/>
            <w:vAlign w:val="bottom"/>
            <w:shd w:val="clear" w:color="auto" w:fill="CCECFF"/>
          </w:tcPr>
          <w:p>
            <w:pPr>
              <w:spacing w:after="0"/>
              <w:rPr>
                <w:sz w:val="15"/>
                <w:szCs w:val="15"/>
                <w:color w:val="auto"/>
              </w:rPr>
            </w:pPr>
          </w:p>
        </w:tc>
      </w:tr>
      <w:tr>
        <w:trPr>
          <w:trHeight w:val="176"/>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Consumer Services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5"/>
                <w:szCs w:val="15"/>
                <w:color w:val="auto"/>
              </w:rPr>
            </w:pPr>
          </w:p>
        </w:tc>
      </w:tr>
      <w:tr>
        <w:trPr>
          <w:trHeight w:val="176"/>
        </w:trPr>
        <w:tc>
          <w:tcPr>
            <w:tcW w:w="74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Diversified Financial Services</w:t>
            </w:r>
          </w:p>
        </w:tc>
        <w:tc>
          <w:tcPr>
            <w:tcW w:w="16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60" w:type="dxa"/>
            <w:vAlign w:val="bottom"/>
            <w:shd w:val="clear" w:color="auto" w:fill="CCECFF"/>
          </w:tcPr>
          <w:p>
            <w:pPr>
              <w:spacing w:after="0"/>
              <w:rPr>
                <w:sz w:val="15"/>
                <w:szCs w:val="15"/>
                <w:color w:val="auto"/>
              </w:rPr>
            </w:pPr>
          </w:p>
        </w:tc>
        <w:tc>
          <w:tcPr>
            <w:tcW w:w="1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shd w:val="clear" w:color="auto" w:fill="CCECFF"/>
          </w:tcPr>
          <w:p>
            <w:pPr>
              <w:spacing w:after="0"/>
              <w:rPr>
                <w:sz w:val="15"/>
                <w:szCs w:val="15"/>
                <w:color w:val="auto"/>
              </w:rPr>
            </w:pPr>
          </w:p>
        </w:tc>
      </w:tr>
      <w:tr>
        <w:trPr>
          <w:trHeight w:val="175"/>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Healthcare Equipment and Supplies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5"/>
                <w:szCs w:val="15"/>
                <w:color w:val="auto"/>
              </w:rPr>
            </w:pPr>
          </w:p>
        </w:tc>
      </w:tr>
      <w:tr>
        <w:trPr>
          <w:trHeight w:val="176"/>
        </w:trPr>
        <w:tc>
          <w:tcPr>
            <w:tcW w:w="74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Insurance</w:t>
            </w:r>
          </w:p>
        </w:tc>
        <w:tc>
          <w:tcPr>
            <w:tcW w:w="16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60" w:type="dxa"/>
            <w:vAlign w:val="bottom"/>
            <w:shd w:val="clear" w:color="auto" w:fill="CCECFF"/>
          </w:tcPr>
          <w:p>
            <w:pPr>
              <w:spacing w:after="0"/>
              <w:rPr>
                <w:sz w:val="15"/>
                <w:szCs w:val="15"/>
                <w:color w:val="auto"/>
              </w:rPr>
            </w:pPr>
          </w:p>
        </w:tc>
        <w:tc>
          <w:tcPr>
            <w:tcW w:w="1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CFF"/>
          </w:tcPr>
          <w:p>
            <w:pPr>
              <w:spacing w:after="0"/>
              <w:rPr>
                <w:sz w:val="15"/>
                <w:szCs w:val="15"/>
                <w:color w:val="auto"/>
              </w:rPr>
            </w:pPr>
          </w:p>
        </w:tc>
      </w:tr>
      <w:tr>
        <w:trPr>
          <w:trHeight w:val="175"/>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Media: Broadcasting and Subscription</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5"/>
                <w:szCs w:val="15"/>
                <w:color w:val="auto"/>
              </w:rPr>
            </w:pPr>
          </w:p>
        </w:tc>
      </w:tr>
      <w:tr>
        <w:trPr>
          <w:trHeight w:val="176"/>
        </w:trPr>
        <w:tc>
          <w:tcPr>
            <w:tcW w:w="74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Air Freight and Logistics</w:t>
            </w:r>
          </w:p>
        </w:tc>
        <w:tc>
          <w:tcPr>
            <w:tcW w:w="16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60" w:type="dxa"/>
            <w:vAlign w:val="bottom"/>
            <w:shd w:val="clear" w:color="auto" w:fill="CCECFF"/>
          </w:tcPr>
          <w:p>
            <w:pPr>
              <w:spacing w:after="0"/>
              <w:rPr>
                <w:sz w:val="15"/>
                <w:szCs w:val="15"/>
                <w:color w:val="auto"/>
              </w:rPr>
            </w:pPr>
          </w:p>
        </w:tc>
        <w:tc>
          <w:tcPr>
            <w:tcW w:w="1760" w:type="dxa"/>
            <w:vAlign w:val="bottom"/>
            <w:gridSpan w:val="2"/>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Banking, Finance, Insurance &amp; Real Estate</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5"/>
                <w:szCs w:val="15"/>
                <w:color w:val="auto"/>
              </w:rPr>
            </w:pPr>
          </w:p>
        </w:tc>
      </w:tr>
      <w:tr>
        <w:trPr>
          <w:trHeight w:val="176"/>
        </w:trPr>
        <w:tc>
          <w:tcPr>
            <w:tcW w:w="74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Building Products</w:t>
            </w:r>
          </w:p>
        </w:tc>
        <w:tc>
          <w:tcPr>
            <w:tcW w:w="16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60" w:type="dxa"/>
            <w:vAlign w:val="bottom"/>
            <w:shd w:val="clear" w:color="auto" w:fill="CCECFF"/>
          </w:tcPr>
          <w:p>
            <w:pPr>
              <w:spacing w:after="0"/>
              <w:rPr>
                <w:sz w:val="15"/>
                <w:szCs w:val="15"/>
                <w:color w:val="auto"/>
              </w:rPr>
            </w:pPr>
          </w:p>
        </w:tc>
        <w:tc>
          <w:tcPr>
            <w:tcW w:w="1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CFF"/>
          </w:tcPr>
          <w:p>
            <w:pPr>
              <w:spacing w:after="0"/>
              <w:rPr>
                <w:sz w:val="15"/>
                <w:szCs w:val="15"/>
                <w:color w:val="auto"/>
              </w:rPr>
            </w:pPr>
          </w:p>
        </w:tc>
      </w:tr>
      <w:tr>
        <w:trPr>
          <w:trHeight w:val="176"/>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Chemicals, Plastics and Rubber</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5"/>
                <w:szCs w:val="15"/>
                <w:color w:val="auto"/>
              </w:rPr>
            </w:pPr>
          </w:p>
        </w:tc>
      </w:tr>
      <w:tr>
        <w:trPr>
          <w:trHeight w:val="175"/>
        </w:trPr>
        <w:tc>
          <w:tcPr>
            <w:tcW w:w="74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Construction &amp; Engineering</w:t>
            </w:r>
          </w:p>
        </w:tc>
        <w:tc>
          <w:tcPr>
            <w:tcW w:w="16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60" w:type="dxa"/>
            <w:vAlign w:val="bottom"/>
            <w:shd w:val="clear" w:color="auto" w:fill="CCECFF"/>
          </w:tcPr>
          <w:p>
            <w:pPr>
              <w:spacing w:after="0"/>
              <w:rPr>
                <w:sz w:val="15"/>
                <w:szCs w:val="15"/>
                <w:color w:val="auto"/>
              </w:rPr>
            </w:pPr>
          </w:p>
        </w:tc>
        <w:tc>
          <w:tcPr>
            <w:tcW w:w="1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CFF"/>
          </w:tcPr>
          <w:p>
            <w:pPr>
              <w:spacing w:after="0"/>
              <w:rPr>
                <w:sz w:val="15"/>
                <w:szCs w:val="15"/>
                <w:color w:val="auto"/>
              </w:rPr>
            </w:pPr>
          </w:p>
        </w:tc>
      </w:tr>
      <w:tr>
        <w:trPr>
          <w:trHeight w:val="176"/>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Consumer Finance</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60" w:type="dxa"/>
            <w:vAlign w:val="bottom"/>
          </w:tcPr>
          <w:p>
            <w:pPr>
              <w:spacing w:after="0"/>
              <w:rPr>
                <w:sz w:val="15"/>
                <w:szCs w:val="15"/>
                <w:color w:val="auto"/>
              </w:rPr>
            </w:pPr>
          </w:p>
        </w:tc>
        <w:tc>
          <w:tcPr>
            <w:tcW w:w="17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4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Energy Equipment and Services</w:t>
            </w:r>
          </w:p>
        </w:tc>
        <w:tc>
          <w:tcPr>
            <w:tcW w:w="16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60" w:type="dxa"/>
            <w:vAlign w:val="bottom"/>
            <w:shd w:val="clear" w:color="auto" w:fill="CCECFF"/>
          </w:tcPr>
          <w:p>
            <w:pPr>
              <w:spacing w:after="0"/>
              <w:rPr>
                <w:sz w:val="15"/>
                <w:szCs w:val="15"/>
                <w:color w:val="auto"/>
              </w:rPr>
            </w:pPr>
          </w:p>
        </w:tc>
        <w:tc>
          <w:tcPr>
            <w:tcW w:w="1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CFF"/>
          </w:tcPr>
          <w:p>
            <w:pPr>
              <w:spacing w:after="0"/>
              <w:rPr>
                <w:sz w:val="15"/>
                <w:szCs w:val="15"/>
                <w:color w:val="auto"/>
              </w:rPr>
            </w:pPr>
          </w:p>
        </w:tc>
      </w:tr>
      <w:tr>
        <w:trPr>
          <w:trHeight w:val="176"/>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Financial Services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5"/>
                <w:szCs w:val="15"/>
                <w:color w:val="auto"/>
              </w:rPr>
            </w:pPr>
          </w:p>
        </w:tc>
      </w:tr>
      <w:tr>
        <w:trPr>
          <w:trHeight w:val="175"/>
        </w:trPr>
        <w:tc>
          <w:tcPr>
            <w:tcW w:w="74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Food Products</w:t>
            </w:r>
          </w:p>
        </w:tc>
        <w:tc>
          <w:tcPr>
            <w:tcW w:w="16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60" w:type="dxa"/>
            <w:vAlign w:val="bottom"/>
            <w:shd w:val="clear" w:color="auto" w:fill="CCECFF"/>
          </w:tcPr>
          <w:p>
            <w:pPr>
              <w:spacing w:after="0"/>
              <w:rPr>
                <w:sz w:val="15"/>
                <w:szCs w:val="15"/>
                <w:color w:val="auto"/>
              </w:rPr>
            </w:pPr>
          </w:p>
        </w:tc>
        <w:tc>
          <w:tcPr>
            <w:tcW w:w="1760" w:type="dxa"/>
            <w:vAlign w:val="bottom"/>
            <w:gridSpan w:val="2"/>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Healthcare and Pharmaceuticals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60" w:type="dxa"/>
            <w:vAlign w:val="bottom"/>
          </w:tcPr>
          <w:p>
            <w:pPr>
              <w:spacing w:after="0"/>
              <w:rPr>
                <w:sz w:val="15"/>
                <w:szCs w:val="15"/>
                <w:color w:val="auto"/>
              </w:rPr>
            </w:pPr>
          </w:p>
        </w:tc>
        <w:tc>
          <w:tcPr>
            <w:tcW w:w="17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4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Healthcare Providers and Services</w:t>
            </w:r>
          </w:p>
        </w:tc>
        <w:tc>
          <w:tcPr>
            <w:tcW w:w="16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60" w:type="dxa"/>
            <w:vAlign w:val="bottom"/>
            <w:shd w:val="clear" w:color="auto" w:fill="CCECFF"/>
          </w:tcPr>
          <w:p>
            <w:pPr>
              <w:spacing w:after="0"/>
              <w:rPr>
                <w:sz w:val="15"/>
                <w:szCs w:val="15"/>
                <w:color w:val="auto"/>
              </w:rPr>
            </w:pPr>
          </w:p>
        </w:tc>
        <w:tc>
          <w:tcPr>
            <w:tcW w:w="1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CFF"/>
          </w:tcPr>
          <w:p>
            <w:pPr>
              <w:spacing w:after="0"/>
              <w:rPr>
                <w:sz w:val="15"/>
                <w:szCs w:val="15"/>
                <w:color w:val="auto"/>
              </w:rPr>
            </w:pPr>
          </w:p>
        </w:tc>
      </w:tr>
      <w:tr>
        <w:trPr>
          <w:trHeight w:val="176"/>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Hotels, Restaurants and Leisure</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5"/>
                <w:szCs w:val="15"/>
                <w:color w:val="auto"/>
              </w:rPr>
            </w:pPr>
          </w:p>
        </w:tc>
      </w:tr>
      <w:tr>
        <w:trPr>
          <w:trHeight w:val="175"/>
        </w:trPr>
        <w:tc>
          <w:tcPr>
            <w:tcW w:w="74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Leisure Products</w:t>
            </w:r>
          </w:p>
        </w:tc>
        <w:tc>
          <w:tcPr>
            <w:tcW w:w="16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60" w:type="dxa"/>
            <w:vAlign w:val="bottom"/>
            <w:shd w:val="clear" w:color="auto" w:fill="CCECFF"/>
          </w:tcPr>
          <w:p>
            <w:pPr>
              <w:spacing w:after="0"/>
              <w:rPr>
                <w:sz w:val="15"/>
                <w:szCs w:val="15"/>
                <w:color w:val="auto"/>
              </w:rPr>
            </w:pPr>
          </w:p>
        </w:tc>
        <w:tc>
          <w:tcPr>
            <w:tcW w:w="1760" w:type="dxa"/>
            <w:vAlign w:val="bottom"/>
            <w:gridSpan w:val="2"/>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Software</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60" w:type="dxa"/>
            <w:vAlign w:val="bottom"/>
          </w:tcPr>
          <w:p>
            <w:pPr>
              <w:spacing w:after="0"/>
              <w:rPr>
                <w:sz w:val="15"/>
                <w:szCs w:val="15"/>
                <w:color w:val="auto"/>
              </w:rPr>
            </w:pPr>
          </w:p>
        </w:tc>
        <w:tc>
          <w:tcPr>
            <w:tcW w:w="17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4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Textiles, Apparel and Luxury Goods</w:t>
            </w:r>
          </w:p>
        </w:tc>
        <w:tc>
          <w:tcPr>
            <w:tcW w:w="16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60" w:type="dxa"/>
            <w:vAlign w:val="bottom"/>
            <w:shd w:val="clear" w:color="auto" w:fill="CCECFF"/>
          </w:tcPr>
          <w:p>
            <w:pPr>
              <w:spacing w:after="0"/>
              <w:rPr>
                <w:sz w:val="15"/>
                <w:szCs w:val="15"/>
                <w:color w:val="auto"/>
              </w:rPr>
            </w:pPr>
          </w:p>
        </w:tc>
        <w:tc>
          <w:tcPr>
            <w:tcW w:w="1760" w:type="dxa"/>
            <w:vAlign w:val="bottom"/>
            <w:gridSpan w:val="2"/>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Wholesale</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5"/>
                <w:szCs w:val="15"/>
                <w:color w:val="auto"/>
              </w:rPr>
            </w:pPr>
          </w:p>
        </w:tc>
      </w:tr>
      <w:tr>
        <w:trPr>
          <w:trHeight w:val="175"/>
        </w:trPr>
        <w:tc>
          <w:tcPr>
            <w:tcW w:w="74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Healthcare and Pharmaceuticals</w:t>
            </w:r>
          </w:p>
        </w:tc>
        <w:tc>
          <w:tcPr>
            <w:tcW w:w="180" w:type="dxa"/>
            <w:vAlign w:val="bottom"/>
            <w:shd w:val="clear" w:color="auto" w:fill="CCECFF"/>
          </w:tcPr>
          <w:p>
            <w:pPr>
              <w:spacing w:after="0"/>
              <w:rPr>
                <w:sz w:val="15"/>
                <w:szCs w:val="15"/>
                <w:color w:val="auto"/>
              </w:rPr>
            </w:pPr>
          </w:p>
        </w:tc>
        <w:tc>
          <w:tcPr>
            <w:tcW w:w="1860" w:type="dxa"/>
            <w:vAlign w:val="bottom"/>
            <w:gridSpan w:val="2"/>
            <w:shd w:val="clear" w:color="auto" w:fill="CCEC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gridSpan w:val="2"/>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Hotel, Gaming and Leisure</w:t>
            </w:r>
          </w:p>
        </w:tc>
        <w:tc>
          <w:tcPr>
            <w:tcW w:w="180" w:type="dxa"/>
            <w:vAlign w:val="bottom"/>
          </w:tcPr>
          <w:p>
            <w:pPr>
              <w:spacing w:after="0"/>
              <w:rPr>
                <w:sz w:val="15"/>
                <w:szCs w:val="15"/>
                <w:color w:val="auto"/>
              </w:rPr>
            </w:pPr>
          </w:p>
        </w:tc>
        <w:tc>
          <w:tcPr>
            <w:tcW w:w="186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5"/>
                <w:szCs w:val="15"/>
                <w:color w:val="auto"/>
              </w:rPr>
            </w:pPr>
          </w:p>
        </w:tc>
      </w:tr>
      <w:tr>
        <w:trPr>
          <w:trHeight w:val="175"/>
        </w:trPr>
        <w:tc>
          <w:tcPr>
            <w:tcW w:w="74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Media: Advertising, Printing and Publishing</w:t>
            </w:r>
          </w:p>
        </w:tc>
        <w:tc>
          <w:tcPr>
            <w:tcW w:w="180" w:type="dxa"/>
            <w:vAlign w:val="bottom"/>
            <w:shd w:val="clear" w:color="auto" w:fill="CCECFF"/>
          </w:tcPr>
          <w:p>
            <w:pPr>
              <w:spacing w:after="0"/>
              <w:rPr>
                <w:sz w:val="15"/>
                <w:szCs w:val="15"/>
                <w:color w:val="auto"/>
              </w:rPr>
            </w:pPr>
          </w:p>
        </w:tc>
        <w:tc>
          <w:tcPr>
            <w:tcW w:w="1860" w:type="dxa"/>
            <w:vAlign w:val="bottom"/>
            <w:gridSpan w:val="2"/>
            <w:shd w:val="clear" w:color="auto" w:fill="CCEC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shd w:val="clear" w:color="auto" w:fill="CCECFF"/>
          </w:tcPr>
          <w:p>
            <w:pPr>
              <w:spacing w:after="0"/>
              <w:rPr>
                <w:sz w:val="15"/>
                <w:szCs w:val="15"/>
                <w:color w:val="auto"/>
              </w:rPr>
            </w:pPr>
          </w:p>
        </w:tc>
      </w:tr>
      <w:tr>
        <w:trPr>
          <w:trHeight w:val="175"/>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All Other</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80" w:type="dxa"/>
            <w:vAlign w:val="bottom"/>
          </w:tcPr>
          <w:p>
            <w:pPr>
              <w:spacing w:after="0"/>
              <w:rPr>
                <w:sz w:val="15"/>
                <w:szCs w:val="15"/>
                <w:color w:val="auto"/>
              </w:rPr>
            </w:pPr>
          </w:p>
        </w:tc>
      </w:tr>
      <w:tr>
        <w:trPr>
          <w:trHeight w:val="209"/>
        </w:trPr>
        <w:tc>
          <w:tcPr>
            <w:tcW w:w="3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360" w:type="dxa"/>
            <w:vAlign w:val="bottom"/>
            <w:tcBorders>
              <w:bottom w:val="single" w:sz="8" w:color="CCECFF"/>
            </w:tcBorders>
            <w:shd w:val="clear" w:color="auto" w:fill="CCECFF"/>
          </w:tcPr>
          <w:p>
            <w:pPr>
              <w:spacing w:after="0"/>
              <w:rPr>
                <w:sz w:val="18"/>
                <w:szCs w:val="18"/>
                <w:color w:val="auto"/>
              </w:rPr>
            </w:pPr>
          </w:p>
        </w:tc>
        <w:tc>
          <w:tcPr>
            <w:tcW w:w="4740" w:type="dxa"/>
            <w:vAlign w:val="bottom"/>
            <w:tcBorders>
              <w:bottom w:val="single" w:sz="8" w:color="CCECFF"/>
            </w:tcBorders>
            <w:shd w:val="clear" w:color="auto" w:fill="CCECFF"/>
          </w:tcPr>
          <w:p>
            <w:pPr>
              <w:spacing w:after="0"/>
              <w:rPr>
                <w:sz w:val="18"/>
                <w:szCs w:val="18"/>
                <w:color w:val="auto"/>
              </w:rPr>
            </w:pPr>
          </w:p>
        </w:tc>
        <w:tc>
          <w:tcPr>
            <w:tcW w:w="180" w:type="dxa"/>
            <w:vAlign w:val="bottom"/>
            <w:tcBorders>
              <w:bottom w:val="single" w:sz="8" w:color="CCECFF"/>
            </w:tcBorders>
            <w:shd w:val="clear" w:color="auto" w:fill="CCECFF"/>
          </w:tcPr>
          <w:p>
            <w:pPr>
              <w:spacing w:after="0"/>
              <w:rPr>
                <w:sz w:val="18"/>
                <w:szCs w:val="18"/>
                <w:color w:val="auto"/>
              </w:rPr>
            </w:pPr>
          </w:p>
        </w:tc>
        <w:tc>
          <w:tcPr>
            <w:tcW w:w="15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360" w:type="dxa"/>
            <w:vAlign w:val="bottom"/>
            <w:tcBorders>
              <w:bottom w:val="single" w:sz="8" w:color="CCECFF"/>
            </w:tcBorders>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3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tcPr>
          <w:p>
            <w:pPr>
              <w:spacing w:after="0"/>
              <w:rPr>
                <w:sz w:val="14"/>
                <w:szCs w:val="14"/>
                <w:color w:val="auto"/>
              </w:rPr>
            </w:pPr>
          </w:p>
        </w:tc>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86"/>
        </w:trPr>
        <w:tc>
          <w:tcPr>
            <w:tcW w:w="340" w:type="dxa"/>
            <w:vAlign w:val="bottom"/>
          </w:tcPr>
          <w:p>
            <w:pPr>
              <w:spacing w:after="0"/>
              <w:rPr>
                <w:sz w:val="20"/>
                <w:szCs w:val="20"/>
                <w:color w:val="auto"/>
              </w:rPr>
            </w:pPr>
            <w:r>
              <w:rPr>
                <w:rFonts w:ascii="Times New Roman" w:cs="Times New Roman" w:eastAsia="Times New Roman" w:hAnsi="Times New Roman"/>
                <w:sz w:val="10"/>
                <w:szCs w:val="10"/>
                <w:color w:val="auto"/>
              </w:rPr>
              <w:t>(1)</w:t>
            </w:r>
          </w:p>
        </w:tc>
        <w:tc>
          <w:tcPr>
            <w:tcW w:w="71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Excludes investments in PSSL.</w:t>
            </w: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-275590</wp:posOffset>
            </wp:positionV>
            <wp:extent cx="12001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-259080</wp:posOffset>
            </wp:positionV>
            <wp:extent cx="12001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-275590</wp:posOffset>
            </wp:positionV>
            <wp:extent cx="11176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-259080</wp:posOffset>
            </wp:positionV>
            <wp:extent cx="11176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PennantPark Senior Secured Loan Find I LLC</w:t>
      </w:r>
    </w:p>
    <w:p>
      <w:pPr>
        <w:spacing w:after="0" w:line="165" w:lineRule="exact"/>
        <w:rPr>
          <w:sz w:val="20"/>
          <w:szCs w:val="20"/>
          <w:color w:val="auto"/>
        </w:rPr>
      </w:pPr>
    </w:p>
    <w:p>
      <w:pPr>
        <w:ind w:right="140" w:firstLine="449"/>
        <w:spacing w:after="0" w:line="253" w:lineRule="auto"/>
        <w:rPr>
          <w:sz w:val="20"/>
          <w:szCs w:val="20"/>
          <w:color w:val="auto"/>
        </w:rPr>
      </w:pPr>
      <w:r>
        <w:rPr>
          <w:rFonts w:ascii="Times New Roman" w:cs="Times New Roman" w:eastAsia="Times New Roman" w:hAnsi="Times New Roman"/>
          <w:sz w:val="14"/>
          <w:szCs w:val="14"/>
          <w:color w:val="auto"/>
        </w:rPr>
        <w:t>In May 2017, we and Kemper formed PSSL, an unconsolidated joint venture. PSSL invests primarily in middle-market and other corporate debt securities consistent with our strategy. PSSL was formed as a Delaware limited liability company. As of March 31, 2022 and September 30, 2021, PSSL had total assets of $729.0 million and $603.6 million, respectively. As of the same dates, we and Kemper had remaining commitments to fund first lien secured debt and equity interests in PSSL in an aggregate amount of $56.9 and $8.1million, respectively. As of March 31, 2022, at fair value, the largest investment in a single portfolio company in PSSL was $19.2 million and the five largest investments totaled $86.2 million. As of September 30, 2021, at fair value, the largest investment in a single portfolio company in PSSL was $18.9 million and the five largest investments totaled $83.9 million. PSSL invests in portfolio companies in the same industries in which we may directly invest.</w:t>
      </w:r>
    </w:p>
    <w:p>
      <w:pPr>
        <w:spacing w:after="0" w:line="143" w:lineRule="exact"/>
        <w:rPr>
          <w:sz w:val="20"/>
          <w:szCs w:val="20"/>
          <w:color w:val="auto"/>
        </w:rPr>
      </w:pPr>
    </w:p>
    <w:p>
      <w:pPr>
        <w:ind w:right="140" w:firstLine="449"/>
        <w:spacing w:after="0" w:line="261" w:lineRule="auto"/>
        <w:rPr>
          <w:sz w:val="20"/>
          <w:szCs w:val="20"/>
          <w:color w:val="auto"/>
        </w:rPr>
      </w:pPr>
      <w:r>
        <w:rPr>
          <w:rFonts w:ascii="Times New Roman" w:cs="Times New Roman" w:eastAsia="Times New Roman" w:hAnsi="Times New Roman"/>
          <w:sz w:val="14"/>
          <w:szCs w:val="14"/>
          <w:color w:val="auto"/>
        </w:rPr>
        <w:t>We provide capital to PSSL in the form of first lien secured debt and equity interests. As of March 31, 2022 and September 30, 2021, we and Kemper owned 87.5% and 12.5%, respectively, of each of the outstanding first lien secured debt and equity interests. As of the same dates, our investment in PSSL consisted of first lien secured debt of $170.3 million (additional $39.8 million unfunded) and $140.9 million (additional $29.4 million unfunded), respectively, and equity interests of $73.0 million (additional $17.1 million unfunded) and $60.4 million (additional $12.6 million unfunded), respectively.</w:t>
      </w:r>
    </w:p>
    <w:p>
      <w:pPr>
        <w:spacing w:after="0" w:line="123" w:lineRule="exact"/>
        <w:rPr>
          <w:sz w:val="20"/>
          <w:szCs w:val="20"/>
          <w:color w:val="auto"/>
        </w:rPr>
      </w:pPr>
    </w:p>
    <w:p>
      <w:pPr>
        <w:ind w:right="100" w:firstLine="449"/>
        <w:spacing w:after="0" w:line="253" w:lineRule="auto"/>
        <w:rPr>
          <w:sz w:val="20"/>
          <w:szCs w:val="20"/>
          <w:color w:val="auto"/>
        </w:rPr>
      </w:pPr>
      <w:r>
        <w:rPr>
          <w:rFonts w:ascii="Times New Roman" w:cs="Times New Roman" w:eastAsia="Times New Roman" w:hAnsi="Times New Roman"/>
          <w:sz w:val="14"/>
          <w:szCs w:val="14"/>
          <w:color w:val="auto"/>
        </w:rPr>
        <w:t>We and Kemper each appointed two members to PSSL’s four-person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47" w:lineRule="exact"/>
        <w:rPr>
          <w:sz w:val="20"/>
          <w:szCs w:val="20"/>
          <w:color w:val="auto"/>
        </w:rPr>
      </w:pPr>
    </w:p>
    <w:p>
      <w:pPr>
        <w:ind w:right="380" w:firstLine="449"/>
        <w:spacing w:after="0" w:line="271" w:lineRule="auto"/>
        <w:rPr>
          <w:sz w:val="20"/>
          <w:szCs w:val="20"/>
          <w:color w:val="auto"/>
        </w:rPr>
      </w:pPr>
      <w:r>
        <w:rPr>
          <w:rFonts w:ascii="Times New Roman" w:cs="Times New Roman" w:eastAsia="Times New Roman" w:hAnsi="Times New Roman"/>
          <w:sz w:val="14"/>
          <w:szCs w:val="14"/>
          <w:color w:val="auto"/>
        </w:rPr>
        <w:t>Additionally, PSSL has entered into a $225.0 million (increased from $155.0 million in October 2021) senior secured revolving credit facility which bears interest at LIBOR (or an alternative risk-free floating interest rate index) plus 250 basis points, or the PSSL Credit Facility 2, with Ally Bank through its wholly-owned subsidiary, PennantPark Senior Secured Loan Facility LLC II, or PSSL Subsidiary II, subject to leverage and borrowing base restrictions.</w:t>
      </w:r>
    </w:p>
    <w:p>
      <w:pPr>
        <w:spacing w:after="0" w:line="116"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4"/>
          <w:szCs w:val="14"/>
          <w:color w:val="auto"/>
        </w:rPr>
        <w:t>In January 2021, PSSL completed a $300.7 million debt securitization in the form of a collateralized loan obligation, or the “2032 Asset-Backed Debt”. The 2032 Asset-Backed Debt is secured by a diversified portfolio of PennantPark CLO II, Ltd., a wholly-owned and consolidated subsidiary of PSSL, consisting primarily of middle market loans and participation interests in middle market loans. The 2032 Asset-Backed Debt is scheduled to mature in January 2032. On the closing date of the transaction, in consideration of PSSL’s transfer to PennantPark CLO II, Ltd. of the initial closing date loan portfolio, which included loans distributed to PSSL by certain of its wholly owned subsidiaries and us, PennantPark CLO II, Ltd. transferred to PSSL 100% of the Preferred Shares of PennantPark CLO II, Ltd. and 100% of the Class E Notes issued by PennantPark CLO II, Ltd.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Below is a summary of PSSL’s portfolio at fair value:</w:t>
            </w:r>
          </w:p>
        </w:tc>
        <w:tc>
          <w:tcPr>
            <w:tcW w:w="3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334"/>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20" w:type="dxa"/>
            <w:vAlign w:val="bottom"/>
          </w:tcPr>
          <w:p>
            <w:pPr>
              <w:spacing w:after="0"/>
              <w:rPr>
                <w:sz w:val="24"/>
                <w:szCs w:val="24"/>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30, 2021</w:t>
            </w:r>
          </w:p>
        </w:tc>
      </w:tr>
      <w:tr>
        <w:trPr>
          <w:trHeight w:val="169"/>
        </w:trPr>
        <w:tc>
          <w:tcPr>
            <w:tcW w:w="4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Total investments</w:t>
            </w:r>
          </w:p>
        </w:tc>
        <w:tc>
          <w:tcPr>
            <w:tcW w:w="3100" w:type="dxa"/>
            <w:vAlign w:val="bottom"/>
            <w:shd w:val="clear" w:color="auto" w:fill="CCECFF"/>
          </w:tcPr>
          <w:p>
            <w:pPr>
              <w:spacing w:after="0"/>
              <w:rPr>
                <w:sz w:val="14"/>
                <w:szCs w:val="14"/>
                <w:color w:val="auto"/>
              </w:rPr>
            </w:pPr>
          </w:p>
        </w:tc>
        <w:tc>
          <w:tcPr>
            <w:tcW w:w="200" w:type="dxa"/>
            <w:vAlign w:val="bottom"/>
            <w:tcBorders>
              <w:top w:val="single" w:sz="8" w:color="auto"/>
            </w:tcBorders>
            <w:shd w:val="clear" w:color="auto" w:fill="CCEC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704,958</w:t>
            </w:r>
          </w:p>
        </w:tc>
        <w:tc>
          <w:tcPr>
            <w:tcW w:w="34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564,783</w:t>
            </w:r>
          </w:p>
        </w:tc>
        <w:tc>
          <w:tcPr>
            <w:tcW w:w="180" w:type="dxa"/>
            <w:vAlign w:val="bottom"/>
            <w:shd w:val="clear" w:color="auto" w:fill="CCECFF"/>
          </w:tcPr>
          <w:p>
            <w:pPr>
              <w:spacing w:after="0"/>
              <w:rPr>
                <w:sz w:val="14"/>
                <w:szCs w:val="14"/>
                <w:color w:val="auto"/>
              </w:rPr>
            </w:pPr>
          </w:p>
        </w:tc>
      </w:tr>
      <w:tr>
        <w:trPr>
          <w:trHeight w:val="175"/>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cost yield on income producing investments</w:t>
            </w: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7.3 %</w:t>
            </w:r>
          </w:p>
        </w:tc>
        <w:tc>
          <w:tcPr>
            <w:tcW w:w="120" w:type="dxa"/>
            <w:vAlign w:val="bottom"/>
          </w:tcPr>
          <w:p>
            <w:pPr>
              <w:spacing w:after="0"/>
              <w:rPr>
                <w:sz w:val="15"/>
                <w:szCs w:val="15"/>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7.1 %</w:t>
            </w:r>
          </w:p>
        </w:tc>
      </w:tr>
      <w:tr>
        <w:trPr>
          <w:trHeight w:val="176"/>
        </w:trPr>
        <w:tc>
          <w:tcPr>
            <w:tcW w:w="4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Number of portfolio companies in PSSL</w:t>
            </w:r>
          </w:p>
        </w:tc>
        <w:tc>
          <w:tcPr>
            <w:tcW w:w="310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34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80" w:type="dxa"/>
            <w:vAlign w:val="bottom"/>
            <w:shd w:val="clear" w:color="auto" w:fill="CCECFF"/>
          </w:tcPr>
          <w:p>
            <w:pPr>
              <w:spacing w:after="0"/>
              <w:rPr>
                <w:sz w:val="15"/>
                <w:szCs w:val="15"/>
                <w:color w:val="auto"/>
              </w:rPr>
            </w:pPr>
          </w:p>
        </w:tc>
      </w:tr>
      <w:tr>
        <w:trPr>
          <w:trHeight w:val="175"/>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Largest portfolio company investment</w:t>
            </w:r>
          </w:p>
        </w:tc>
        <w:tc>
          <w:tcPr>
            <w:tcW w:w="33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19,157</w:t>
            </w:r>
          </w:p>
        </w:tc>
        <w:tc>
          <w:tcPr>
            <w:tcW w:w="3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18,933</w:t>
            </w:r>
          </w:p>
        </w:tc>
        <w:tc>
          <w:tcPr>
            <w:tcW w:w="180" w:type="dxa"/>
            <w:vAlign w:val="bottom"/>
          </w:tcPr>
          <w:p>
            <w:pPr>
              <w:spacing w:after="0"/>
              <w:rPr>
                <w:sz w:val="15"/>
                <w:szCs w:val="15"/>
                <w:color w:val="auto"/>
              </w:rPr>
            </w:pPr>
          </w:p>
        </w:tc>
      </w:tr>
      <w:tr>
        <w:trPr>
          <w:trHeight w:val="176"/>
        </w:trPr>
        <w:tc>
          <w:tcPr>
            <w:tcW w:w="4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Total of five largest portfolio company investments</w:t>
            </w:r>
          </w:p>
        </w:tc>
        <w:tc>
          <w:tcPr>
            <w:tcW w:w="3300" w:type="dxa"/>
            <w:vAlign w:val="bottom"/>
            <w:gridSpan w:val="2"/>
            <w:shd w:val="clear" w:color="auto" w:fill="CCEC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86,192</w:t>
            </w:r>
          </w:p>
        </w:tc>
        <w:tc>
          <w:tcPr>
            <w:tcW w:w="340" w:type="dxa"/>
            <w:vAlign w:val="bottom"/>
            <w:shd w:val="clear" w:color="auto" w:fill="CCECFF"/>
          </w:tcPr>
          <w:p>
            <w:pPr>
              <w:spacing w:after="0"/>
              <w:rPr>
                <w:sz w:val="15"/>
                <w:szCs w:val="15"/>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84,287</w:t>
            </w:r>
          </w:p>
        </w:tc>
        <w:tc>
          <w:tcPr>
            <w:tcW w:w="180" w:type="dxa"/>
            <w:vAlign w:val="bottom"/>
            <w:shd w:val="clear" w:color="auto" w:fill="CCECFF"/>
          </w:tcPr>
          <w:p>
            <w:pPr>
              <w:spacing w:after="0"/>
              <w:rPr>
                <w:sz w:val="15"/>
                <w:szCs w:val="15"/>
                <w:color w:val="auto"/>
              </w:rPr>
            </w:pPr>
          </w:p>
        </w:tc>
      </w:tr>
      <w:tr>
        <w:trPr>
          <w:trHeight w:val="382"/>
        </w:trPr>
        <w:tc>
          <w:tcPr>
            <w:tcW w:w="4580" w:type="dxa"/>
            <w:vAlign w:val="bottom"/>
          </w:tcPr>
          <w:p>
            <w:pPr>
              <w:spacing w:after="0"/>
              <w:rPr>
                <w:sz w:val="24"/>
                <w:szCs w:val="24"/>
                <w:color w:val="auto"/>
              </w:rPr>
            </w:pPr>
          </w:p>
        </w:tc>
        <w:tc>
          <w:tcPr>
            <w:tcW w:w="3100" w:type="dxa"/>
            <w:vAlign w:val="bottom"/>
          </w:tcPr>
          <w:p>
            <w:pPr>
              <w:jc w:val="right"/>
              <w:ind w:right="1908"/>
              <w:spacing w:after="0"/>
              <w:rPr>
                <w:sz w:val="20"/>
                <w:szCs w:val="20"/>
                <w:color w:val="auto"/>
              </w:rPr>
            </w:pPr>
            <w:r>
              <w:rPr>
                <w:rFonts w:ascii="Times New Roman" w:cs="Times New Roman" w:eastAsia="Times New Roman" w:hAnsi="Times New Roman"/>
                <w:sz w:val="14"/>
                <w:szCs w:val="14"/>
                <w:color w:val="auto"/>
              </w:rPr>
              <w:t>24</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1"/>
        </w:trPr>
        <w:tc>
          <w:tcPr>
            <w:tcW w:w="4580" w:type="dxa"/>
            <w:vAlign w:val="bottom"/>
            <w:tcBorders>
              <w:bottom w:val="single" w:sz="8" w:color="9A9A9A"/>
            </w:tcBorders>
          </w:tcPr>
          <w:p>
            <w:pPr>
              <w:spacing w:after="0"/>
              <w:rPr>
                <w:sz w:val="9"/>
                <w:szCs w:val="9"/>
                <w:color w:val="auto"/>
              </w:rPr>
            </w:pPr>
          </w:p>
        </w:tc>
        <w:tc>
          <w:tcPr>
            <w:tcW w:w="3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Below is a listing of PSSL’s individual investments as of March 31, 2022 (Par and $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0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6"/>
              </w:rPr>
              <w:t>Spread Above</w:t>
            </w: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0"/>
              </w:rPr>
              <w:t xml:space="preserve">Fair Value </w:t>
            </w:r>
            <w:r>
              <w:rPr>
                <w:rFonts w:ascii="Times New Roman" w:cs="Times New Roman" w:eastAsia="Times New Roman" w:hAnsi="Times New Roman"/>
                <w:sz w:val="14"/>
                <w:szCs w:val="14"/>
                <w:b w:val="1"/>
                <w:bCs w:val="1"/>
                <w:color w:val="auto"/>
                <w:w w:val="90"/>
                <w:vertAlign w:val="superscript"/>
              </w:rPr>
              <w:t>(2)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4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4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(1)</w:t>
            </w:r>
          </w:p>
        </w:tc>
        <w:tc>
          <w:tcPr>
            <w:tcW w:w="14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Par</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 - 1,107.9%</w:t>
            </w: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Ad.net Acquisition,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rPr>
              <w:t>5/6/2026</w:t>
            </w:r>
          </w:p>
        </w:tc>
        <w:tc>
          <w:tcPr>
            <w:tcW w:w="1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0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7.00 %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8,933</w:t>
            </w:r>
          </w:p>
        </w:tc>
        <w:tc>
          <w:tcPr>
            <w:tcW w:w="3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8,820</w:t>
            </w:r>
          </w:p>
        </w:tc>
        <w:tc>
          <w:tcPr>
            <w:tcW w:w="2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8,933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Altamira Technologies,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7/24/2025</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9.00 %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5,375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5,244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5,160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12/21/2023</w:t>
            </w:r>
          </w:p>
        </w:tc>
        <w:tc>
          <w:tcPr>
            <w:tcW w:w="1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Building Products</w:t>
            </w:r>
          </w:p>
        </w:tc>
        <w:tc>
          <w:tcPr>
            <w:tcW w:w="110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4,913</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4,867</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4,913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7/31/2025</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6.25 %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1,015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B</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7/31/2025</w:t>
            </w:r>
          </w:p>
        </w:tc>
        <w:tc>
          <w:tcPr>
            <w:tcW w:w="1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10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2,212</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2,212</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2,212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7/31/2025</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1.12 %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4,153</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4,082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4,153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Applied Technical Services,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12/29/2026</w:t>
            </w:r>
          </w:p>
        </w:tc>
        <w:tc>
          <w:tcPr>
            <w:tcW w:w="1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10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6.76 %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4,489</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4,405</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4,433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Blackhawk Industrial Distribution, Inc.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9/17/2024</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6.00 %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 + 5.00%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13,137</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12,944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12,940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Broder Bros., Co.</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12/2/2022</w:t>
            </w:r>
          </w:p>
        </w:tc>
        <w:tc>
          <w:tcPr>
            <w:tcW w:w="1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10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8.00 %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2,585</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2,585</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2,585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By Light Professional IT Services,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5/16/2024</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High Tech Industries</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7.25 %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15,236</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15,169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15,083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Cadence Aerospace,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11/14/2023</w:t>
            </w:r>
          </w:p>
        </w:tc>
        <w:tc>
          <w:tcPr>
            <w:tcW w:w="1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Aerospace and Defense</w:t>
            </w:r>
          </w:p>
        </w:tc>
        <w:tc>
          <w:tcPr>
            <w:tcW w:w="110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9.50 %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L+850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12,379</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12,339</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12,280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CF512, Inc.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8/20/2026</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7.00 %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4,975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CHA Holdings, Inc.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4/10/2025</w:t>
            </w:r>
          </w:p>
        </w:tc>
        <w:tc>
          <w:tcPr>
            <w:tcW w:w="1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Construction and Engineering</w:t>
            </w:r>
          </w:p>
        </w:tc>
        <w:tc>
          <w:tcPr>
            <w:tcW w:w="110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5.51 %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5,586</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5,503</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5,586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Challenger Performance Optimization, Inc.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8/31/2023</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8.00 %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9,353</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9,318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9,073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Connatix Buyer, Inc.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7/13/2027</w:t>
            </w:r>
          </w:p>
        </w:tc>
        <w:tc>
          <w:tcPr>
            <w:tcW w:w="1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0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6.25 %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3,980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3,908</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Crane 1 Services, Inc.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8/16/2027</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2,121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Crash Champions,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rPr>
              <w:t>8/5/2025</w:t>
            </w:r>
          </w:p>
        </w:tc>
        <w:tc>
          <w:tcPr>
            <w:tcW w:w="1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Automobiles</w:t>
            </w:r>
          </w:p>
        </w:tc>
        <w:tc>
          <w:tcPr>
            <w:tcW w:w="110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6.00 %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14,918</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14,644</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14,545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Douglas Products and Packaging Company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10/19/2022</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8,701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8,674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8,701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Douglas Sewer Intermediate,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10/19/2022</w:t>
            </w:r>
          </w:p>
        </w:tc>
        <w:tc>
          <w:tcPr>
            <w:tcW w:w="1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10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7,285</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7,262</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7,285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Dr. Squatch,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8/27/2026</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Personal Products</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7.00 %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14,950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14,671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14,950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DRS Holdings III, Inc.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11/3/2025</w:t>
            </w:r>
          </w:p>
        </w:tc>
        <w:tc>
          <w:tcPr>
            <w:tcW w:w="1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110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15,596</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15,511</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15,519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Duraco Specialty Tapes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6/30/2024</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Containers and Packaging</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10,342</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10,182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10,166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ECL Entertainment,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3/31/2028</w:t>
            </w:r>
          </w:p>
        </w:tc>
        <w:tc>
          <w:tcPr>
            <w:tcW w:w="1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Hotels, Restaurants and Leisure</w:t>
            </w:r>
          </w:p>
        </w:tc>
        <w:tc>
          <w:tcPr>
            <w:tcW w:w="110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8.25 %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2,634</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2,609</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2,645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ECM Industries,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12/23/2025</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5.75 %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4,994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4,994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4,894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Exigo Intermediate II,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3/15/2027</w:t>
            </w:r>
          </w:p>
        </w:tc>
        <w:tc>
          <w:tcPr>
            <w:tcW w:w="1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110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13,000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12,809</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12,805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Fairbanks More Defense</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6/17/2028</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Aerospace and Defense</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5.50 %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9,950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9,908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9,805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FlexPrint,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rPr>
              <w:t>1/2/2024</w:t>
            </w:r>
          </w:p>
        </w:tc>
        <w:tc>
          <w:tcPr>
            <w:tcW w:w="1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10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6.14 %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L+594</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4,770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4,740</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4,770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Gantech Acquisition Corp.</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5/14/2026</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IT Services</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5.87 %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14,788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14,556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14,640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Global Holdings InterCo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3/16/2026</w:t>
            </w:r>
          </w:p>
        </w:tc>
        <w:tc>
          <w:tcPr>
            <w:tcW w:w="1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Diversified Financial Services</w:t>
            </w:r>
          </w:p>
        </w:tc>
        <w:tc>
          <w:tcPr>
            <w:tcW w:w="110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7.00 %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3,948</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3,929</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3,908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Graffiti Buyer, Inc.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8/10/2027</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Trading Companies &amp; Distributors</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2,381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Hancock Roofing and Construction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12/31/2026</w:t>
            </w:r>
          </w:p>
        </w:tc>
        <w:tc>
          <w:tcPr>
            <w:tcW w:w="1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10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6.00 %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2,469</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2,418</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2,469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Holdco Sands Intermediate,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11/23/2028</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Aerospace and Defense</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7.01 %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4,988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4,893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HW Holdco,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12/10/2024</w:t>
            </w:r>
          </w:p>
        </w:tc>
        <w:tc>
          <w:tcPr>
            <w:tcW w:w="1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0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6.00 %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3,067</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3,012</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3,006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IDC Infusion Services, Inc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12/30/2026</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Healthcre Equipment and supplies</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7.00 %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6M L+600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9,807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Imagine Acquisitionco,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11/15/2027</w:t>
            </w:r>
          </w:p>
        </w:tc>
        <w:tc>
          <w:tcPr>
            <w:tcW w:w="1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110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5,391</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5,283</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5,283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Inception Fertility Ventures,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12/7/2023</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Providers and Services</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4,683</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4,582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4,566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Integrative Nutrition,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9/29/2023</w:t>
            </w:r>
          </w:p>
        </w:tc>
        <w:tc>
          <w:tcPr>
            <w:tcW w:w="1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10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5.50 %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11,492</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11,463</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11,492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ITI Holdings, Inc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rPr>
              <w:t>3/3/2028</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IT Services</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6.25 %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 + 5.50%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4,000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3,931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3,930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12/20/2023</w:t>
            </w:r>
          </w:p>
        </w:tc>
        <w:tc>
          <w:tcPr>
            <w:tcW w:w="1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10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9.00 %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L+800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19,350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19,146</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19,157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Kinetic Purchaser,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11/10/2027</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Personal Products</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7.00 %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8,445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8,286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8,360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Lash OpCo,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2/18/2027</w:t>
            </w:r>
          </w:p>
        </w:tc>
        <w:tc>
          <w:tcPr>
            <w:tcW w:w="1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Personal Products</w:t>
            </w:r>
          </w:p>
        </w:tc>
        <w:tc>
          <w:tcPr>
            <w:tcW w:w="110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8.00 %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14,428</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14,119</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14,428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LAV Gear Holdings, Inc.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10/31/2024</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8.51 %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10,547</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10,501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10,305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Lightspeed Buyer Inc.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rPr>
              <w:t>2/3/2026</w:t>
            </w:r>
          </w:p>
        </w:tc>
        <w:tc>
          <w:tcPr>
            <w:tcW w:w="1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Providers and Services</w:t>
            </w:r>
          </w:p>
        </w:tc>
        <w:tc>
          <w:tcPr>
            <w:tcW w:w="110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10,657</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10,449</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10,550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Lucky Bucks,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7/20/2027</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Hotel, Gaming and Leisure</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6.25 %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4,444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4,362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4,344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Marketplace Events, LLC - Super Priority First Lien Term Loan</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9/30/2025</w:t>
            </w:r>
          </w:p>
        </w:tc>
        <w:tc>
          <w:tcPr>
            <w:tcW w:w="1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 Diversified and Production</w:t>
            </w:r>
          </w:p>
        </w:tc>
        <w:tc>
          <w:tcPr>
            <w:tcW w:w="110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6.25 %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637</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637</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08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Marketplace Events, LLC - Super Priority First Lien Unfunded Term</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Loan</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9/30/2025</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 Diversified and Production</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589</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0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Marketplace Events, LLC </w:t>
            </w:r>
            <w:r>
              <w:rPr>
                <w:rFonts w:ascii="Times New Roman" w:cs="Times New Roman" w:eastAsia="Times New Roman" w:hAnsi="Times New Roman"/>
                <w:sz w:val="14"/>
                <w:szCs w:val="14"/>
                <w:color w:val="auto"/>
                <w:vertAlign w:val="superscript"/>
              </w:rPr>
              <w:t>(3), (4)</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9/30/2026</w:t>
            </w:r>
          </w:p>
        </w:tc>
        <w:tc>
          <w:tcPr>
            <w:tcW w:w="140" w:type="dxa"/>
            <w:vAlign w:val="bottom"/>
          </w:tcPr>
          <w:p>
            <w:pPr>
              <w:spacing w:after="0"/>
              <w:rPr>
                <w:sz w:val="13"/>
                <w:szCs w:val="13"/>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 Diversified and Production</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0.00 %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4,764</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3,441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4,764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Mars Acquisition Holdings Corp.</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5/14/2026</w:t>
            </w:r>
          </w:p>
        </w:tc>
        <w:tc>
          <w:tcPr>
            <w:tcW w:w="140" w:type="dxa"/>
            <w:vAlign w:val="bottom"/>
          </w:tcPr>
          <w:p>
            <w:pPr>
              <w:spacing w:after="0"/>
              <w:rPr>
                <w:sz w:val="12"/>
                <w:szCs w:val="12"/>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9,950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9,819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9,875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MBS Holdings, Inc.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4/16/2027</w:t>
            </w:r>
          </w:p>
        </w:tc>
        <w:tc>
          <w:tcPr>
            <w:tcW w:w="140" w:type="dxa"/>
            <w:vAlign w:val="bottom"/>
            <w:shd w:val="clear" w:color="auto" w:fill="CCECFF"/>
          </w:tcPr>
          <w:p>
            <w:pPr>
              <w:spacing w:after="0"/>
              <w:rPr>
                <w:sz w:val="12"/>
                <w:szCs w:val="12"/>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Internet Software and Services</w:t>
            </w:r>
          </w:p>
        </w:tc>
        <w:tc>
          <w:tcPr>
            <w:tcW w:w="110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5.18 %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7,444</w:t>
            </w:r>
          </w:p>
        </w:tc>
        <w:tc>
          <w:tcPr>
            <w:tcW w:w="1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7,325</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7,369</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Meadowlark Acquirer,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12/10/2027</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2,408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MeritDirect,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5/23/2024</w:t>
            </w:r>
          </w:p>
        </w:tc>
        <w:tc>
          <w:tcPr>
            <w:tcW w:w="1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Media: Advertising, Printing &amp; Publishing</w:t>
            </w:r>
          </w:p>
        </w:tc>
        <w:tc>
          <w:tcPr>
            <w:tcW w:w="110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5,426</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5,327</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5,426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Mission Critical Electronics, Inc.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9/28/2022</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6.00 %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5,859</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5,854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5,859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Municipal Emergency Services, Inc.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9/28/2027</w:t>
            </w:r>
          </w:p>
        </w:tc>
        <w:tc>
          <w:tcPr>
            <w:tcW w:w="1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10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6.00 %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3,483</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3,418</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3,368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NBH Group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8/19/2026</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&amp; Childcare</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10,875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10,677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New Milani Group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rPr>
              <w:t>6/6/2024</w:t>
            </w:r>
          </w:p>
        </w:tc>
        <w:tc>
          <w:tcPr>
            <w:tcW w:w="1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Consumer Goods: Non-Durable</w:t>
            </w:r>
          </w:p>
        </w:tc>
        <w:tc>
          <w:tcPr>
            <w:tcW w:w="110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7.50 %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14,513</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14,456</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14,367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OIS Management Services,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rPr>
              <w:t>7/9/2026</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5.75 %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1,985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One Stop Mailing,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rPr>
              <w:t>5/7/2027</w:t>
            </w:r>
          </w:p>
        </w:tc>
        <w:tc>
          <w:tcPr>
            <w:tcW w:w="1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Air Freight and Logistics</w:t>
            </w:r>
          </w:p>
        </w:tc>
        <w:tc>
          <w:tcPr>
            <w:tcW w:w="110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7.25 %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14,845</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14,576</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14,696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Output Services Group, Inc.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3/27/2024</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5.50 %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7,683</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7,760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6,761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Owl Acquisition,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rPr>
              <w:t>2/4/2028</w:t>
            </w:r>
          </w:p>
        </w:tc>
        <w:tc>
          <w:tcPr>
            <w:tcW w:w="1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10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4,000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3,922</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Ox Two,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5/18/2026</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Construction and Building</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8.00 %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4,950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4,851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PH Beauty Holdings III, Inc.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9/29/2025</w:t>
            </w:r>
          </w:p>
        </w:tc>
        <w:tc>
          <w:tcPr>
            <w:tcW w:w="1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4"/>
              </w:rPr>
              <w:t>Wholesale</w:t>
            </w:r>
          </w:p>
        </w:tc>
        <w:tc>
          <w:tcPr>
            <w:tcW w:w="110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5.51 %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9,643</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9,348</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8,871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PL Acquisitionco,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11/9/2027</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Textiles, Apparel and Luxury Goods</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7.50 %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8,279</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8,144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8,134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Plant Health Intermediate, Inc.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10/19/2022</w:t>
            </w:r>
          </w:p>
        </w:tc>
        <w:tc>
          <w:tcPr>
            <w:tcW w:w="1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10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1,570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1,565</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1,570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PlayPower, Inc.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rPr>
              <w:t>5/8/2026</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5.72 %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2,594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2,447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Quantic Electronics,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11/19/2026</w:t>
            </w:r>
          </w:p>
        </w:tc>
        <w:tc>
          <w:tcPr>
            <w:tcW w:w="1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Aerospace and Defense</w:t>
            </w:r>
          </w:p>
        </w:tc>
        <w:tc>
          <w:tcPr>
            <w:tcW w:w="110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7.25 %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3,942</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3,863</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3,863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Recteq,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1/29/2026</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7.00 %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4,950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4,871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4,876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Research Now Group, LLC and Dynata,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12/20/2024</w:t>
            </w:r>
          </w:p>
        </w:tc>
        <w:tc>
          <w:tcPr>
            <w:tcW w:w="1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10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10,624</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10,549</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10,414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Sales Benchmark Index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rPr>
              <w:t>1/3/2025</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7.75 %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5,311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5,243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5,311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Sargent &amp; Greenleaf Inc.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12/20/2024</w:t>
            </w:r>
          </w:p>
        </w:tc>
        <w:tc>
          <w:tcPr>
            <w:tcW w:w="1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4"/>
              </w:rPr>
              <w:t>Wholesale</w:t>
            </w:r>
          </w:p>
        </w:tc>
        <w:tc>
          <w:tcPr>
            <w:tcW w:w="110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7.00 %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5,448</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5,401</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5,448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Schlesinger Global, Inc.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7/14/2025</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8.00 %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11,809</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11,896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11,691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Sigma Defense Systems,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12/18/2025</w:t>
            </w:r>
          </w:p>
        </w:tc>
        <w:tc>
          <w:tcPr>
            <w:tcW w:w="1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Aerospace and Defense</w:t>
            </w:r>
          </w:p>
        </w:tc>
        <w:tc>
          <w:tcPr>
            <w:tcW w:w="110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9.50 %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L+850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14,905</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14,561</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14,682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-2142490</wp:posOffset>
            </wp:positionV>
            <wp:extent cx="7132320" cy="8572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5"/>
              </w:rPr>
              <w:t>Spread</w:t>
            </w: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jc w:val="right"/>
              <w:ind w:right="566"/>
              <w:spacing w:after="0" w:line="122" w:lineRule="exact"/>
              <w:rPr>
                <w:sz w:val="20"/>
                <w:szCs w:val="20"/>
                <w:color w:val="auto"/>
              </w:rPr>
            </w:pPr>
            <w:r>
              <w:rPr>
                <w:rFonts w:ascii="Times New Roman" w:cs="Times New Roman" w:eastAsia="Times New Roman" w:hAnsi="Times New Roman"/>
                <w:sz w:val="11"/>
                <w:szCs w:val="11"/>
                <w:b w:val="1"/>
                <w:bCs w:val="1"/>
                <w:color w:val="auto"/>
              </w:rPr>
              <w:t>Current</w:t>
            </w: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Above</w:t>
            </w:r>
          </w:p>
        </w:tc>
        <w:tc>
          <w:tcPr>
            <w:tcW w:w="160" w:type="dxa"/>
            <w:vAlign w:val="bottom"/>
          </w:tcPr>
          <w:p>
            <w:pPr>
              <w:spacing w:after="0"/>
              <w:rPr>
                <w:sz w:val="10"/>
                <w:szCs w:val="10"/>
                <w:color w:val="auto"/>
              </w:rPr>
            </w:pPr>
          </w:p>
        </w:tc>
        <w:tc>
          <w:tcPr>
            <w:tcW w:w="780" w:type="dxa"/>
            <w:vAlign w:val="bottom"/>
          </w:tcPr>
          <w:p>
            <w:pPr>
              <w:jc w:val="right"/>
              <w:ind w:right="226"/>
              <w:spacing w:after="0" w:line="122" w:lineRule="exact"/>
              <w:rPr>
                <w:sz w:val="20"/>
                <w:szCs w:val="20"/>
                <w:color w:val="auto"/>
              </w:rPr>
            </w:pPr>
            <w:r>
              <w:rPr>
                <w:rFonts w:ascii="Times New Roman" w:cs="Times New Roman" w:eastAsia="Times New Roman" w:hAnsi="Times New Roman"/>
                <w:sz w:val="11"/>
                <w:szCs w:val="11"/>
                <w:b w:val="1"/>
                <w:bCs w:val="1"/>
                <w:color w:val="auto"/>
              </w:rPr>
              <w:t>Par /</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vMerge w:val="restart"/>
          </w:tcPr>
          <w:p>
            <w:pPr>
              <w:jc w:val="right"/>
              <w:ind w:right="62"/>
              <w:spacing w:after="0"/>
              <w:rPr>
                <w:sz w:val="20"/>
                <w:szCs w:val="20"/>
                <w:color w:val="auto"/>
              </w:rPr>
            </w:pPr>
            <w:r>
              <w:rPr>
                <w:rFonts w:ascii="Times New Roman" w:cs="Times New Roman" w:eastAsia="Times New Roman" w:hAnsi="Times New Roman"/>
                <w:sz w:val="11"/>
                <w:szCs w:val="11"/>
                <w:b w:val="1"/>
                <w:bCs w:val="1"/>
                <w:color w:val="auto"/>
                <w:w w:val="90"/>
              </w:rPr>
              <w:t xml:space="preserve">Fair Value </w:t>
            </w:r>
            <w:r>
              <w:rPr>
                <w:rFonts w:ascii="Times New Roman" w:cs="Times New Roman" w:eastAsia="Times New Roman" w:hAnsi="Times New Roman"/>
                <w:sz w:val="14"/>
                <w:szCs w:val="14"/>
                <w:b w:val="1"/>
                <w:bCs w:val="1"/>
                <w:color w:val="auto"/>
                <w:w w:val="90"/>
                <w:vertAlign w:val="superscript"/>
              </w:rPr>
              <w:t>(2)</w:t>
            </w:r>
          </w:p>
        </w:tc>
        <w:tc>
          <w:tcPr>
            <w:tcW w:w="0" w:type="dxa"/>
            <w:vAlign w:val="bottom"/>
          </w:tcPr>
          <w:p>
            <w:pPr>
              <w:spacing w:after="0"/>
              <w:rPr>
                <w:sz w:val="1"/>
                <w:szCs w:val="1"/>
                <w:color w:val="auto"/>
              </w:rPr>
            </w:pPr>
          </w:p>
        </w:tc>
      </w:tr>
      <w:tr>
        <w:trPr>
          <w:trHeight w:val="162"/>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8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80" w:type="dxa"/>
            <w:vAlign w:val="bottom"/>
          </w:tcPr>
          <w:p>
            <w:pPr>
              <w:spacing w:after="0"/>
              <w:rPr>
                <w:sz w:val="14"/>
                <w:szCs w:val="14"/>
                <w:color w:val="auto"/>
              </w:rPr>
            </w:pPr>
          </w:p>
        </w:tc>
        <w:tc>
          <w:tcPr>
            <w:tcW w:w="1180" w:type="dxa"/>
            <w:vAlign w:val="bottom"/>
            <w:gridSpan w:val="2"/>
          </w:tcPr>
          <w:p>
            <w:pPr>
              <w:jc w:val="right"/>
              <w:ind w:right="54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160" w:type="dxa"/>
            <w:vAlign w:val="bottom"/>
          </w:tcPr>
          <w:p>
            <w:pPr>
              <w:spacing w:after="0"/>
              <w:rPr>
                <w:sz w:val="14"/>
                <w:szCs w:val="14"/>
                <w:color w:val="auto"/>
              </w:rPr>
            </w:pPr>
          </w:p>
        </w:tc>
        <w:tc>
          <w:tcPr>
            <w:tcW w:w="78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00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Smile Brands Inc.</w:t>
            </w:r>
          </w:p>
        </w:tc>
        <w:tc>
          <w:tcPr>
            <w:tcW w:w="140" w:type="dxa"/>
            <w:vAlign w:val="bottom"/>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10/14/2025</w:t>
            </w:r>
          </w:p>
        </w:tc>
        <w:tc>
          <w:tcPr>
            <w:tcW w:w="180" w:type="dxa"/>
            <w:vAlign w:val="bottom"/>
            <w:shd w:val="clear" w:color="auto" w:fill="CCECFF"/>
          </w:tcPr>
          <w:p>
            <w:pPr>
              <w:spacing w:after="0"/>
              <w:rPr>
                <w:sz w:val="11"/>
                <w:szCs w:val="11"/>
                <w:color w:val="auto"/>
              </w:rPr>
            </w:pPr>
          </w:p>
        </w:tc>
        <w:tc>
          <w:tcPr>
            <w:tcW w:w="248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80" w:type="dxa"/>
            <w:vAlign w:val="bottom"/>
            <w:shd w:val="clear" w:color="auto" w:fill="CCECFF"/>
          </w:tcPr>
          <w:p>
            <w:pPr>
              <w:spacing w:after="0"/>
              <w:rPr>
                <w:sz w:val="11"/>
                <w:szCs w:val="11"/>
                <w:color w:val="auto"/>
              </w:rPr>
            </w:pPr>
          </w:p>
        </w:tc>
        <w:tc>
          <w:tcPr>
            <w:tcW w:w="7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5.25</w:t>
            </w:r>
          </w:p>
        </w:tc>
        <w:tc>
          <w:tcPr>
            <w:tcW w:w="420" w:type="dxa"/>
            <w:vAlign w:val="bottom"/>
            <w:shd w:val="clear" w:color="auto" w:fill="CCECFF"/>
          </w:tcPr>
          <w:p>
            <w:pPr>
              <w:jc w:val="right"/>
              <w:ind w:right="266"/>
              <w:spacing w:after="0"/>
              <w:rPr>
                <w:sz w:val="20"/>
                <w:szCs w:val="20"/>
                <w:color w:val="auto"/>
              </w:rPr>
            </w:pPr>
            <w:r>
              <w:rPr>
                <w:rFonts w:ascii="Times New Roman" w:cs="Times New Roman" w:eastAsia="Times New Roman" w:hAnsi="Times New Roman"/>
                <w:sz w:val="11"/>
                <w:szCs w:val="11"/>
                <w:color w:val="auto"/>
                <w:w w:val="86"/>
              </w:rPr>
              <w:t>%</w:t>
            </w:r>
          </w:p>
        </w:tc>
        <w:tc>
          <w:tcPr>
            <w:tcW w:w="7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160" w:type="dxa"/>
            <w:vAlign w:val="bottom"/>
            <w:shd w:val="clear" w:color="auto" w:fill="CCECFF"/>
          </w:tcPr>
          <w:p>
            <w:pPr>
              <w:spacing w:after="0"/>
              <w:rPr>
                <w:sz w:val="11"/>
                <w:szCs w:val="11"/>
                <w:color w:val="auto"/>
              </w:rPr>
            </w:pPr>
          </w:p>
        </w:tc>
        <w:tc>
          <w:tcPr>
            <w:tcW w:w="7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12,507</w:t>
            </w:r>
          </w:p>
        </w:tc>
        <w:tc>
          <w:tcPr>
            <w:tcW w:w="160" w:type="dxa"/>
            <w:vAlign w:val="bottom"/>
            <w:shd w:val="clear" w:color="auto" w:fill="CCECFF"/>
          </w:tcPr>
          <w:p>
            <w:pPr>
              <w:spacing w:after="0"/>
              <w:rPr>
                <w:sz w:val="11"/>
                <w:szCs w:val="11"/>
                <w:color w:val="auto"/>
              </w:rPr>
            </w:pPr>
          </w:p>
        </w:tc>
        <w:tc>
          <w:tcPr>
            <w:tcW w:w="180" w:type="dxa"/>
            <w:vAlign w:val="bottom"/>
            <w:tcBorders>
              <w:top w:val="single" w:sz="8" w:color="auto"/>
            </w:tcBorders>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12,370</w:t>
            </w:r>
          </w:p>
        </w:tc>
        <w:tc>
          <w:tcPr>
            <w:tcW w:w="180" w:type="dxa"/>
            <w:vAlign w:val="bottom"/>
            <w:shd w:val="clear" w:color="auto" w:fill="CCECFF"/>
          </w:tcPr>
          <w:p>
            <w:pPr>
              <w:spacing w:after="0"/>
              <w:rPr>
                <w:sz w:val="11"/>
                <w:szCs w:val="11"/>
                <w:color w:val="auto"/>
              </w:rPr>
            </w:pPr>
          </w:p>
        </w:tc>
        <w:tc>
          <w:tcPr>
            <w:tcW w:w="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12,163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Snak Club,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7/19/2022</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1260" w:type="dxa"/>
            <w:vAlign w:val="bottom"/>
            <w:gridSpan w:val="3"/>
          </w:tcPr>
          <w:p>
            <w:pPr>
              <w:jc w:val="right"/>
              <w:ind w:right="266"/>
              <w:spacing w:after="0"/>
              <w:rPr>
                <w:sz w:val="20"/>
                <w:szCs w:val="20"/>
                <w:color w:val="auto"/>
              </w:rPr>
            </w:pPr>
            <w:r>
              <w:rPr>
                <w:rFonts w:ascii="Times New Roman" w:cs="Times New Roman" w:eastAsia="Times New Roman" w:hAnsi="Times New Roman"/>
                <w:sz w:val="11"/>
                <w:szCs w:val="11"/>
                <w:color w:val="auto"/>
              </w:rPr>
              <w:t>7.00 %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4,301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4,291</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4,301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Solutionreach, Inc.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1/17/2024</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1260" w:type="dxa"/>
            <w:vAlign w:val="bottom"/>
            <w:gridSpan w:val="3"/>
            <w:shd w:val="clear" w:color="auto" w:fill="CCECFF"/>
          </w:tcPr>
          <w:p>
            <w:pPr>
              <w:jc w:val="right"/>
              <w:ind w:right="266"/>
              <w:spacing w:after="0"/>
              <w:rPr>
                <w:sz w:val="20"/>
                <w:szCs w:val="20"/>
                <w:color w:val="auto"/>
              </w:rPr>
            </w:pPr>
            <w:r>
              <w:rPr>
                <w:rFonts w:ascii="Times New Roman" w:cs="Times New Roman" w:eastAsia="Times New Roman" w:hAnsi="Times New Roman"/>
                <w:sz w:val="11"/>
                <w:szCs w:val="11"/>
                <w:color w:val="auto"/>
              </w:rPr>
              <w:t>6.75 %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5,859</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5,829</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5,601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SpendmendHoldings, LLC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3/1/2028</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1260" w:type="dxa"/>
            <w:vAlign w:val="bottom"/>
            <w:gridSpan w:val="3"/>
          </w:tcPr>
          <w:p>
            <w:pPr>
              <w:jc w:val="right"/>
              <w:ind w:right="266"/>
              <w:spacing w:after="0"/>
              <w:rPr>
                <w:sz w:val="20"/>
                <w:szCs w:val="20"/>
                <w:color w:val="auto"/>
              </w:rPr>
            </w:pPr>
            <w:r>
              <w:rPr>
                <w:rFonts w:ascii="Times New Roman" w:cs="Times New Roman" w:eastAsia="Times New Roman" w:hAnsi="Times New Roman"/>
                <w:sz w:val="11"/>
                <w:szCs w:val="11"/>
                <w:color w:val="auto"/>
              </w:rPr>
              <w:t>6.75 %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2,971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2,928</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2,923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STV Group Incorporated</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12/11/2026</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Construction and Building</w:t>
            </w:r>
          </w:p>
        </w:tc>
        <w:tc>
          <w:tcPr>
            <w:tcW w:w="1260" w:type="dxa"/>
            <w:vAlign w:val="bottom"/>
            <w:gridSpan w:val="3"/>
            <w:shd w:val="clear" w:color="auto" w:fill="CCECFF"/>
          </w:tcPr>
          <w:p>
            <w:pPr>
              <w:jc w:val="right"/>
              <w:ind w:right="266"/>
              <w:spacing w:after="0"/>
              <w:rPr>
                <w:sz w:val="20"/>
                <w:szCs w:val="20"/>
                <w:color w:val="auto"/>
              </w:rPr>
            </w:pPr>
            <w:r>
              <w:rPr>
                <w:rFonts w:ascii="Times New Roman" w:cs="Times New Roman" w:eastAsia="Times New Roman" w:hAnsi="Times New Roman"/>
                <w:sz w:val="11"/>
                <w:szCs w:val="11"/>
                <w:color w:val="auto"/>
              </w:rPr>
              <w:t>5.61 %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9,075</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9,006</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8,803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00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System Planning and Analysis, Inc. (f/k/a Management Consulting</w:t>
            </w: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&amp; Research,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8/16/2027</w:t>
            </w:r>
          </w:p>
        </w:tc>
        <w:tc>
          <w:tcPr>
            <w:tcW w:w="18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60" w:type="dxa"/>
            <w:vAlign w:val="bottom"/>
            <w:gridSpan w:val="3"/>
          </w:tcPr>
          <w:p>
            <w:pPr>
              <w:jc w:val="right"/>
              <w:ind w:right="266"/>
              <w:spacing w:after="0"/>
              <w:rPr>
                <w:sz w:val="20"/>
                <w:szCs w:val="20"/>
                <w:color w:val="auto"/>
              </w:rPr>
            </w:pPr>
            <w:r>
              <w:rPr>
                <w:rFonts w:ascii="Times New Roman" w:cs="Times New Roman" w:eastAsia="Times New Roman" w:hAnsi="Times New Roman"/>
                <w:sz w:val="11"/>
                <w:szCs w:val="11"/>
                <w:color w:val="auto"/>
              </w:rPr>
              <w:t>7.00 %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14,963</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14,675</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14,469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TAC LifePort Purchaser, LLC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3/1/2026</w:t>
            </w:r>
          </w:p>
        </w:tc>
        <w:tc>
          <w:tcPr>
            <w:tcW w:w="180" w:type="dxa"/>
            <w:vAlign w:val="bottom"/>
            <w:shd w:val="clear" w:color="auto" w:fill="CCECFF"/>
          </w:tcPr>
          <w:p>
            <w:pPr>
              <w:spacing w:after="0"/>
              <w:rPr>
                <w:sz w:val="12"/>
                <w:szCs w:val="12"/>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60" w:type="dxa"/>
            <w:vAlign w:val="bottom"/>
            <w:gridSpan w:val="3"/>
            <w:shd w:val="clear" w:color="auto" w:fill="CCECFF"/>
          </w:tcPr>
          <w:p>
            <w:pPr>
              <w:jc w:val="right"/>
              <w:ind w:right="266"/>
              <w:spacing w:after="0"/>
              <w:rPr>
                <w:sz w:val="20"/>
                <w:szCs w:val="20"/>
                <w:color w:val="auto"/>
              </w:rPr>
            </w:pPr>
            <w:r>
              <w:rPr>
                <w:rFonts w:ascii="Times New Roman" w:cs="Times New Roman" w:eastAsia="Times New Roman" w:hAnsi="Times New Roman"/>
                <w:sz w:val="11"/>
                <w:szCs w:val="11"/>
                <w:color w:val="auto"/>
              </w:rPr>
              <w:t>7.00 %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4,630</w:t>
            </w:r>
          </w:p>
        </w:tc>
        <w:tc>
          <w:tcPr>
            <w:tcW w:w="1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4,555</w:t>
            </w:r>
          </w:p>
        </w:tc>
        <w:tc>
          <w:tcPr>
            <w:tcW w:w="18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4,630</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TeleGuam Holdings,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11/20/2025</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260" w:type="dxa"/>
            <w:vAlign w:val="bottom"/>
            <w:gridSpan w:val="3"/>
          </w:tcPr>
          <w:p>
            <w:pPr>
              <w:jc w:val="right"/>
              <w:ind w:right="266"/>
              <w:spacing w:after="0"/>
              <w:rPr>
                <w:sz w:val="20"/>
                <w:szCs w:val="20"/>
                <w:color w:val="auto"/>
              </w:rPr>
            </w:pPr>
            <w:r>
              <w:rPr>
                <w:rFonts w:ascii="Times New Roman" w:cs="Times New Roman" w:eastAsia="Times New Roman" w:hAnsi="Times New Roman"/>
                <w:sz w:val="11"/>
                <w:szCs w:val="11"/>
                <w:color w:val="auto"/>
              </w:rPr>
              <w:t>5.50 %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10,279</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10,258</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10,177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Teneo Holdings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7/18/2025</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60" w:type="dxa"/>
            <w:vAlign w:val="bottom"/>
            <w:gridSpan w:val="3"/>
            <w:shd w:val="clear" w:color="auto" w:fill="CCECFF"/>
          </w:tcPr>
          <w:p>
            <w:pPr>
              <w:jc w:val="right"/>
              <w:ind w:right="266"/>
              <w:spacing w:after="0"/>
              <w:rPr>
                <w:sz w:val="20"/>
                <w:szCs w:val="20"/>
                <w:color w:val="auto"/>
              </w:rPr>
            </w:pPr>
            <w:r>
              <w:rPr>
                <w:rFonts w:ascii="Times New Roman" w:cs="Times New Roman" w:eastAsia="Times New Roman" w:hAnsi="Times New Roman"/>
                <w:sz w:val="11"/>
                <w:szCs w:val="11"/>
                <w:color w:val="auto"/>
              </w:rPr>
              <w:t>6.25 %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2,298</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2,295</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2,270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The Aegis Technologies Group,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10/31/2025</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60" w:type="dxa"/>
            <w:vAlign w:val="bottom"/>
            <w:gridSpan w:val="3"/>
          </w:tcPr>
          <w:p>
            <w:pPr>
              <w:jc w:val="right"/>
              <w:ind w:right="266"/>
              <w:spacing w:after="0"/>
              <w:rPr>
                <w:sz w:val="20"/>
                <w:szCs w:val="20"/>
                <w:color w:val="auto"/>
              </w:rPr>
            </w:pPr>
            <w:r>
              <w:rPr>
                <w:rFonts w:ascii="Times New Roman" w:cs="Times New Roman" w:eastAsia="Times New Roman" w:hAnsi="Times New Roman"/>
                <w:sz w:val="11"/>
                <w:szCs w:val="11"/>
                <w:color w:val="auto"/>
              </w:rPr>
              <w:t>7.00 %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5,688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5,616</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5,631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Bluebird Group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7/27/2026</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260" w:type="dxa"/>
            <w:vAlign w:val="bottom"/>
            <w:gridSpan w:val="3"/>
            <w:shd w:val="clear" w:color="auto" w:fill="CCECFF"/>
          </w:tcPr>
          <w:p>
            <w:pPr>
              <w:jc w:val="right"/>
              <w:ind w:right="266"/>
              <w:spacing w:after="0"/>
              <w:rPr>
                <w:sz w:val="20"/>
                <w:szCs w:val="20"/>
                <w:color w:val="auto"/>
              </w:rPr>
            </w:pPr>
            <w:r>
              <w:rPr>
                <w:rFonts w:ascii="Times New Roman" w:cs="Times New Roman" w:eastAsia="Times New Roman" w:hAnsi="Times New Roman"/>
                <w:sz w:val="11"/>
                <w:szCs w:val="11"/>
                <w:color w:val="auto"/>
              </w:rPr>
              <w:t>7.50 %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L+650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1,724</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1,693</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1,758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The Infosoft Group,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9/16/2024</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Media: Broadcasting and Subscription</w:t>
            </w:r>
          </w:p>
        </w:tc>
        <w:tc>
          <w:tcPr>
            <w:tcW w:w="1260" w:type="dxa"/>
            <w:vAlign w:val="bottom"/>
            <w:gridSpan w:val="3"/>
          </w:tcPr>
          <w:p>
            <w:pPr>
              <w:jc w:val="right"/>
              <w:ind w:right="266"/>
              <w:spacing w:after="0"/>
              <w:rPr>
                <w:sz w:val="20"/>
                <w:szCs w:val="20"/>
                <w:color w:val="auto"/>
              </w:rPr>
            </w:pPr>
            <w:r>
              <w:rPr>
                <w:rFonts w:ascii="Times New Roman" w:cs="Times New Roman" w:eastAsia="Times New Roman" w:hAnsi="Times New Roman"/>
                <w:sz w:val="11"/>
                <w:szCs w:val="11"/>
                <w:color w:val="auto"/>
              </w:rPr>
              <w:t>6.75 %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13,208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13,202</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13,208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Vertex Companies,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8/30/2027</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Construction and Engineering</w:t>
            </w:r>
          </w:p>
        </w:tc>
        <w:tc>
          <w:tcPr>
            <w:tcW w:w="1260" w:type="dxa"/>
            <w:vAlign w:val="bottom"/>
            <w:gridSpan w:val="3"/>
            <w:shd w:val="clear" w:color="auto" w:fill="CCECFF"/>
          </w:tcPr>
          <w:p>
            <w:pPr>
              <w:jc w:val="right"/>
              <w:ind w:right="266"/>
              <w:spacing w:after="0"/>
              <w:rPr>
                <w:sz w:val="20"/>
                <w:szCs w:val="20"/>
                <w:color w:val="auto"/>
              </w:rPr>
            </w:pPr>
            <w:r>
              <w:rPr>
                <w:rFonts w:ascii="Times New Roman" w:cs="Times New Roman" w:eastAsia="Times New Roman" w:hAnsi="Times New Roman"/>
                <w:sz w:val="11"/>
                <w:szCs w:val="11"/>
                <w:color w:val="auto"/>
              </w:rPr>
              <w:t>6.50 %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5,606</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5,500</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5,533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TPC Canada Parent, Inc. and TPC US Parent,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11/24/2025</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Goods: Non-Durable</w:t>
            </w:r>
          </w:p>
        </w:tc>
        <w:tc>
          <w:tcPr>
            <w:tcW w:w="1260" w:type="dxa"/>
            <w:vAlign w:val="bottom"/>
            <w:gridSpan w:val="3"/>
          </w:tcPr>
          <w:p>
            <w:pPr>
              <w:jc w:val="right"/>
              <w:ind w:right="266"/>
              <w:spacing w:after="0"/>
              <w:rPr>
                <w:sz w:val="20"/>
                <w:szCs w:val="20"/>
                <w:color w:val="auto"/>
              </w:rPr>
            </w:pPr>
            <w:r>
              <w:rPr>
                <w:rFonts w:ascii="Times New Roman" w:cs="Times New Roman" w:eastAsia="Times New Roman" w:hAnsi="Times New Roman"/>
                <w:sz w:val="11"/>
                <w:szCs w:val="11"/>
                <w:color w:val="auto"/>
              </w:rPr>
              <w:t>6.25 %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8,789</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8,629</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TVC Enterprises,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3/26/2026</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1260" w:type="dxa"/>
            <w:vAlign w:val="bottom"/>
            <w:gridSpan w:val="3"/>
            <w:shd w:val="clear" w:color="auto" w:fill="CCECFF"/>
          </w:tcPr>
          <w:p>
            <w:pPr>
              <w:jc w:val="right"/>
              <w:ind w:right="266"/>
              <w:spacing w:after="0"/>
              <w:rPr>
                <w:sz w:val="20"/>
                <w:szCs w:val="20"/>
                <w:color w:val="auto"/>
              </w:rPr>
            </w:pPr>
            <w:r>
              <w:rPr>
                <w:rFonts w:ascii="Times New Roman" w:cs="Times New Roman" w:eastAsia="Times New Roman" w:hAnsi="Times New Roman"/>
                <w:sz w:val="11"/>
                <w:szCs w:val="11"/>
                <w:color w:val="auto"/>
              </w:rPr>
              <w:t>7.00 %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15,028</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14,924</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14,727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6/16/2025</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1260" w:type="dxa"/>
            <w:vAlign w:val="bottom"/>
            <w:gridSpan w:val="3"/>
          </w:tcPr>
          <w:p>
            <w:pPr>
              <w:jc w:val="right"/>
              <w:ind w:right="266"/>
              <w:spacing w:after="0"/>
              <w:rPr>
                <w:sz w:val="20"/>
                <w:szCs w:val="20"/>
                <w:color w:val="auto"/>
              </w:rPr>
            </w:pPr>
            <w:r>
              <w:rPr>
                <w:rFonts w:ascii="Times New Roman" w:cs="Times New Roman" w:eastAsia="Times New Roman" w:hAnsi="Times New Roman"/>
                <w:sz w:val="11"/>
                <w:szCs w:val="11"/>
                <w:color w:val="auto"/>
              </w:rPr>
              <w:t>7.25 %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6,291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6,262</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6,291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Tyto Athene, LLC (New Issue)</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4/1/2028</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260" w:type="dxa"/>
            <w:vAlign w:val="bottom"/>
            <w:gridSpan w:val="3"/>
            <w:shd w:val="clear" w:color="auto" w:fill="CCECFF"/>
          </w:tcPr>
          <w:p>
            <w:pPr>
              <w:jc w:val="right"/>
              <w:ind w:right="266"/>
              <w:spacing w:after="0"/>
              <w:rPr>
                <w:sz w:val="20"/>
                <w:szCs w:val="20"/>
                <w:color w:val="auto"/>
              </w:rPr>
            </w:pPr>
            <w:r>
              <w:rPr>
                <w:rFonts w:ascii="Times New Roman" w:cs="Times New Roman" w:eastAsia="Times New Roman" w:hAnsi="Times New Roman"/>
                <w:sz w:val="11"/>
                <w:szCs w:val="11"/>
                <w:color w:val="auto"/>
              </w:rPr>
              <w:t>6.25 %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15,628</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15,489</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15,238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UBEO, LLC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4/3/2024</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260" w:type="dxa"/>
            <w:vAlign w:val="bottom"/>
            <w:gridSpan w:val="3"/>
          </w:tcPr>
          <w:p>
            <w:pPr>
              <w:jc w:val="right"/>
              <w:ind w:right="266"/>
              <w:spacing w:after="0"/>
              <w:rPr>
                <w:sz w:val="20"/>
                <w:szCs w:val="20"/>
                <w:color w:val="auto"/>
              </w:rPr>
            </w:pPr>
            <w:r>
              <w:rPr>
                <w:rFonts w:ascii="Times New Roman" w:cs="Times New Roman" w:eastAsia="Times New Roman" w:hAnsi="Times New Roman"/>
                <w:sz w:val="11"/>
                <w:szCs w:val="11"/>
                <w:color w:val="auto"/>
              </w:rPr>
              <w:t>5.50 %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17,481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17,375</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17,131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Walker Edison Furniture Company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3/31/2027</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Wholesale</w:t>
            </w:r>
          </w:p>
        </w:tc>
        <w:tc>
          <w:tcPr>
            <w:tcW w:w="1260" w:type="dxa"/>
            <w:vAlign w:val="bottom"/>
            <w:gridSpan w:val="3"/>
            <w:shd w:val="clear" w:color="auto" w:fill="CCECFF"/>
          </w:tcPr>
          <w:p>
            <w:pPr>
              <w:jc w:val="right"/>
              <w:ind w:right="266"/>
              <w:spacing w:after="0"/>
              <w:rPr>
                <w:sz w:val="20"/>
                <w:szCs w:val="20"/>
                <w:color w:val="auto"/>
              </w:rPr>
            </w:pPr>
            <w:r>
              <w:rPr>
                <w:rFonts w:ascii="Times New Roman" w:cs="Times New Roman" w:eastAsia="Times New Roman" w:hAnsi="Times New Roman"/>
                <w:sz w:val="11"/>
                <w:szCs w:val="11"/>
                <w:color w:val="auto"/>
              </w:rPr>
              <w:t>9.75 %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12,555</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12,284</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12,367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Wildcat Buyerco, Inc.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2/27/2026</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1260" w:type="dxa"/>
            <w:vAlign w:val="bottom"/>
            <w:gridSpan w:val="3"/>
          </w:tcPr>
          <w:p>
            <w:pPr>
              <w:jc w:val="right"/>
              <w:ind w:right="266"/>
              <w:spacing w:after="0"/>
              <w:rPr>
                <w:sz w:val="20"/>
                <w:szCs w:val="20"/>
                <w:color w:val="auto"/>
              </w:rPr>
            </w:pPr>
            <w:r>
              <w:rPr>
                <w:rFonts w:ascii="Times New Roman" w:cs="Times New Roman" w:eastAsia="Times New Roman" w:hAnsi="Times New Roman"/>
                <w:sz w:val="11"/>
                <w:szCs w:val="11"/>
                <w:color w:val="auto"/>
              </w:rPr>
              <w:t>6.75 %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5,678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5,632</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5,678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Zips Car Wash, LLC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3/1/2024</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Automobiles</w:t>
            </w:r>
          </w:p>
        </w:tc>
        <w:tc>
          <w:tcPr>
            <w:tcW w:w="1260" w:type="dxa"/>
            <w:vAlign w:val="bottom"/>
            <w:gridSpan w:val="3"/>
            <w:shd w:val="clear" w:color="auto" w:fill="CCECFF"/>
          </w:tcPr>
          <w:p>
            <w:pPr>
              <w:jc w:val="right"/>
              <w:ind w:right="266"/>
              <w:spacing w:after="0"/>
              <w:rPr>
                <w:sz w:val="20"/>
                <w:szCs w:val="20"/>
                <w:color w:val="auto"/>
              </w:rPr>
            </w:pPr>
            <w:r>
              <w:rPr>
                <w:rFonts w:ascii="Times New Roman" w:cs="Times New Roman" w:eastAsia="Times New Roman" w:hAnsi="Times New Roman"/>
                <w:sz w:val="11"/>
                <w:szCs w:val="11"/>
                <w:color w:val="auto"/>
              </w:rPr>
              <w:t>7.75 %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L+725</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17,000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16,707</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16,830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248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42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702,338</w:t>
            </w:r>
          </w:p>
        </w:tc>
        <w:tc>
          <w:tcPr>
            <w:tcW w:w="18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701,494</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Second Lien Secured Debt - 4.6%</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vMerge w:val="restart"/>
          </w:tcPr>
          <w:p>
            <w:pPr>
              <w:jc w:val="right"/>
              <w:ind w:right="366"/>
              <w:spacing w:after="0"/>
              <w:rPr>
                <w:sz w:val="20"/>
                <w:szCs w:val="20"/>
                <w:color w:val="auto"/>
              </w:rPr>
            </w:pPr>
            <w:r>
              <w:rPr>
                <w:rFonts w:ascii="Times New Roman" w:cs="Times New Roman" w:eastAsia="Times New Roman" w:hAnsi="Times New Roman"/>
                <w:sz w:val="11"/>
                <w:szCs w:val="11"/>
                <w:color w:val="auto"/>
              </w:rPr>
              <w:t>P(IK 9.00%)</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30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Inventus Power, Inc.</w:t>
            </w:r>
          </w:p>
        </w:tc>
        <w:tc>
          <w:tcPr>
            <w:tcW w:w="780" w:type="dxa"/>
            <w:vAlign w:val="bottom"/>
            <w:tcBorders>
              <w:bottom w:val="single" w:sz="8" w:color="CCECFF"/>
            </w:tcBorders>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09/29/2024</w:t>
            </w:r>
          </w:p>
        </w:tc>
        <w:tc>
          <w:tcPr>
            <w:tcW w:w="180" w:type="dxa"/>
            <w:vAlign w:val="bottom"/>
            <w:tcBorders>
              <w:bottom w:val="single" w:sz="8" w:color="CCECFF"/>
            </w:tcBorders>
            <w:shd w:val="clear" w:color="auto" w:fill="CCECFF"/>
          </w:tcPr>
          <w:p>
            <w:pPr>
              <w:spacing w:after="0"/>
              <w:rPr>
                <w:sz w:val="12"/>
                <w:szCs w:val="12"/>
                <w:color w:val="auto"/>
              </w:rPr>
            </w:pPr>
          </w:p>
        </w:tc>
        <w:tc>
          <w:tcPr>
            <w:tcW w:w="248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1260" w:type="dxa"/>
            <w:vAlign w:val="bottom"/>
            <w:tcBorders>
              <w:bottom w:val="single" w:sz="8" w:color="CCECFF"/>
            </w:tcBorders>
            <w:gridSpan w:val="3"/>
            <w:shd w:val="clear" w:color="auto" w:fill="CCECFF"/>
          </w:tcPr>
          <w:p>
            <w:pPr>
              <w:jc w:val="right"/>
              <w:ind w:right="266"/>
              <w:spacing w:after="0"/>
              <w:rPr>
                <w:sz w:val="20"/>
                <w:szCs w:val="20"/>
                <w:color w:val="auto"/>
              </w:rPr>
            </w:pPr>
            <w:r>
              <w:rPr>
                <w:rFonts w:ascii="Times New Roman" w:cs="Times New Roman" w:eastAsia="Times New Roman" w:hAnsi="Times New Roman"/>
                <w:sz w:val="11"/>
                <w:szCs w:val="11"/>
                <w:color w:val="auto"/>
              </w:rPr>
              <w:t>9.50 %</w:t>
            </w:r>
          </w:p>
        </w:tc>
        <w:tc>
          <w:tcPr>
            <w:tcW w:w="7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L+850</w:t>
            </w:r>
          </w:p>
        </w:tc>
        <w:tc>
          <w:tcPr>
            <w:tcW w:w="94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16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spacing w:after="0"/>
              <w:rPr>
                <w:sz w:val="12"/>
                <w:szCs w:val="12"/>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2,955</w:t>
            </w:r>
          </w:p>
        </w:tc>
        <w:tc>
          <w:tcPr>
            <w:tcW w:w="180" w:type="dxa"/>
            <w:vAlign w:val="bottom"/>
            <w:tcBorders>
              <w:bottom w:val="single" w:sz="8" w:color="CCECFF"/>
            </w:tcBorders>
            <w:shd w:val="clear" w:color="auto" w:fill="CCECFF"/>
          </w:tcPr>
          <w:p>
            <w:pPr>
              <w:spacing w:after="0"/>
              <w:rPr>
                <w:sz w:val="12"/>
                <w:szCs w:val="12"/>
                <w:color w:val="auto"/>
              </w:rPr>
            </w:pPr>
          </w:p>
        </w:tc>
        <w:tc>
          <w:tcPr>
            <w:tcW w:w="60" w:type="dxa"/>
            <w:vAlign w:val="bottom"/>
            <w:tcBorders>
              <w:bottom w:val="single" w:sz="8" w:color="auto"/>
            </w:tcBorders>
            <w:shd w:val="clear" w:color="auto" w:fill="CCECFF"/>
          </w:tcPr>
          <w:p>
            <w:pPr>
              <w:spacing w:after="0"/>
              <w:rPr>
                <w:sz w:val="12"/>
                <w:szCs w:val="12"/>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2,925</w:t>
            </w:r>
          </w:p>
        </w:tc>
        <w:tc>
          <w:tcPr>
            <w:tcW w:w="4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2,955</w:t>
            </w:r>
          </w:p>
        </w:tc>
        <w:tc>
          <w:tcPr>
            <w:tcW w:w="1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Equity Securities - 2.6%</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42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New MPE Holdings, LLC</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80" w:type="dxa"/>
            <w:vAlign w:val="bottom"/>
          </w:tcPr>
          <w:p>
            <w:pPr>
              <w:spacing w:after="0"/>
              <w:rPr>
                <w:sz w:val="11"/>
                <w:szCs w:val="11"/>
                <w:color w:val="auto"/>
              </w:rPr>
            </w:pPr>
          </w:p>
        </w:tc>
        <w:tc>
          <w:tcPr>
            <w:tcW w:w="1180" w:type="dxa"/>
            <w:vAlign w:val="bottom"/>
            <w:gridSpan w:val="2"/>
          </w:tcPr>
          <w:p>
            <w:pPr>
              <w:jc w:val="right"/>
              <w:ind w:right="3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Equity Securities</w:t>
            </w: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248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42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539</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- 1,113.3%</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705,293</w:t>
            </w:r>
          </w:p>
        </w:tc>
        <w:tc>
          <w:tcPr>
            <w:tcW w:w="1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704,958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 - 32.2%</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42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20,373</w:t>
            </w:r>
          </w:p>
        </w:tc>
        <w:tc>
          <w:tcPr>
            <w:tcW w:w="1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20,383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248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42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20,373</w:t>
            </w:r>
          </w:p>
        </w:tc>
        <w:tc>
          <w:tcPr>
            <w:tcW w:w="18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20,383</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 —1,145.5%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725,666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725,341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 in Excess of Other Assets — (1,045.5)%</w:t>
            </w: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109"/>
        </w:trPr>
        <w:tc>
          <w:tcPr>
            <w:tcW w:w="30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(662,021</w:t>
            </w: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Members' Equity—100.0%</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63,320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6545580</wp:posOffset>
            </wp:positionH>
            <wp:positionV relativeFrom="paragraph">
              <wp:posOffset>-1327785</wp:posOffset>
            </wp:positionV>
            <wp:extent cx="2603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-1327785</wp:posOffset>
            </wp:positionV>
            <wp:extent cx="2603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-1062355</wp:posOffset>
            </wp:positionV>
            <wp:extent cx="2603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-1062355</wp:posOffset>
            </wp:positionV>
            <wp:extent cx="2603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-694055</wp:posOffset>
            </wp:positionV>
            <wp:extent cx="2603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-694055</wp:posOffset>
            </wp:positionV>
            <wp:extent cx="2603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-325120</wp:posOffset>
            </wp:positionV>
            <wp:extent cx="2603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-325120</wp:posOffset>
            </wp:positionV>
            <wp:extent cx="2603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9461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spacing w:after="0" w:line="34" w:lineRule="exact"/>
        <w:rPr>
          <w:sz w:val="20"/>
          <w:szCs w:val="20"/>
          <w:color w:val="auto"/>
        </w:rPr>
      </w:pPr>
    </w:p>
    <w:p>
      <w:pPr>
        <w:ind w:left="380" w:right="20" w:hanging="372"/>
        <w:spacing w:after="0" w:line="230" w:lineRule="auto"/>
        <w:tabs>
          <w:tab w:leader="none" w:pos="380" w:val="left"/>
        </w:tabs>
        <w:numPr>
          <w:ilvl w:val="0"/>
          <w:numId w:val="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ind w:left="380" w:hanging="372"/>
        <w:spacing w:after="0" w:line="221" w:lineRule="auto"/>
        <w:tabs>
          <w:tab w:leader="none" w:pos="380" w:val="left"/>
        </w:tabs>
        <w:numPr>
          <w:ilvl w:val="0"/>
          <w:numId w:val="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Valued based on PSSL’s accounting policy.</w:t>
      </w:r>
    </w:p>
    <w:p>
      <w:pPr>
        <w:spacing w:after="0" w:line="34" w:lineRule="exact"/>
        <w:rPr>
          <w:rFonts w:ascii="Times New Roman" w:cs="Times New Roman" w:eastAsia="Times New Roman" w:hAnsi="Times New Roman"/>
          <w:sz w:val="14"/>
          <w:szCs w:val="14"/>
          <w:color w:val="auto"/>
          <w:vertAlign w:val="superscript"/>
        </w:rPr>
      </w:pPr>
    </w:p>
    <w:p>
      <w:pPr>
        <w:ind w:left="380" w:hanging="372"/>
        <w:spacing w:after="0" w:line="191" w:lineRule="auto"/>
        <w:tabs>
          <w:tab w:leader="none" w:pos="380" w:val="left"/>
        </w:tabs>
        <w:numPr>
          <w:ilvl w:val="0"/>
          <w:numId w:val="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Non-U.S. company or principal place of business outside the United States.</w:t>
      </w:r>
    </w:p>
    <w:p>
      <w:pPr>
        <w:spacing w:after="0" w:line="33" w:lineRule="exact"/>
        <w:rPr>
          <w:rFonts w:ascii="Times New Roman" w:cs="Times New Roman" w:eastAsia="Times New Roman" w:hAnsi="Times New Roman"/>
          <w:sz w:val="14"/>
          <w:szCs w:val="14"/>
          <w:color w:val="auto"/>
          <w:vertAlign w:val="superscript"/>
        </w:rPr>
      </w:pPr>
    </w:p>
    <w:p>
      <w:pPr>
        <w:ind w:left="380" w:hanging="372"/>
        <w:spacing w:after="0" w:line="191" w:lineRule="auto"/>
        <w:tabs>
          <w:tab w:leader="none" w:pos="380" w:val="left"/>
        </w:tabs>
        <w:numPr>
          <w:ilvl w:val="0"/>
          <w:numId w:val="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Non-income producing security.</w:t>
      </w:r>
    </w:p>
    <w:p>
      <w:pPr>
        <w:spacing w:after="0" w:line="33" w:lineRule="exact"/>
        <w:rPr>
          <w:rFonts w:ascii="Times New Roman" w:cs="Times New Roman" w:eastAsia="Times New Roman" w:hAnsi="Times New Roman"/>
          <w:sz w:val="14"/>
          <w:szCs w:val="14"/>
          <w:color w:val="auto"/>
          <w:vertAlign w:val="superscript"/>
        </w:rPr>
      </w:pPr>
    </w:p>
    <w:p>
      <w:pPr>
        <w:ind w:left="380" w:hanging="372"/>
        <w:spacing w:after="0" w:line="191" w:lineRule="auto"/>
        <w:tabs>
          <w:tab w:leader="none" w:pos="380" w:val="left"/>
        </w:tabs>
        <w:numPr>
          <w:ilvl w:val="0"/>
          <w:numId w:val="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Below is a listing of PSSL’s individual investments as of September 30, 2021 (Par and $ in thousands)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8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0"/>
              </w:rPr>
              <w:t xml:space="preserve">Fair Value </w:t>
            </w:r>
            <w:r>
              <w:rPr>
                <w:rFonts w:ascii="Times New Roman" w:cs="Times New Roman" w:eastAsia="Times New Roman" w:hAnsi="Times New Roman"/>
                <w:sz w:val="14"/>
                <w:szCs w:val="14"/>
                <w:b w:val="1"/>
                <w:bCs w:val="1"/>
                <w:color w:val="auto"/>
                <w:w w:val="90"/>
                <w:vertAlign w:val="superscript"/>
              </w:rPr>
              <w:t>(2)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40" w:type="dxa"/>
            <w:vAlign w:val="bottom"/>
          </w:tcPr>
          <w:p>
            <w:pPr>
              <w:spacing w:after="0"/>
              <w:rPr>
                <w:sz w:val="14"/>
                <w:szCs w:val="14"/>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4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14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Par</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 - 1,088.%</w:t>
            </w:r>
          </w:p>
        </w:tc>
        <w:tc>
          <w:tcPr>
            <w:tcW w:w="1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5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Ad.net Acquisition,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05/06/2026</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7.00 %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8,978</w:t>
            </w:r>
          </w:p>
        </w:tc>
        <w:tc>
          <w:tcPr>
            <w:tcW w:w="3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8,852</w:t>
            </w:r>
          </w:p>
        </w:tc>
        <w:tc>
          <w:tcPr>
            <w:tcW w:w="2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8,843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Altamira Technologies,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07/24/2025</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8.00 %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5,525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5,376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5,180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12/21/2023</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Building Products</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5,721</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5,653</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5,663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07/31/2025</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6.25 %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1,021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B</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07/31/2025</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2,222</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2,222</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07/31/2025</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6.25 %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4,174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4,103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4,132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Applied Technical Services,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12/29/2026</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4,511</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4,419</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4,421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By Light Professional IT Services,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05/16/2022</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High Tech Industries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7.25 %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12,880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12,869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12,880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60" w:type="dxa"/>
            <w:vAlign w:val="bottom"/>
            <w:shd w:val="clear" w:color="auto" w:fill="CCECFF"/>
          </w:tcPr>
          <w:p>
            <w:pPr>
              <w:ind w:left="20"/>
              <w:spacing w:after="0" w:line="122" w:lineRule="exact"/>
              <w:rPr>
                <w:sz w:val="20"/>
                <w:szCs w:val="20"/>
                <w:color w:val="auto"/>
              </w:rPr>
            </w:pPr>
            <w:r>
              <w:rPr>
                <w:rFonts w:ascii="Times New Roman" w:cs="Times New Roman" w:eastAsia="Times New Roman" w:hAnsi="Times New Roman"/>
                <w:sz w:val="11"/>
                <w:szCs w:val="11"/>
                <w:color w:val="auto"/>
              </w:rPr>
              <w:t>Cadence Aerospace, LLC</w:t>
            </w:r>
          </w:p>
        </w:tc>
        <w:tc>
          <w:tcPr>
            <w:tcW w:w="80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11/14/2023</w:t>
            </w:r>
          </w:p>
        </w:tc>
        <w:tc>
          <w:tcPr>
            <w:tcW w:w="140" w:type="dxa"/>
            <w:vAlign w:val="bottom"/>
            <w:shd w:val="clear" w:color="auto" w:fill="CCECFF"/>
          </w:tcPr>
          <w:p>
            <w:pPr>
              <w:spacing w:after="0"/>
              <w:rPr>
                <w:sz w:val="10"/>
                <w:szCs w:val="10"/>
                <w:color w:val="auto"/>
              </w:rPr>
            </w:pPr>
          </w:p>
        </w:tc>
        <w:tc>
          <w:tcPr>
            <w:tcW w:w="25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120" w:type="dxa"/>
            <w:vAlign w:val="bottom"/>
            <w:gridSpan w:val="3"/>
            <w:shd w:val="clear" w:color="auto" w:fill="CCEC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9.50 %</w:t>
            </w:r>
          </w:p>
        </w:tc>
        <w:tc>
          <w:tcPr>
            <w:tcW w:w="8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L+850</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12,282</w:t>
            </w:r>
          </w:p>
        </w:tc>
        <w:tc>
          <w:tcPr>
            <w:tcW w:w="1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12,231</w:t>
            </w:r>
          </w:p>
        </w:tc>
        <w:tc>
          <w:tcPr>
            <w:tcW w:w="16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11,981</w:t>
            </w:r>
          </w:p>
        </w:tc>
        <w:tc>
          <w:tcPr>
            <w:tcW w:w="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25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8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P(IK 9.50%)</w:t>
            </w:r>
          </w:p>
        </w:tc>
        <w:tc>
          <w:tcPr>
            <w:tcW w:w="8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Cano Health</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11/23/2027</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&amp; Childcare</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5.25 %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2,653</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2,647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2,654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CHA Holdings,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04/10/2025</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Construction and Engineering</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5.50 %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5,615</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5,519</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5,530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Challenger Performance Optimization, Inc.</w:t>
            </w:r>
          </w:p>
        </w:tc>
        <w:tc>
          <w:tcPr>
            <w:tcW w:w="800" w:type="dxa"/>
            <w:vAlign w:val="bottom"/>
            <w:gridSpan w:val="2"/>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9"/>
              </w:rPr>
              <w:t>08/31/2023</w:t>
            </w:r>
          </w:p>
        </w:tc>
        <w:tc>
          <w:tcPr>
            <w:tcW w:w="140" w:type="dxa"/>
            <w:vAlign w:val="bottom"/>
          </w:tcPr>
          <w:p>
            <w:pPr>
              <w:spacing w:after="0"/>
              <w:rPr>
                <w:sz w:val="10"/>
                <w:szCs w:val="10"/>
                <w:color w:val="auto"/>
              </w:rPr>
            </w:pPr>
          </w:p>
        </w:tc>
        <w:tc>
          <w:tcPr>
            <w:tcW w:w="25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12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8.00 %</w:t>
            </w: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1M L+675</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9,501</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9,454</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9,216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P(IK 1.00%)</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Connatix Buyer,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07/13/2027</w:t>
            </w:r>
          </w:p>
        </w:tc>
        <w:tc>
          <w:tcPr>
            <w:tcW w:w="140" w:type="dxa"/>
            <w:vAlign w:val="bottom"/>
            <w:shd w:val="clear" w:color="auto" w:fill="CCECFF"/>
          </w:tcPr>
          <w:p>
            <w:pPr>
              <w:spacing w:after="0"/>
              <w:rPr>
                <w:sz w:val="12"/>
                <w:szCs w:val="12"/>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6.25 %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4,000</w:t>
            </w:r>
          </w:p>
        </w:tc>
        <w:tc>
          <w:tcPr>
            <w:tcW w:w="1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3,922</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3,920</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CoolSys, Inc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08/04/2028</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5.50 %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1,909</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Crane 1 Services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08/16/2027</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2,132</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2,100</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2,110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Crash Champions,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08/05/2025</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Automobiles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8,978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8,802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8,798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Digital Room Holdings,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05/22/2026</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5.08 %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3,228</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3,111</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3,186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Douglas Products and Packaging Company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10/19/2022</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8,746</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8,695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8,746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Douglas Sewer Intermediate,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10/19/2022</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7,323</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7,278</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7,323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Dr. Squatch, LLC</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8/27/2026</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Personal Products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9,803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DRS Holdings III, Inc.</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11/03/2025</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7.25 %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15,676</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15,584</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15,566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East Valley Tourist Development Authority</w:t>
            </w:r>
          </w:p>
        </w:tc>
        <w:tc>
          <w:tcPr>
            <w:tcW w:w="800" w:type="dxa"/>
            <w:vAlign w:val="bottom"/>
            <w:gridSpan w:val="2"/>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9"/>
              </w:rPr>
              <w:t>03/07/2022</w:t>
            </w:r>
          </w:p>
        </w:tc>
        <w:tc>
          <w:tcPr>
            <w:tcW w:w="140" w:type="dxa"/>
            <w:vAlign w:val="bottom"/>
          </w:tcPr>
          <w:p>
            <w:pPr>
              <w:spacing w:after="0"/>
              <w:rPr>
                <w:sz w:val="10"/>
                <w:szCs w:val="10"/>
                <w:color w:val="auto"/>
              </w:rPr>
            </w:pPr>
          </w:p>
        </w:tc>
        <w:tc>
          <w:tcPr>
            <w:tcW w:w="25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Hotels, Restaurants and Leisure</w:t>
            </w:r>
          </w:p>
        </w:tc>
        <w:tc>
          <w:tcPr>
            <w:tcW w:w="112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9.00 %</w:t>
            </w: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L+800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5,719</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5,624</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5,633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P(IK 3.50%)</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ECL Entertainment,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03/312028</w:t>
            </w:r>
          </w:p>
        </w:tc>
        <w:tc>
          <w:tcPr>
            <w:tcW w:w="140" w:type="dxa"/>
            <w:vAlign w:val="bottom"/>
            <w:shd w:val="clear" w:color="auto" w:fill="CCECFF"/>
          </w:tcPr>
          <w:p>
            <w:pPr>
              <w:spacing w:after="0"/>
              <w:rPr>
                <w:sz w:val="12"/>
                <w:szCs w:val="12"/>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Hotels, Restaurants and Leisure</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8.25 %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2,647</w:t>
            </w:r>
          </w:p>
        </w:tc>
        <w:tc>
          <w:tcPr>
            <w:tcW w:w="1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2,621</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2,707</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ECM Industries,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12/23/2025</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5.50 %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4,994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4,994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4,894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Fairbanks More Defense</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06/17/2028</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5.50 %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9,955</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FlexPrint,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01/02/2024</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6.02 %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L+590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4,770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4,732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4,746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Gantech Acquisition Corp.</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05/14/2026</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IT Services</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7.25 %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14,925</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14,648</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14,627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Global Holdings InterCo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03/16/2026</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Diversified Financial Services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3,968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3,948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3,948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Graffiti Buyer,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08/10/2027</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Trding Companies &amp; Distributors</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2,393</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2,346</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2,357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Hancock Roofing and Construction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12/31/2026</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2,481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Holdco Sands Intermediate,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12/19/2025</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7.50 %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6,474</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6,407</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6,441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IMIA Holdings, Inc.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04/09/2027</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13,589</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13,338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13,317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Integrative Nutrition,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09/29/2023</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5.50 %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11,567</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11,528</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11,567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12/20/2023</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8.00 %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19,450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19,193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18,933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60" w:type="dxa"/>
            <w:vAlign w:val="bottom"/>
            <w:shd w:val="clear" w:color="auto" w:fill="CCECFF"/>
          </w:tcPr>
          <w:p>
            <w:pPr>
              <w:ind w:left="20"/>
              <w:spacing w:after="0" w:line="122" w:lineRule="exact"/>
              <w:rPr>
                <w:sz w:val="20"/>
                <w:szCs w:val="20"/>
                <w:color w:val="auto"/>
              </w:rPr>
            </w:pPr>
            <w:r>
              <w:rPr>
                <w:rFonts w:ascii="Times New Roman" w:cs="Times New Roman" w:eastAsia="Times New Roman" w:hAnsi="Times New Roman"/>
                <w:sz w:val="11"/>
                <w:szCs w:val="11"/>
                <w:color w:val="auto"/>
              </w:rPr>
              <w:t>LAV Gear Holdings, Inc.</w:t>
            </w:r>
          </w:p>
        </w:tc>
        <w:tc>
          <w:tcPr>
            <w:tcW w:w="800" w:type="dxa"/>
            <w:vAlign w:val="bottom"/>
            <w:gridSpan w:val="2"/>
            <w:shd w:val="clear" w:color="auto" w:fill="CCECFF"/>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9"/>
              </w:rPr>
              <w:t>10/31/2024</w:t>
            </w:r>
          </w:p>
        </w:tc>
        <w:tc>
          <w:tcPr>
            <w:tcW w:w="140" w:type="dxa"/>
            <w:vAlign w:val="bottom"/>
            <w:shd w:val="clear" w:color="auto" w:fill="CCECFF"/>
          </w:tcPr>
          <w:p>
            <w:pPr>
              <w:spacing w:after="0"/>
              <w:rPr>
                <w:sz w:val="10"/>
                <w:szCs w:val="10"/>
                <w:color w:val="auto"/>
              </w:rPr>
            </w:pPr>
          </w:p>
        </w:tc>
        <w:tc>
          <w:tcPr>
            <w:tcW w:w="25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Capital Equipment</w:t>
            </w:r>
          </w:p>
        </w:tc>
        <w:tc>
          <w:tcPr>
            <w:tcW w:w="1120" w:type="dxa"/>
            <w:vAlign w:val="bottom"/>
            <w:gridSpan w:val="3"/>
            <w:shd w:val="clear" w:color="auto" w:fill="CCEC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8.50 %</w:t>
            </w:r>
          </w:p>
        </w:tc>
        <w:tc>
          <w:tcPr>
            <w:tcW w:w="8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L+750</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10,491</w:t>
            </w:r>
          </w:p>
        </w:tc>
        <w:tc>
          <w:tcPr>
            <w:tcW w:w="1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10,435</w:t>
            </w:r>
          </w:p>
        </w:tc>
        <w:tc>
          <w:tcPr>
            <w:tcW w:w="16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9,833</w:t>
            </w:r>
          </w:p>
        </w:tc>
        <w:tc>
          <w:tcPr>
            <w:tcW w:w="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25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8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P(IK 1.00%)</w:t>
            </w:r>
          </w:p>
        </w:tc>
        <w:tc>
          <w:tcPr>
            <w:tcW w:w="8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0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Lightspeed Buyer Inc.</w:t>
            </w:r>
          </w:p>
        </w:tc>
        <w:tc>
          <w:tcPr>
            <w:tcW w:w="80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8"/>
              </w:rPr>
              <w:t>02/3/2026</w:t>
            </w:r>
          </w:p>
        </w:tc>
        <w:tc>
          <w:tcPr>
            <w:tcW w:w="140" w:type="dxa"/>
            <w:vAlign w:val="bottom"/>
          </w:tcPr>
          <w:p>
            <w:pPr>
              <w:spacing w:after="0"/>
              <w:rPr>
                <w:sz w:val="10"/>
                <w:szCs w:val="10"/>
                <w:color w:val="auto"/>
              </w:rPr>
            </w:pPr>
          </w:p>
        </w:tc>
        <w:tc>
          <w:tcPr>
            <w:tcW w:w="25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Providers and Services</w:t>
            </w:r>
          </w:p>
        </w:tc>
        <w:tc>
          <w:tcPr>
            <w:tcW w:w="112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6.75 %</w:t>
            </w: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1M L+575</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5,707</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5,606</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5,707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06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Lucky Bucks,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07/20/2027</w:t>
            </w:r>
          </w:p>
        </w:tc>
        <w:tc>
          <w:tcPr>
            <w:tcW w:w="140" w:type="dxa"/>
            <w:vAlign w:val="bottom"/>
          </w:tcPr>
          <w:p>
            <w:pPr>
              <w:spacing w:after="0"/>
              <w:rPr>
                <w:sz w:val="10"/>
                <w:szCs w:val="10"/>
                <w:color w:val="auto"/>
              </w:rPr>
            </w:pPr>
          </w:p>
        </w:tc>
        <w:tc>
          <w:tcPr>
            <w:tcW w:w="25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6"/>
              </w:rPr>
              <w:t>Hotel, Gaming and Leisure</w:t>
            </w:r>
          </w:p>
        </w:tc>
        <w:tc>
          <w:tcPr>
            <w:tcW w:w="1120" w:type="dxa"/>
            <w:vAlign w:val="bottom"/>
            <w:gridSpan w:val="3"/>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6.25 %</w:t>
            </w:r>
          </w:p>
        </w:tc>
        <w:tc>
          <w:tcPr>
            <w:tcW w:w="8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L+550</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4,500</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4,411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4,424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6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Marketplace Events, LLC </w:t>
            </w:r>
            <w:r>
              <w:rPr>
                <w:rFonts w:ascii="Times New Roman" w:cs="Times New Roman" w:eastAsia="Times New Roman" w:hAnsi="Times New Roman"/>
                <w:sz w:val="14"/>
                <w:szCs w:val="14"/>
                <w:color w:val="auto"/>
                <w:vertAlign w:val="superscript"/>
              </w:rPr>
              <w:t>(3)(4)</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09/30/2025</w:t>
            </w:r>
          </w:p>
        </w:tc>
        <w:tc>
          <w:tcPr>
            <w:tcW w:w="140" w:type="dxa"/>
            <w:vAlign w:val="bottom"/>
          </w:tcPr>
          <w:p>
            <w:pPr>
              <w:spacing w:after="0"/>
              <w:rPr>
                <w:sz w:val="13"/>
                <w:szCs w:val="13"/>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1"/>
                <w:szCs w:val="11"/>
                <w:color w:val="auto"/>
              </w:rPr>
              <w:t>Media: Diversified and Production</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6.25 %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617</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617</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Super Priority First Lien Term Loan</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P(IK 6.25%)</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060" w:type="dxa"/>
            <w:vAlign w:val="bottom"/>
          </w:tcPr>
          <w:p>
            <w:pPr>
              <w:ind w:left="20"/>
              <w:spacing w:after="0" w:line="109" w:lineRule="exact"/>
              <w:rPr>
                <w:sz w:val="20"/>
                <w:szCs w:val="20"/>
                <w:color w:val="auto"/>
              </w:rPr>
            </w:pPr>
            <w:r>
              <w:rPr>
                <w:rFonts w:ascii="Times New Roman" w:cs="Times New Roman" w:eastAsia="Times New Roman" w:hAnsi="Times New Roman"/>
                <w:sz w:val="11"/>
                <w:szCs w:val="11"/>
                <w:color w:val="auto"/>
                <w:w w:val="99"/>
              </w:rPr>
              <w:t>Marketplace Events, LLC - Super Priority First Lien Unfunded Term</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060" w:type="dxa"/>
            <w:vAlign w:val="bottom"/>
          </w:tcPr>
          <w:p>
            <w:pPr>
              <w:ind w:left="20"/>
              <w:spacing w:after="0" w:line="130" w:lineRule="exact"/>
              <w:rPr>
                <w:sz w:val="20"/>
                <w:szCs w:val="20"/>
                <w:color w:val="auto"/>
              </w:rPr>
            </w:pPr>
            <w:r>
              <w:rPr>
                <w:rFonts w:ascii="Times New Roman" w:cs="Times New Roman" w:eastAsia="Times New Roman" w:hAnsi="Times New Roman"/>
                <w:sz w:val="15"/>
                <w:szCs w:val="15"/>
                <w:color w:val="auto"/>
                <w:vertAlign w:val="subscript"/>
              </w:rPr>
              <w:t>Loan</w:t>
            </w:r>
            <w:r>
              <w:rPr>
                <w:rFonts w:ascii="Times New Roman" w:cs="Times New Roman" w:eastAsia="Times New Roman" w:hAnsi="Times New Roman"/>
                <w:sz w:val="6"/>
                <w:szCs w:val="6"/>
                <w:color w:val="auto"/>
              </w:rPr>
              <w:t xml:space="preserve"> (3)(4)</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09/30/2025</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 Diversified and Production</w:t>
            </w:r>
          </w:p>
        </w:tc>
        <w:tc>
          <w:tcPr>
            <w:tcW w:w="140" w:type="dxa"/>
            <w:vAlign w:val="bottom"/>
          </w:tcPr>
          <w:p>
            <w:pPr>
              <w:spacing w:after="0"/>
              <w:rPr>
                <w:sz w:val="11"/>
                <w:szCs w:val="11"/>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589</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Marketplace Events LLC </w:t>
            </w:r>
            <w:r>
              <w:rPr>
                <w:rFonts w:ascii="Times New Roman" w:cs="Times New Roman" w:eastAsia="Times New Roman" w:hAnsi="Times New Roman"/>
                <w:sz w:val="14"/>
                <w:szCs w:val="14"/>
                <w:color w:val="auto"/>
                <w:vertAlign w:val="superscript"/>
              </w:rPr>
              <w:t>(4)</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09/30/2026</w:t>
            </w:r>
          </w:p>
        </w:tc>
        <w:tc>
          <w:tcPr>
            <w:tcW w:w="140" w:type="dxa"/>
            <w:vAlign w:val="bottom"/>
          </w:tcPr>
          <w:p>
            <w:pPr>
              <w:spacing w:after="0"/>
              <w:rPr>
                <w:sz w:val="14"/>
                <w:szCs w:val="14"/>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 Diversified and Production</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0.00 %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4,615</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3,441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Mars Acquisition Holdings Corp.</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05/14/2026</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9,813</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MBS Holdings, Inc.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04/16/2027</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Internet Software and Services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7,481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7,338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7,332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MeritDirect,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05/23/2024</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Media: Advertising, Printing &amp; Publishing</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5,532</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5,412</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5,477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Mission Critical Electronics, Inc.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09/28/2022</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5,890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5,877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5,890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NBH Group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08/19/2026</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Healthcare, Education &amp; Culture</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10,902</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10,687</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10,684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New Milani Group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06/06/2024</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Goods: Non-Durable</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14,550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14,481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13,895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OIS Management Services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07/09/2026</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5.75 %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L+475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1,995</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1,966</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1,965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One Stop Mailing,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05/07/2027</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Air Freight and Logistics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7.25 %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14,920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14,631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14,659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Output Services Group,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03/27/2024</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5.50 %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7,743</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7,733</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7,047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Ox Two,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05/18/2026</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Construction and Building</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4,975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4,876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PH Beauty Holdings III,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09/29/2025</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4"/>
              </w:rPr>
              <w:t>Wholesale</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5.12 %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9,693</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9,514</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9,467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Plant Health Intermediate, Inc.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10/19/2022</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1,578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PlayPower, Inc.</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05/8/2026</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5.63 %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3,805</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3,720</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3,736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Recteq,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01/29/2026</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4,975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Research Now Group, Inc. and Survey Sampling International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12/20/2024</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10,680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10,592</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10,544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Sales Benchmark Index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01/03/2025</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7.75 %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5,578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5,496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5,439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Sargent &amp; Greenleaf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12/20/2024</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4"/>
              </w:rPr>
              <w:t>Wholesale</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7.00 %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5,550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5,493</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5,550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Schlesinger Global, Inc.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07/14/2025</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8.00 %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11,785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11,760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11,254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Smile Brands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10/14/2024</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Healthcare and Pharmaceuticals</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5.32 %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12,576</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12,459</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12,451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Snak Club,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07/19/2022</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Beverage, Food and Tobacco</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4,388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4,362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4,388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Solutionreach,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01/17/2024</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Healthcare and Pharmaceuticals</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5,892</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5,854</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5,892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-2305050</wp:posOffset>
            </wp:positionV>
            <wp:extent cx="7132320" cy="8572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-2047875</wp:posOffset>
            </wp:positionV>
            <wp:extent cx="7132320" cy="16319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2700" w:type="dxa"/>
            <w:vAlign w:val="bottom"/>
            <w:tcBorders>
              <w:top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5"/>
              </w:rPr>
              <w:t>Basis Point</w:t>
            </w: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w w:val="95"/>
              </w:rPr>
              <w:t>Spread</w:t>
            </w: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tcPr>
          <w:p>
            <w:pPr>
              <w:jc w:val="right"/>
              <w:ind w:right="366"/>
              <w:spacing w:after="0" w:line="111" w:lineRule="exact"/>
              <w:rPr>
                <w:sz w:val="20"/>
                <w:szCs w:val="20"/>
                <w:color w:val="auto"/>
              </w:rPr>
            </w:pPr>
            <w:r>
              <w:rPr>
                <w:rFonts w:ascii="Times New Roman" w:cs="Times New Roman" w:eastAsia="Times New Roman" w:hAnsi="Times New Roman"/>
                <w:sz w:val="11"/>
                <w:szCs w:val="11"/>
                <w:b w:val="1"/>
                <w:bCs w:val="1"/>
                <w:color w:val="auto"/>
              </w:rPr>
              <w:t>Current</w:t>
            </w:r>
          </w:p>
        </w:tc>
        <w:tc>
          <w:tcPr>
            <w:tcW w:w="78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3"/>
              </w:rPr>
              <w:t>Above</w:t>
            </w:r>
          </w:p>
        </w:tc>
        <w:tc>
          <w:tcPr>
            <w:tcW w:w="160" w:type="dxa"/>
            <w:vAlign w:val="bottom"/>
          </w:tcPr>
          <w:p>
            <w:pPr>
              <w:spacing w:after="0"/>
              <w:rPr>
                <w:sz w:val="9"/>
                <w:szCs w:val="9"/>
                <w:color w:val="auto"/>
              </w:rPr>
            </w:pPr>
          </w:p>
        </w:tc>
        <w:tc>
          <w:tcPr>
            <w:tcW w:w="1100" w:type="dxa"/>
            <w:vAlign w:val="bottom"/>
            <w:gridSpan w:val="3"/>
          </w:tcPr>
          <w:p>
            <w:pPr>
              <w:jc w:val="center"/>
              <w:ind w:right="320"/>
              <w:spacing w:after="0" w:line="111" w:lineRule="exact"/>
              <w:rPr>
                <w:sz w:val="20"/>
                <w:szCs w:val="20"/>
                <w:color w:val="auto"/>
              </w:rPr>
            </w:pPr>
            <w:r>
              <w:rPr>
                <w:rFonts w:ascii="Times New Roman" w:cs="Times New Roman" w:eastAsia="Times New Roman" w:hAnsi="Times New Roman"/>
                <w:sz w:val="11"/>
                <w:szCs w:val="11"/>
                <w:b w:val="1"/>
                <w:bCs w:val="1"/>
                <w:color w:val="auto"/>
                <w:w w:val="95"/>
              </w:rPr>
              <w:t>Par /</w:t>
            </w: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restart"/>
          </w:tcPr>
          <w:p>
            <w:pPr>
              <w:jc w:val="right"/>
              <w:ind w:right="82"/>
              <w:spacing w:after="0"/>
              <w:rPr>
                <w:sz w:val="20"/>
                <w:szCs w:val="20"/>
                <w:color w:val="auto"/>
              </w:rPr>
            </w:pPr>
            <w:r>
              <w:rPr>
                <w:rFonts w:ascii="Times New Roman" w:cs="Times New Roman" w:eastAsia="Times New Roman" w:hAnsi="Times New Roman"/>
                <w:sz w:val="11"/>
                <w:szCs w:val="11"/>
                <w:b w:val="1"/>
                <w:bCs w:val="1"/>
                <w:color w:val="auto"/>
                <w:w w:val="90"/>
              </w:rPr>
              <w:t xml:space="preserve">Fair Value </w:t>
            </w:r>
            <w:r>
              <w:rPr>
                <w:rFonts w:ascii="Times New Roman" w:cs="Times New Roman" w:eastAsia="Times New Roman" w:hAnsi="Times New Roman"/>
                <w:sz w:val="14"/>
                <w:szCs w:val="14"/>
                <w:b w:val="1"/>
                <w:bCs w:val="1"/>
                <w:color w:val="auto"/>
                <w:w w:val="90"/>
                <w:vertAlign w:val="superscript"/>
              </w:rPr>
              <w:t>(2)</w:t>
            </w:r>
          </w:p>
        </w:tc>
        <w:tc>
          <w:tcPr>
            <w:tcW w:w="0" w:type="dxa"/>
            <w:vAlign w:val="bottom"/>
          </w:tcPr>
          <w:p>
            <w:pPr>
              <w:spacing w:after="0"/>
              <w:rPr>
                <w:sz w:val="1"/>
                <w:szCs w:val="1"/>
                <w:color w:val="auto"/>
              </w:rPr>
            </w:pPr>
          </w:p>
        </w:tc>
      </w:tr>
      <w:tr>
        <w:trPr>
          <w:trHeight w:val="162"/>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200" w:type="dxa"/>
            <w:vAlign w:val="bottom"/>
          </w:tcPr>
          <w:p>
            <w:pPr>
              <w:spacing w:after="0"/>
              <w:rPr>
                <w:sz w:val="14"/>
                <w:szCs w:val="14"/>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40" w:type="dxa"/>
            <w:vAlign w:val="bottom"/>
          </w:tcPr>
          <w:p>
            <w:pPr>
              <w:spacing w:after="0"/>
              <w:rPr>
                <w:sz w:val="14"/>
                <w:szCs w:val="14"/>
                <w:color w:val="auto"/>
              </w:rPr>
            </w:pPr>
          </w:p>
        </w:tc>
        <w:tc>
          <w:tcPr>
            <w:tcW w:w="960" w:type="dxa"/>
            <w:vAlign w:val="bottom"/>
            <w:gridSpan w:val="2"/>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(1)</w:t>
            </w:r>
          </w:p>
        </w:tc>
        <w:tc>
          <w:tcPr>
            <w:tcW w:w="160" w:type="dxa"/>
            <w:vAlign w:val="bottom"/>
          </w:tcPr>
          <w:p>
            <w:pPr>
              <w:spacing w:after="0"/>
              <w:rPr>
                <w:sz w:val="14"/>
                <w:szCs w:val="14"/>
                <w:color w:val="auto"/>
              </w:rPr>
            </w:pPr>
          </w:p>
        </w:tc>
        <w:tc>
          <w:tcPr>
            <w:tcW w:w="1100" w:type="dxa"/>
            <w:vAlign w:val="bottom"/>
            <w:gridSpan w:val="3"/>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60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70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Spectacle Gary Holdings, LLC</w:t>
            </w:r>
          </w:p>
        </w:tc>
        <w:tc>
          <w:tcPr>
            <w:tcW w:w="360" w:type="dxa"/>
            <w:vAlign w:val="bottom"/>
            <w:tcBorders>
              <w:top w:val="single" w:sz="8" w:color="auto"/>
            </w:tcBorders>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12/23/2025</w:t>
            </w:r>
          </w:p>
        </w:tc>
        <w:tc>
          <w:tcPr>
            <w:tcW w:w="200" w:type="dxa"/>
            <w:vAlign w:val="bottom"/>
            <w:shd w:val="clear" w:color="auto" w:fill="CCECFF"/>
          </w:tcPr>
          <w:p>
            <w:pPr>
              <w:spacing w:after="0"/>
              <w:rPr>
                <w:sz w:val="11"/>
                <w:szCs w:val="11"/>
                <w:color w:val="auto"/>
              </w:rPr>
            </w:pPr>
          </w:p>
        </w:tc>
        <w:tc>
          <w:tcPr>
            <w:tcW w:w="252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Hotels, Restaurants and Leisure</w:t>
            </w:r>
          </w:p>
        </w:tc>
        <w:tc>
          <w:tcPr>
            <w:tcW w:w="140" w:type="dxa"/>
            <w:vAlign w:val="bottom"/>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11.00</w:t>
            </w:r>
          </w:p>
        </w:tc>
        <w:tc>
          <w:tcPr>
            <w:tcW w:w="260" w:type="dxa"/>
            <w:vAlign w:val="bottom"/>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w w:val="86"/>
              </w:rPr>
              <w:t>%</w:t>
            </w:r>
          </w:p>
        </w:tc>
        <w:tc>
          <w:tcPr>
            <w:tcW w:w="7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L+900</w:t>
            </w:r>
          </w:p>
        </w:tc>
        <w:tc>
          <w:tcPr>
            <w:tcW w:w="160" w:type="dxa"/>
            <w:vAlign w:val="bottom"/>
            <w:shd w:val="clear" w:color="auto" w:fill="CCECFF"/>
          </w:tcPr>
          <w:p>
            <w:pPr>
              <w:spacing w:after="0"/>
              <w:rPr>
                <w:sz w:val="11"/>
                <w:szCs w:val="11"/>
                <w:color w:val="auto"/>
              </w:rPr>
            </w:pPr>
          </w:p>
        </w:tc>
        <w:tc>
          <w:tcPr>
            <w:tcW w:w="7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4,389</w:t>
            </w:r>
          </w:p>
        </w:tc>
        <w:tc>
          <w:tcPr>
            <w:tcW w:w="160" w:type="dxa"/>
            <w:vAlign w:val="bottom"/>
            <w:shd w:val="clear" w:color="auto" w:fill="CCECFF"/>
          </w:tcPr>
          <w:p>
            <w:pPr>
              <w:spacing w:after="0"/>
              <w:rPr>
                <w:sz w:val="11"/>
                <w:szCs w:val="11"/>
                <w:color w:val="auto"/>
              </w:rPr>
            </w:pPr>
          </w:p>
        </w:tc>
        <w:tc>
          <w:tcPr>
            <w:tcW w:w="16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4,506</w:t>
            </w:r>
          </w:p>
        </w:tc>
        <w:tc>
          <w:tcPr>
            <w:tcW w:w="160" w:type="dxa"/>
            <w:vAlign w:val="bottom"/>
            <w:shd w:val="clear" w:color="auto" w:fill="CCECFF"/>
          </w:tcPr>
          <w:p>
            <w:pPr>
              <w:spacing w:after="0"/>
              <w:rPr>
                <w:sz w:val="11"/>
                <w:szCs w:val="11"/>
                <w:color w:val="auto"/>
              </w:rPr>
            </w:pPr>
          </w:p>
        </w:tc>
        <w:tc>
          <w:tcPr>
            <w:tcW w:w="60" w:type="dxa"/>
            <w:vAlign w:val="bottom"/>
            <w:tcBorders>
              <w:top w:val="single" w:sz="8" w:color="auto"/>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4,765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STV Group Incorporated</w:t>
            </w:r>
          </w:p>
        </w:tc>
        <w:tc>
          <w:tcPr>
            <w:tcW w:w="1140" w:type="dxa"/>
            <w:vAlign w:val="bottom"/>
            <w:gridSpan w:val="3"/>
          </w:tcPr>
          <w:p>
            <w:pPr>
              <w:jc w:val="center"/>
              <w:ind w:left="446"/>
              <w:spacing w:after="0"/>
              <w:rPr>
                <w:sz w:val="20"/>
                <w:szCs w:val="20"/>
                <w:color w:val="auto"/>
              </w:rPr>
            </w:pPr>
            <w:r>
              <w:rPr>
                <w:rFonts w:ascii="Times New Roman" w:cs="Times New Roman" w:eastAsia="Times New Roman" w:hAnsi="Times New Roman"/>
                <w:sz w:val="11"/>
                <w:szCs w:val="11"/>
                <w:color w:val="auto"/>
                <w:w w:val="95"/>
              </w:rPr>
              <w:t>12/11/2026</w:t>
            </w:r>
          </w:p>
        </w:tc>
        <w:tc>
          <w:tcPr>
            <w:tcW w:w="20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Construction and Building</w:t>
            </w:r>
          </w:p>
        </w:tc>
        <w:tc>
          <w:tcPr>
            <w:tcW w:w="110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5.33 %</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9,075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9,004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9,030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TAC LifePort Purchaser, LLC</w:t>
            </w:r>
          </w:p>
        </w:tc>
        <w:tc>
          <w:tcPr>
            <w:tcW w:w="1140" w:type="dxa"/>
            <w:vAlign w:val="bottom"/>
            <w:gridSpan w:val="3"/>
            <w:shd w:val="clear" w:color="auto" w:fill="CCECFF"/>
          </w:tcPr>
          <w:p>
            <w:pPr>
              <w:jc w:val="center"/>
              <w:ind w:left="446"/>
              <w:spacing w:after="0"/>
              <w:rPr>
                <w:sz w:val="20"/>
                <w:szCs w:val="20"/>
                <w:color w:val="auto"/>
              </w:rPr>
            </w:pPr>
            <w:r>
              <w:rPr>
                <w:rFonts w:ascii="Times New Roman" w:cs="Times New Roman" w:eastAsia="Times New Roman" w:hAnsi="Times New Roman"/>
                <w:sz w:val="11"/>
                <w:szCs w:val="11"/>
                <w:color w:val="auto"/>
                <w:w w:val="95"/>
              </w:rPr>
              <w:t>03/01/2026</w:t>
            </w:r>
          </w:p>
        </w:tc>
        <w:tc>
          <w:tcPr>
            <w:tcW w:w="20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0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7.00 %</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4,950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4,860</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4,948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TeleGuam Holdings, LLC</w:t>
            </w:r>
          </w:p>
        </w:tc>
        <w:tc>
          <w:tcPr>
            <w:tcW w:w="1140" w:type="dxa"/>
            <w:vAlign w:val="bottom"/>
            <w:gridSpan w:val="3"/>
          </w:tcPr>
          <w:p>
            <w:pPr>
              <w:jc w:val="center"/>
              <w:ind w:left="446"/>
              <w:spacing w:after="0"/>
              <w:rPr>
                <w:sz w:val="20"/>
                <w:szCs w:val="20"/>
                <w:color w:val="auto"/>
              </w:rPr>
            </w:pPr>
            <w:r>
              <w:rPr>
                <w:rFonts w:ascii="Times New Roman" w:cs="Times New Roman" w:eastAsia="Times New Roman" w:hAnsi="Times New Roman"/>
                <w:sz w:val="11"/>
                <w:szCs w:val="11"/>
                <w:color w:val="auto"/>
                <w:w w:val="95"/>
              </w:rPr>
              <w:t>11/20/2025</w:t>
            </w:r>
          </w:p>
        </w:tc>
        <w:tc>
          <w:tcPr>
            <w:tcW w:w="20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10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5.50 %</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10,337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10,313</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10,234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Teneo Holdings LLC</w:t>
            </w:r>
          </w:p>
        </w:tc>
        <w:tc>
          <w:tcPr>
            <w:tcW w:w="1140" w:type="dxa"/>
            <w:vAlign w:val="bottom"/>
            <w:gridSpan w:val="3"/>
            <w:shd w:val="clear" w:color="auto" w:fill="CCECFF"/>
          </w:tcPr>
          <w:p>
            <w:pPr>
              <w:jc w:val="center"/>
              <w:ind w:left="446"/>
              <w:spacing w:after="0"/>
              <w:rPr>
                <w:sz w:val="20"/>
                <w:szCs w:val="20"/>
                <w:color w:val="auto"/>
              </w:rPr>
            </w:pPr>
            <w:r>
              <w:rPr>
                <w:rFonts w:ascii="Times New Roman" w:cs="Times New Roman" w:eastAsia="Times New Roman" w:hAnsi="Times New Roman"/>
                <w:sz w:val="11"/>
                <w:szCs w:val="11"/>
                <w:color w:val="auto"/>
                <w:w w:val="95"/>
              </w:rPr>
              <w:t>07/18/2025</w:t>
            </w:r>
          </w:p>
        </w:tc>
        <w:tc>
          <w:tcPr>
            <w:tcW w:w="20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10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6.25 %</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2,309</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2,306</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2,297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The Aegis Technologies Group, LLC</w:t>
            </w:r>
          </w:p>
        </w:tc>
        <w:tc>
          <w:tcPr>
            <w:tcW w:w="1140" w:type="dxa"/>
            <w:vAlign w:val="bottom"/>
            <w:gridSpan w:val="3"/>
          </w:tcPr>
          <w:p>
            <w:pPr>
              <w:jc w:val="center"/>
              <w:ind w:left="446"/>
              <w:spacing w:after="0"/>
              <w:rPr>
                <w:sz w:val="20"/>
                <w:szCs w:val="20"/>
                <w:color w:val="auto"/>
              </w:rPr>
            </w:pPr>
            <w:r>
              <w:rPr>
                <w:rFonts w:ascii="Times New Roman" w:cs="Times New Roman" w:eastAsia="Times New Roman" w:hAnsi="Times New Roman"/>
                <w:sz w:val="11"/>
                <w:szCs w:val="11"/>
                <w:color w:val="auto"/>
                <w:w w:val="95"/>
              </w:rPr>
              <w:t>10/31/2025</w:t>
            </w:r>
          </w:p>
        </w:tc>
        <w:tc>
          <w:tcPr>
            <w:tcW w:w="20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0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6.77 %</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5,713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5,634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5,656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Bluebird Group LLC</w:t>
            </w:r>
          </w:p>
        </w:tc>
        <w:tc>
          <w:tcPr>
            <w:tcW w:w="1140" w:type="dxa"/>
            <w:vAlign w:val="bottom"/>
            <w:gridSpan w:val="3"/>
            <w:shd w:val="clear" w:color="auto" w:fill="CCECFF"/>
          </w:tcPr>
          <w:p>
            <w:pPr>
              <w:jc w:val="center"/>
              <w:ind w:left="446"/>
              <w:spacing w:after="0"/>
              <w:rPr>
                <w:sz w:val="20"/>
                <w:szCs w:val="20"/>
                <w:color w:val="auto"/>
              </w:rPr>
            </w:pPr>
            <w:r>
              <w:rPr>
                <w:rFonts w:ascii="Times New Roman" w:cs="Times New Roman" w:eastAsia="Times New Roman" w:hAnsi="Times New Roman"/>
                <w:sz w:val="11"/>
                <w:szCs w:val="11"/>
                <w:color w:val="auto"/>
                <w:w w:val="95"/>
              </w:rPr>
              <w:t>07/27/2026</w:t>
            </w:r>
          </w:p>
        </w:tc>
        <w:tc>
          <w:tcPr>
            <w:tcW w:w="20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110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8.00 %</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1,744</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1,710</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1,733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The Infosoft Group, LLC</w:t>
            </w:r>
          </w:p>
        </w:tc>
        <w:tc>
          <w:tcPr>
            <w:tcW w:w="1140" w:type="dxa"/>
            <w:vAlign w:val="bottom"/>
            <w:gridSpan w:val="3"/>
          </w:tcPr>
          <w:p>
            <w:pPr>
              <w:jc w:val="center"/>
              <w:ind w:left="446"/>
              <w:spacing w:after="0"/>
              <w:rPr>
                <w:sz w:val="20"/>
                <w:szCs w:val="20"/>
                <w:color w:val="auto"/>
              </w:rPr>
            </w:pPr>
            <w:r>
              <w:rPr>
                <w:rFonts w:ascii="Times New Roman" w:cs="Times New Roman" w:eastAsia="Times New Roman" w:hAnsi="Times New Roman"/>
                <w:sz w:val="11"/>
                <w:szCs w:val="11"/>
                <w:color w:val="auto"/>
                <w:w w:val="95"/>
              </w:rPr>
              <w:t>09/16/2024</w:t>
            </w:r>
          </w:p>
        </w:tc>
        <w:tc>
          <w:tcPr>
            <w:tcW w:w="20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Media: Broadcasting and Subscription</w:t>
            </w:r>
          </w:p>
        </w:tc>
        <w:tc>
          <w:tcPr>
            <w:tcW w:w="110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6.75 %</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6M L+575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13,383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13,376</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13,383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Vertex Companies, LLC</w:t>
            </w:r>
          </w:p>
        </w:tc>
        <w:tc>
          <w:tcPr>
            <w:tcW w:w="1140" w:type="dxa"/>
            <w:vAlign w:val="bottom"/>
            <w:gridSpan w:val="3"/>
            <w:shd w:val="clear" w:color="auto" w:fill="CCECFF"/>
          </w:tcPr>
          <w:p>
            <w:pPr>
              <w:jc w:val="center"/>
              <w:ind w:left="446"/>
              <w:spacing w:after="0"/>
              <w:rPr>
                <w:sz w:val="20"/>
                <w:szCs w:val="20"/>
                <w:color w:val="auto"/>
              </w:rPr>
            </w:pPr>
            <w:r>
              <w:rPr>
                <w:rFonts w:ascii="Times New Roman" w:cs="Times New Roman" w:eastAsia="Times New Roman" w:hAnsi="Times New Roman"/>
                <w:sz w:val="11"/>
                <w:szCs w:val="11"/>
                <w:color w:val="auto"/>
                <w:w w:val="95"/>
              </w:rPr>
              <w:t>08/30/2027</w:t>
            </w:r>
          </w:p>
        </w:tc>
        <w:tc>
          <w:tcPr>
            <w:tcW w:w="20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Construction and Engineering</w:t>
            </w:r>
          </w:p>
        </w:tc>
        <w:tc>
          <w:tcPr>
            <w:tcW w:w="110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6.50 %</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6M L+550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5,634</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5,523</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5,529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TPC Canada Parent, Inc. and TPC US Parent, LLC</w:t>
            </w:r>
          </w:p>
        </w:tc>
        <w:tc>
          <w:tcPr>
            <w:tcW w:w="1140" w:type="dxa"/>
            <w:vAlign w:val="bottom"/>
            <w:gridSpan w:val="3"/>
          </w:tcPr>
          <w:p>
            <w:pPr>
              <w:jc w:val="center"/>
              <w:ind w:left="446"/>
              <w:spacing w:after="0"/>
              <w:rPr>
                <w:sz w:val="20"/>
                <w:szCs w:val="20"/>
                <w:color w:val="auto"/>
              </w:rPr>
            </w:pPr>
            <w:r>
              <w:rPr>
                <w:rFonts w:ascii="Times New Roman" w:cs="Times New Roman" w:eastAsia="Times New Roman" w:hAnsi="Times New Roman"/>
                <w:sz w:val="11"/>
                <w:szCs w:val="11"/>
                <w:color w:val="auto"/>
                <w:w w:val="95"/>
              </w:rPr>
              <w:t>11/24/2025</w:t>
            </w:r>
          </w:p>
        </w:tc>
        <w:tc>
          <w:tcPr>
            <w:tcW w:w="20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Goods: Non-Durable</w:t>
            </w:r>
          </w:p>
        </w:tc>
        <w:tc>
          <w:tcPr>
            <w:tcW w:w="110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6.25 %</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8,834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8,655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8,569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TVC Enterprises, LLC</w:t>
            </w:r>
          </w:p>
        </w:tc>
        <w:tc>
          <w:tcPr>
            <w:tcW w:w="1140" w:type="dxa"/>
            <w:vAlign w:val="bottom"/>
            <w:gridSpan w:val="3"/>
            <w:shd w:val="clear" w:color="auto" w:fill="CCECFF"/>
          </w:tcPr>
          <w:p>
            <w:pPr>
              <w:jc w:val="center"/>
              <w:ind w:left="446"/>
              <w:spacing w:after="0"/>
              <w:rPr>
                <w:sz w:val="20"/>
                <w:szCs w:val="20"/>
                <w:color w:val="auto"/>
              </w:rPr>
            </w:pPr>
            <w:r>
              <w:rPr>
                <w:rFonts w:ascii="Times New Roman" w:cs="Times New Roman" w:eastAsia="Times New Roman" w:hAnsi="Times New Roman"/>
                <w:sz w:val="11"/>
                <w:szCs w:val="11"/>
                <w:color w:val="auto"/>
                <w:w w:val="95"/>
              </w:rPr>
              <w:t>03/26/2026</w:t>
            </w:r>
          </w:p>
        </w:tc>
        <w:tc>
          <w:tcPr>
            <w:tcW w:w="20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110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6.75 %</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8,558</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8,593</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8,558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1140" w:type="dxa"/>
            <w:vAlign w:val="bottom"/>
            <w:gridSpan w:val="3"/>
          </w:tcPr>
          <w:p>
            <w:pPr>
              <w:jc w:val="center"/>
              <w:ind w:left="446"/>
              <w:spacing w:after="0"/>
              <w:rPr>
                <w:sz w:val="20"/>
                <w:szCs w:val="20"/>
                <w:color w:val="auto"/>
              </w:rPr>
            </w:pPr>
            <w:r>
              <w:rPr>
                <w:rFonts w:ascii="Times New Roman" w:cs="Times New Roman" w:eastAsia="Times New Roman" w:hAnsi="Times New Roman"/>
                <w:sz w:val="11"/>
                <w:szCs w:val="11"/>
                <w:color w:val="auto"/>
                <w:w w:val="95"/>
              </w:rPr>
              <w:t>06/16/2025</w:t>
            </w:r>
          </w:p>
        </w:tc>
        <w:tc>
          <w:tcPr>
            <w:tcW w:w="20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110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7.25 %</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6,636</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6,599</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6,636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Tyto Athene, LLC</w:t>
            </w:r>
          </w:p>
        </w:tc>
        <w:tc>
          <w:tcPr>
            <w:tcW w:w="1140" w:type="dxa"/>
            <w:vAlign w:val="bottom"/>
            <w:gridSpan w:val="3"/>
            <w:shd w:val="clear" w:color="auto" w:fill="CCECFF"/>
          </w:tcPr>
          <w:p>
            <w:pPr>
              <w:jc w:val="center"/>
              <w:ind w:left="446"/>
              <w:spacing w:after="0"/>
              <w:rPr>
                <w:sz w:val="20"/>
                <w:szCs w:val="20"/>
                <w:color w:val="auto"/>
              </w:rPr>
            </w:pPr>
            <w:r>
              <w:rPr>
                <w:rFonts w:ascii="Times New Roman" w:cs="Times New Roman" w:eastAsia="Times New Roman" w:hAnsi="Times New Roman"/>
                <w:sz w:val="11"/>
                <w:szCs w:val="11"/>
                <w:color w:val="auto"/>
                <w:w w:val="95"/>
              </w:rPr>
              <w:t>08/27/2024</w:t>
            </w:r>
          </w:p>
        </w:tc>
        <w:tc>
          <w:tcPr>
            <w:tcW w:w="20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10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6.25 %</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11,443</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11,334</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11,443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UBEO, LLC</w:t>
            </w:r>
          </w:p>
        </w:tc>
        <w:tc>
          <w:tcPr>
            <w:tcW w:w="1140" w:type="dxa"/>
            <w:vAlign w:val="bottom"/>
            <w:gridSpan w:val="3"/>
          </w:tcPr>
          <w:p>
            <w:pPr>
              <w:jc w:val="center"/>
              <w:ind w:left="446"/>
              <w:spacing w:after="0"/>
              <w:rPr>
                <w:sz w:val="20"/>
                <w:szCs w:val="20"/>
                <w:color w:val="auto"/>
              </w:rPr>
            </w:pPr>
            <w:r>
              <w:rPr>
                <w:rFonts w:ascii="Times New Roman" w:cs="Times New Roman" w:eastAsia="Times New Roman" w:hAnsi="Times New Roman"/>
                <w:sz w:val="11"/>
                <w:szCs w:val="11"/>
                <w:color w:val="auto"/>
                <w:w w:val="95"/>
              </w:rPr>
              <w:t>04/03/2024</w:t>
            </w:r>
          </w:p>
        </w:tc>
        <w:tc>
          <w:tcPr>
            <w:tcW w:w="20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10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5.50 %</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17,571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17,457</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17,483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Urology Management Associates, LLC</w:t>
            </w:r>
          </w:p>
        </w:tc>
        <w:tc>
          <w:tcPr>
            <w:tcW w:w="1140" w:type="dxa"/>
            <w:vAlign w:val="bottom"/>
            <w:gridSpan w:val="3"/>
            <w:shd w:val="clear" w:color="auto" w:fill="CCECFF"/>
          </w:tcPr>
          <w:p>
            <w:pPr>
              <w:jc w:val="center"/>
              <w:ind w:left="446"/>
              <w:spacing w:after="0"/>
              <w:rPr>
                <w:sz w:val="20"/>
                <w:szCs w:val="20"/>
                <w:color w:val="auto"/>
              </w:rPr>
            </w:pPr>
            <w:r>
              <w:rPr>
                <w:rFonts w:ascii="Times New Roman" w:cs="Times New Roman" w:eastAsia="Times New Roman" w:hAnsi="Times New Roman"/>
                <w:sz w:val="11"/>
                <w:szCs w:val="11"/>
                <w:color w:val="auto"/>
                <w:w w:val="95"/>
              </w:rPr>
              <w:t>08/30/2024</w:t>
            </w:r>
          </w:p>
        </w:tc>
        <w:tc>
          <w:tcPr>
            <w:tcW w:w="20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110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5.50 %</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11,030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10,849</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10,975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Walker Edison Furniture Company LLC</w:t>
            </w:r>
          </w:p>
        </w:tc>
        <w:tc>
          <w:tcPr>
            <w:tcW w:w="1140" w:type="dxa"/>
            <w:vAlign w:val="bottom"/>
            <w:gridSpan w:val="3"/>
          </w:tcPr>
          <w:p>
            <w:pPr>
              <w:jc w:val="center"/>
              <w:ind w:left="446"/>
              <w:spacing w:after="0"/>
              <w:rPr>
                <w:sz w:val="20"/>
                <w:szCs w:val="20"/>
                <w:color w:val="auto"/>
              </w:rPr>
            </w:pPr>
            <w:r>
              <w:rPr>
                <w:rFonts w:ascii="Times New Roman" w:cs="Times New Roman" w:eastAsia="Times New Roman" w:hAnsi="Times New Roman"/>
                <w:sz w:val="11"/>
                <w:szCs w:val="11"/>
                <w:color w:val="auto"/>
                <w:w w:val="95"/>
              </w:rPr>
              <w:t>03/31/2027</w:t>
            </w:r>
          </w:p>
        </w:tc>
        <w:tc>
          <w:tcPr>
            <w:tcW w:w="20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Wholesale</w:t>
            </w:r>
          </w:p>
        </w:tc>
        <w:tc>
          <w:tcPr>
            <w:tcW w:w="110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6.75 %</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12,438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12,142</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11,971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Wildcat Buyerco, Inc.</w:t>
            </w:r>
          </w:p>
        </w:tc>
        <w:tc>
          <w:tcPr>
            <w:tcW w:w="1140" w:type="dxa"/>
            <w:vAlign w:val="bottom"/>
            <w:tcBorders>
              <w:bottom w:val="single" w:sz="8" w:color="CCECFF"/>
            </w:tcBorders>
            <w:gridSpan w:val="3"/>
            <w:shd w:val="clear" w:color="auto" w:fill="CCECFF"/>
          </w:tcPr>
          <w:p>
            <w:pPr>
              <w:jc w:val="center"/>
              <w:ind w:left="446"/>
              <w:spacing w:after="0"/>
              <w:rPr>
                <w:sz w:val="20"/>
                <w:szCs w:val="20"/>
                <w:color w:val="auto"/>
              </w:rPr>
            </w:pPr>
            <w:r>
              <w:rPr>
                <w:rFonts w:ascii="Times New Roman" w:cs="Times New Roman" w:eastAsia="Times New Roman" w:hAnsi="Times New Roman"/>
                <w:sz w:val="11"/>
                <w:szCs w:val="11"/>
                <w:color w:val="auto"/>
                <w:w w:val="95"/>
              </w:rPr>
              <w:t>02/27/2026</w:t>
            </w:r>
          </w:p>
        </w:tc>
        <w:tc>
          <w:tcPr>
            <w:tcW w:w="200" w:type="dxa"/>
            <w:vAlign w:val="bottom"/>
            <w:tcBorders>
              <w:bottom w:val="single" w:sz="8" w:color="CCECFF"/>
            </w:tcBorders>
            <w:shd w:val="clear" w:color="auto" w:fill="CCECFF"/>
          </w:tcPr>
          <w:p>
            <w:pPr>
              <w:spacing w:after="0"/>
              <w:rPr>
                <w:sz w:val="11"/>
                <w:szCs w:val="11"/>
                <w:color w:val="auto"/>
              </w:rPr>
            </w:pPr>
          </w:p>
        </w:tc>
        <w:tc>
          <w:tcPr>
            <w:tcW w:w="252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1100" w:type="dxa"/>
            <w:vAlign w:val="bottom"/>
            <w:tcBorders>
              <w:bottom w:val="single" w:sz="8" w:color="CCECFF"/>
            </w:tcBorders>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6.00 %</w:t>
            </w:r>
          </w:p>
        </w:tc>
        <w:tc>
          <w:tcPr>
            <w:tcW w:w="7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4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5,706</w:t>
            </w:r>
          </w:p>
        </w:tc>
        <w:tc>
          <w:tcPr>
            <w:tcW w:w="1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5,656</w:t>
            </w:r>
          </w:p>
        </w:tc>
        <w:tc>
          <w:tcPr>
            <w:tcW w:w="16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5,678</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558,880</w:t>
            </w: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557,732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700" w:type="dxa"/>
            <w:vAlign w:val="bottom"/>
          </w:tcPr>
          <w:p>
            <w:pPr>
              <w:ind w:left="20"/>
              <w:spacing w:after="0" w:line="97" w:lineRule="exact"/>
              <w:rPr>
                <w:sz w:val="20"/>
                <w:szCs w:val="20"/>
                <w:color w:val="auto"/>
              </w:rPr>
            </w:pPr>
            <w:r>
              <w:rPr>
                <w:rFonts w:ascii="Times New Roman" w:cs="Times New Roman" w:eastAsia="Times New Roman" w:hAnsi="Times New Roman"/>
                <w:sz w:val="11"/>
                <w:szCs w:val="11"/>
                <w:b w:val="1"/>
                <w:bCs w:val="1"/>
                <w:color w:val="auto"/>
              </w:rPr>
              <w:t>Second Lien Secured Debt - 10.5%</w:t>
            </w: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7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DBI Intermediate Holdco, LLC, Term Loan B </w:t>
            </w:r>
            <w:r>
              <w:rPr>
                <w:rFonts w:ascii="Times New Roman" w:cs="Times New Roman" w:eastAsia="Times New Roman" w:hAnsi="Times New Roman"/>
                <w:sz w:val="14"/>
                <w:szCs w:val="14"/>
                <w:color w:val="auto"/>
                <w:vertAlign w:val="superscript"/>
              </w:rPr>
              <w:t>(4)</w:t>
            </w:r>
          </w:p>
        </w:tc>
        <w:tc>
          <w:tcPr>
            <w:tcW w:w="1140" w:type="dxa"/>
            <w:vAlign w:val="bottom"/>
            <w:gridSpan w:val="3"/>
          </w:tcPr>
          <w:p>
            <w:pPr>
              <w:jc w:val="center"/>
              <w:ind w:left="446"/>
              <w:spacing w:after="0"/>
              <w:rPr>
                <w:sz w:val="20"/>
                <w:szCs w:val="20"/>
                <w:color w:val="auto"/>
              </w:rPr>
            </w:pPr>
            <w:r>
              <w:rPr>
                <w:rFonts w:ascii="Times New Roman" w:cs="Times New Roman" w:eastAsia="Times New Roman" w:hAnsi="Times New Roman"/>
                <w:sz w:val="11"/>
                <w:szCs w:val="11"/>
                <w:color w:val="auto"/>
                <w:w w:val="95"/>
              </w:rPr>
              <w:t>02/02/2026</w:t>
            </w:r>
          </w:p>
        </w:tc>
        <w:tc>
          <w:tcPr>
            <w:tcW w:w="200" w:type="dxa"/>
            <w:vAlign w:val="bottom"/>
          </w:tcPr>
          <w:p>
            <w:pPr>
              <w:spacing w:after="0"/>
              <w:rPr>
                <w:sz w:val="13"/>
                <w:szCs w:val="13"/>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10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11.00 %</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2,434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2,434</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P(IK 9.00%)</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7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Inventus Power, Inc.</w:t>
            </w:r>
          </w:p>
        </w:tc>
        <w:tc>
          <w:tcPr>
            <w:tcW w:w="1140" w:type="dxa"/>
            <w:vAlign w:val="bottom"/>
            <w:tcBorders>
              <w:bottom w:val="single" w:sz="8" w:color="CCECFF"/>
            </w:tcBorders>
            <w:gridSpan w:val="3"/>
            <w:shd w:val="clear" w:color="auto" w:fill="CCECFF"/>
          </w:tcPr>
          <w:p>
            <w:pPr>
              <w:jc w:val="center"/>
              <w:ind w:left="446"/>
              <w:spacing w:after="0"/>
              <w:rPr>
                <w:sz w:val="20"/>
                <w:szCs w:val="20"/>
                <w:color w:val="auto"/>
              </w:rPr>
            </w:pPr>
            <w:r>
              <w:rPr>
                <w:rFonts w:ascii="Times New Roman" w:cs="Times New Roman" w:eastAsia="Times New Roman" w:hAnsi="Times New Roman"/>
                <w:sz w:val="11"/>
                <w:szCs w:val="11"/>
                <w:color w:val="auto"/>
                <w:w w:val="95"/>
              </w:rPr>
              <w:t>09/29/2024</w:t>
            </w:r>
          </w:p>
        </w:tc>
        <w:tc>
          <w:tcPr>
            <w:tcW w:w="200" w:type="dxa"/>
            <w:vAlign w:val="bottom"/>
            <w:tcBorders>
              <w:bottom w:val="single" w:sz="8" w:color="CCECFF"/>
            </w:tcBorders>
            <w:shd w:val="clear" w:color="auto" w:fill="CCECFF"/>
          </w:tcPr>
          <w:p>
            <w:pPr>
              <w:spacing w:after="0"/>
              <w:rPr>
                <w:sz w:val="12"/>
                <w:szCs w:val="12"/>
                <w:color w:val="auto"/>
              </w:rPr>
            </w:pPr>
          </w:p>
        </w:tc>
        <w:tc>
          <w:tcPr>
            <w:tcW w:w="252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1100" w:type="dxa"/>
            <w:vAlign w:val="bottom"/>
            <w:tcBorders>
              <w:bottom w:val="single" w:sz="8" w:color="CCECFF"/>
            </w:tcBorders>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9.50 %</w:t>
            </w:r>
          </w:p>
        </w:tc>
        <w:tc>
          <w:tcPr>
            <w:tcW w:w="7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L+850</w:t>
            </w:r>
          </w:p>
        </w:tc>
        <w:tc>
          <w:tcPr>
            <w:tcW w:w="94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16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2,947</w:t>
            </w:r>
          </w:p>
        </w:tc>
        <w:tc>
          <w:tcPr>
            <w:tcW w:w="160" w:type="dxa"/>
            <w:vAlign w:val="bottom"/>
            <w:tcBorders>
              <w:bottom w:val="single" w:sz="8" w:color="CCECFF"/>
            </w:tcBorders>
            <w:shd w:val="clear" w:color="auto" w:fill="CCECFF"/>
          </w:tcPr>
          <w:p>
            <w:pPr>
              <w:spacing w:after="0"/>
              <w:rPr>
                <w:sz w:val="12"/>
                <w:szCs w:val="12"/>
                <w:color w:val="auto"/>
              </w:rPr>
            </w:pPr>
          </w:p>
        </w:tc>
        <w:tc>
          <w:tcPr>
            <w:tcW w:w="6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2,940</w:t>
            </w:r>
          </w:p>
        </w:tc>
        <w:tc>
          <w:tcPr>
            <w:tcW w:w="4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5,381</w:t>
            </w: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5,374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700" w:type="dxa"/>
            <w:vAlign w:val="bottom"/>
          </w:tcPr>
          <w:p>
            <w:pPr>
              <w:ind w:left="20"/>
              <w:spacing w:after="0" w:line="97" w:lineRule="exact"/>
              <w:rPr>
                <w:sz w:val="20"/>
                <w:szCs w:val="20"/>
                <w:color w:val="auto"/>
              </w:rPr>
            </w:pPr>
            <w:r>
              <w:rPr>
                <w:rFonts w:ascii="Times New Roman" w:cs="Times New Roman" w:eastAsia="Times New Roman" w:hAnsi="Times New Roman"/>
                <w:sz w:val="11"/>
                <w:szCs w:val="11"/>
                <w:b w:val="1"/>
                <w:bCs w:val="1"/>
                <w:color w:val="auto"/>
              </w:rPr>
              <w:t>Equity Securities - 3.3%</w:t>
            </w: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DBI Intermediate Holdco, LLC, Series A-1 </w:t>
            </w:r>
            <w:r>
              <w:rPr>
                <w:rFonts w:ascii="Times New Roman" w:cs="Times New Roman" w:eastAsia="Times New Roman" w:hAnsi="Times New Roman"/>
                <w:sz w:val="14"/>
                <w:szCs w:val="14"/>
                <w:color w:val="auto"/>
                <w:vertAlign w:val="superscript"/>
              </w:rPr>
              <w:t>(4)</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10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13.00 %</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5,034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DBI Intermediate Holdco, LLC, Series AA </w:t>
            </w:r>
            <w:r>
              <w:rPr>
                <w:rFonts w:ascii="Times New Roman" w:cs="Times New Roman" w:eastAsia="Times New Roman" w:hAnsi="Times New Roman"/>
                <w:sz w:val="14"/>
                <w:szCs w:val="14"/>
                <w:color w:val="auto"/>
                <w:vertAlign w:val="superscript"/>
              </w:rPr>
              <w:t>(4)</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6,731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1,314.7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DBI Intermediate Holdco, LLC, Series B </w:t>
            </w:r>
            <w:r>
              <w:rPr>
                <w:rFonts w:ascii="Times New Roman" w:cs="Times New Roman" w:eastAsia="Times New Roman" w:hAnsi="Times New Roman"/>
                <w:sz w:val="14"/>
                <w:szCs w:val="14"/>
                <w:color w:val="auto"/>
                <w:vertAlign w:val="superscript"/>
              </w:rPr>
              <w:t>(4)</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4"/>
                <w:szCs w:val="14"/>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tcPr>
          <w:p>
            <w:pPr>
              <w:spacing w:after="0"/>
              <w:rPr>
                <w:sz w:val="14"/>
                <w:szCs w:val="14"/>
                <w:color w:val="auto"/>
              </w:rPr>
            </w:pPr>
          </w:p>
        </w:tc>
        <w:tc>
          <w:tcPr>
            <w:tcW w:w="96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1,065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237</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7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New MPE Holdings, LLC</w:t>
            </w:r>
          </w:p>
        </w:tc>
        <w:tc>
          <w:tcPr>
            <w:tcW w:w="3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Borders>
              <w:bottom w:val="single" w:sz="8" w:color="CCECFF"/>
            </w:tcBorders>
            <w:shd w:val="clear" w:color="auto" w:fill="CCECFF"/>
          </w:tcPr>
          <w:p>
            <w:pPr>
              <w:spacing w:after="0"/>
              <w:rPr>
                <w:sz w:val="11"/>
                <w:szCs w:val="11"/>
                <w:color w:val="auto"/>
              </w:rPr>
            </w:pPr>
          </w:p>
        </w:tc>
        <w:tc>
          <w:tcPr>
            <w:tcW w:w="252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40" w:type="dxa"/>
            <w:vAlign w:val="bottom"/>
            <w:tcBorders>
              <w:bottom w:val="single" w:sz="8" w:color="CCECFF"/>
            </w:tcBorders>
            <w:shd w:val="clear" w:color="auto" w:fill="CCECFF"/>
          </w:tcPr>
          <w:p>
            <w:pPr>
              <w:spacing w:after="0"/>
              <w:rPr>
                <w:sz w:val="11"/>
                <w:szCs w:val="11"/>
                <w:color w:val="auto"/>
              </w:rPr>
            </w:pPr>
          </w:p>
        </w:tc>
        <w:tc>
          <w:tcPr>
            <w:tcW w:w="960" w:type="dxa"/>
            <w:vAlign w:val="bottom"/>
            <w:tcBorders>
              <w:bottom w:val="single" w:sz="8" w:color="CCECFF"/>
            </w:tcBorders>
            <w:gridSpan w:val="2"/>
            <w:shd w:val="clear" w:color="auto" w:fill="CCEC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362.2</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Equity Securities</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12,002</w:t>
            </w: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1,677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- 1101.7%</w:t>
            </w:r>
          </w:p>
        </w:tc>
        <w:tc>
          <w:tcPr>
            <w:tcW w:w="3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25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576,263</w:t>
            </w:r>
          </w:p>
        </w:tc>
        <w:tc>
          <w:tcPr>
            <w:tcW w:w="16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564,783</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 - 55.3%</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3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25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28,191</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28,191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US Bank Cash</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196</w:t>
            </w: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3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25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28,387</w:t>
            </w:r>
          </w:p>
        </w:tc>
        <w:tc>
          <w:tcPr>
            <w:tcW w:w="16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28,374</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 —1,157.1%</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4"/>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604,650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593,157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 in Excess of Other Assets — (1057.1)%</w:t>
            </w: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109"/>
        </w:trPr>
        <w:tc>
          <w:tcPr>
            <w:tcW w:w="270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(541,893</w:t>
            </w: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Members' Equity—100.0%</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51,264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6537325</wp:posOffset>
            </wp:positionH>
            <wp:positionV relativeFrom="paragraph">
              <wp:posOffset>-1851025</wp:posOffset>
            </wp:positionV>
            <wp:extent cx="2603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-1851025</wp:posOffset>
            </wp:positionV>
            <wp:extent cx="2603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-1748155</wp:posOffset>
            </wp:positionV>
            <wp:extent cx="7132320" cy="8572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-1405255</wp:posOffset>
            </wp:positionV>
            <wp:extent cx="2603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-1405255</wp:posOffset>
            </wp:positionV>
            <wp:extent cx="2603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-1302385</wp:posOffset>
            </wp:positionV>
            <wp:extent cx="7132320" cy="8572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-1130935</wp:posOffset>
            </wp:positionV>
            <wp:extent cx="7132320" cy="8572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-873760</wp:posOffset>
            </wp:positionV>
            <wp:extent cx="2603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-873760</wp:posOffset>
            </wp:positionV>
            <wp:extent cx="2603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-685165</wp:posOffset>
            </wp:positionV>
            <wp:extent cx="2603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-685165</wp:posOffset>
            </wp:positionV>
            <wp:extent cx="2603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-325120</wp:posOffset>
            </wp:positionV>
            <wp:extent cx="2603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-325120</wp:posOffset>
            </wp:positionV>
            <wp:extent cx="2603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946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171450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15" w:lineRule="exact"/>
        <w:rPr>
          <w:sz w:val="20"/>
          <w:szCs w:val="20"/>
          <w:color w:val="auto"/>
        </w:rPr>
      </w:pPr>
    </w:p>
    <w:p>
      <w:pPr>
        <w:ind w:left="380" w:right="20" w:hanging="372"/>
        <w:spacing w:after="0" w:line="222" w:lineRule="auto"/>
        <w:tabs>
          <w:tab w:leader="none" w:pos="380" w:val="left"/>
        </w:tabs>
        <w:numPr>
          <w:ilvl w:val="0"/>
          <w:numId w:val="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1" w:lineRule="exact"/>
        <w:rPr>
          <w:rFonts w:ascii="Times New Roman" w:cs="Times New Roman" w:eastAsia="Times New Roman" w:hAnsi="Times New Roman"/>
          <w:sz w:val="14"/>
          <w:szCs w:val="14"/>
          <w:color w:val="auto"/>
          <w:vertAlign w:val="superscript"/>
        </w:rPr>
      </w:pPr>
    </w:p>
    <w:p>
      <w:pPr>
        <w:ind w:left="380" w:hanging="372"/>
        <w:spacing w:after="0"/>
        <w:tabs>
          <w:tab w:leader="none" w:pos="380" w:val="left"/>
        </w:tabs>
        <w:numPr>
          <w:ilvl w:val="0"/>
          <w:numId w:val="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Valued based on PSSL’s accounting policy.</w:t>
      </w:r>
    </w:p>
    <w:p>
      <w:pPr>
        <w:spacing w:after="0" w:line="33" w:lineRule="exact"/>
        <w:rPr>
          <w:rFonts w:ascii="Times New Roman" w:cs="Times New Roman" w:eastAsia="Times New Roman" w:hAnsi="Times New Roman"/>
          <w:sz w:val="14"/>
          <w:szCs w:val="14"/>
          <w:color w:val="auto"/>
          <w:vertAlign w:val="superscript"/>
        </w:rPr>
      </w:pPr>
    </w:p>
    <w:p>
      <w:pPr>
        <w:ind w:left="380" w:hanging="372"/>
        <w:spacing w:after="0" w:line="191" w:lineRule="auto"/>
        <w:tabs>
          <w:tab w:leader="none" w:pos="380" w:val="left"/>
        </w:tabs>
        <w:numPr>
          <w:ilvl w:val="0"/>
          <w:numId w:val="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Non-U.S. company or principal place of business outside the United States.</w:t>
      </w:r>
    </w:p>
    <w:p>
      <w:pPr>
        <w:spacing w:after="0" w:line="20" w:lineRule="exact"/>
        <w:rPr>
          <w:rFonts w:ascii="Times New Roman" w:cs="Times New Roman" w:eastAsia="Times New Roman" w:hAnsi="Times New Roman"/>
          <w:sz w:val="14"/>
          <w:szCs w:val="14"/>
          <w:color w:val="auto"/>
          <w:vertAlign w:val="superscript"/>
        </w:rPr>
      </w:pPr>
    </w:p>
    <w:p>
      <w:pPr>
        <w:ind w:left="380" w:hanging="372"/>
        <w:spacing w:after="0" w:line="191" w:lineRule="auto"/>
        <w:tabs>
          <w:tab w:leader="none" w:pos="380" w:val="left"/>
        </w:tabs>
        <w:numPr>
          <w:ilvl w:val="0"/>
          <w:numId w:val="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Non-income producing security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Below is the financial information for PSSL:</w:t>
            </w:r>
          </w:p>
        </w:tc>
        <w:tc>
          <w:tcPr>
            <w:tcW w:w="1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5"/>
        </w:trPr>
        <w:tc>
          <w:tcPr>
            <w:tcW w:w="8160" w:type="dxa"/>
            <w:vAlign w:val="bottom"/>
            <w:gridSpan w:val="4"/>
          </w:tcPr>
          <w:p>
            <w:pPr>
              <w:jc w:val="center"/>
              <w:ind w:left="2988"/>
              <w:spacing w:after="0"/>
              <w:rPr>
                <w:sz w:val="20"/>
                <w:szCs w:val="20"/>
                <w:color w:val="auto"/>
              </w:rPr>
            </w:pPr>
            <w:r>
              <w:rPr>
                <w:rFonts w:ascii="Times New Roman" w:cs="Times New Roman" w:eastAsia="Times New Roman" w:hAnsi="Times New Roman"/>
                <w:sz w:val="14"/>
                <w:szCs w:val="14"/>
                <w:b w:val="1"/>
                <w:bCs w:val="1"/>
                <w:color w:val="auto"/>
              </w:rPr>
              <w:t>Consolidated Statements of Assets and Liabilities</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5"/>
        </w:trPr>
        <w:tc>
          <w:tcPr>
            <w:tcW w:w="4600" w:type="dxa"/>
            <w:vAlign w:val="bottom"/>
          </w:tcPr>
          <w:p>
            <w:pPr>
              <w:spacing w:after="0"/>
              <w:rPr>
                <w:sz w:val="15"/>
                <w:szCs w:val="15"/>
                <w:color w:val="auto"/>
              </w:rPr>
            </w:pPr>
          </w:p>
        </w:tc>
        <w:tc>
          <w:tcPr>
            <w:tcW w:w="3560" w:type="dxa"/>
            <w:vAlign w:val="bottom"/>
            <w:gridSpan w:val="3"/>
          </w:tcPr>
          <w:p>
            <w:pPr>
              <w:jc w:val="center"/>
              <w:ind w:right="1488"/>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46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7"/>
        </w:trPr>
        <w:tc>
          <w:tcPr>
            <w:tcW w:w="46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Borders>
              <w:bottom w:val="single" w:sz="8" w:color="auto"/>
            </w:tcBorders>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40" w:type="dxa"/>
            <w:vAlign w:val="bottom"/>
          </w:tcPr>
          <w:p>
            <w:pPr>
              <w:spacing w:after="0"/>
              <w:rPr>
                <w:sz w:val="16"/>
                <w:szCs w:val="16"/>
                <w:color w:val="auto"/>
              </w:rPr>
            </w:pPr>
          </w:p>
        </w:tc>
      </w:tr>
      <w:tr>
        <w:trPr>
          <w:trHeight w:val="169"/>
        </w:trPr>
        <w:tc>
          <w:tcPr>
            <w:tcW w:w="4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460" w:type="dxa"/>
            <w:vAlign w:val="bottom"/>
            <w:shd w:val="clear" w:color="auto" w:fill="CCECFF"/>
          </w:tcPr>
          <w:p>
            <w:pPr>
              <w:spacing w:after="0"/>
              <w:rPr>
                <w:sz w:val="14"/>
                <w:szCs w:val="14"/>
                <w:color w:val="auto"/>
              </w:rPr>
            </w:pPr>
          </w:p>
        </w:tc>
        <w:tc>
          <w:tcPr>
            <w:tcW w:w="5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02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r>
      <w:tr>
        <w:trPr>
          <w:trHeight w:val="175"/>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at fair value (cost—$705,293 and $576,263, respectively)</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704,958</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564,783</w:t>
            </w:r>
          </w:p>
        </w:tc>
        <w:tc>
          <w:tcPr>
            <w:tcW w:w="40" w:type="dxa"/>
            <w:vAlign w:val="bottom"/>
          </w:tcPr>
          <w:p>
            <w:pPr>
              <w:spacing w:after="0"/>
              <w:rPr>
                <w:sz w:val="15"/>
                <w:szCs w:val="15"/>
                <w:color w:val="auto"/>
              </w:rPr>
            </w:pPr>
          </w:p>
        </w:tc>
      </w:tr>
      <w:tr>
        <w:trPr>
          <w:trHeight w:val="176"/>
        </w:trPr>
        <w:tc>
          <w:tcPr>
            <w:tcW w:w="4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Cash and cash equivalents (cost—$20,373 and $28,387, respectively)</w:t>
            </w:r>
          </w:p>
        </w:tc>
        <w:tc>
          <w:tcPr>
            <w:tcW w:w="18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460" w:type="dxa"/>
            <w:vAlign w:val="bottom"/>
            <w:shd w:val="clear" w:color="auto" w:fill="CCECFF"/>
          </w:tcPr>
          <w:p>
            <w:pPr>
              <w:spacing w:after="0"/>
              <w:rPr>
                <w:sz w:val="15"/>
                <w:szCs w:val="15"/>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20,383</w:t>
            </w:r>
          </w:p>
        </w:tc>
        <w:tc>
          <w:tcPr>
            <w:tcW w:w="2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28,374</w:t>
            </w:r>
          </w:p>
        </w:tc>
        <w:tc>
          <w:tcPr>
            <w:tcW w:w="40" w:type="dxa"/>
            <w:vAlign w:val="bottom"/>
            <w:shd w:val="clear" w:color="auto" w:fill="CCECFF"/>
          </w:tcPr>
          <w:p>
            <w:pPr>
              <w:spacing w:after="0"/>
              <w:rPr>
                <w:sz w:val="15"/>
                <w:szCs w:val="15"/>
                <w:color w:val="auto"/>
              </w:rPr>
            </w:pPr>
          </w:p>
        </w:tc>
      </w:tr>
      <w:tr>
        <w:trPr>
          <w:trHeight w:val="175"/>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receivable</w:t>
            </w:r>
          </w:p>
        </w:tc>
        <w:tc>
          <w:tcPr>
            <w:tcW w:w="1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w:t>
            </w:r>
          </w:p>
        </w:tc>
        <w:tc>
          <w:tcPr>
            <w:tcW w:w="40" w:type="dxa"/>
            <w:vAlign w:val="bottom"/>
          </w:tcPr>
          <w:p>
            <w:pPr>
              <w:spacing w:after="0"/>
              <w:rPr>
                <w:sz w:val="15"/>
                <w:szCs w:val="15"/>
                <w:color w:val="auto"/>
              </w:rPr>
            </w:pPr>
          </w:p>
        </w:tc>
      </w:tr>
      <w:tr>
        <w:trPr>
          <w:trHeight w:val="175"/>
        </w:trPr>
        <w:tc>
          <w:tcPr>
            <w:tcW w:w="4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Receivable for investment sold</w:t>
            </w:r>
          </w:p>
        </w:tc>
        <w:tc>
          <w:tcPr>
            <w:tcW w:w="18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460" w:type="dxa"/>
            <w:vAlign w:val="bottom"/>
            <w:shd w:val="clear" w:color="auto" w:fill="CCECFF"/>
          </w:tcPr>
          <w:p>
            <w:pPr>
              <w:spacing w:after="0"/>
              <w:rPr>
                <w:sz w:val="15"/>
                <w:szCs w:val="15"/>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7,323</w:t>
            </w:r>
          </w:p>
        </w:tc>
        <w:tc>
          <w:tcPr>
            <w:tcW w:w="40" w:type="dxa"/>
            <w:vAlign w:val="bottom"/>
            <w:shd w:val="clear" w:color="auto" w:fill="CCECFF"/>
          </w:tcPr>
          <w:p>
            <w:pPr>
              <w:spacing w:after="0"/>
              <w:rPr>
                <w:sz w:val="15"/>
                <w:szCs w:val="15"/>
                <w:color w:val="auto"/>
              </w:rPr>
            </w:pPr>
          </w:p>
        </w:tc>
      </w:tr>
      <w:tr>
        <w:trPr>
          <w:trHeight w:val="175"/>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8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1,675</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1,666</w:t>
            </w:r>
          </w:p>
        </w:tc>
        <w:tc>
          <w:tcPr>
            <w:tcW w:w="40" w:type="dxa"/>
            <w:vAlign w:val="bottom"/>
          </w:tcPr>
          <w:p>
            <w:pPr>
              <w:spacing w:after="0"/>
              <w:rPr>
                <w:sz w:val="15"/>
                <w:szCs w:val="15"/>
                <w:color w:val="auto"/>
              </w:rPr>
            </w:pPr>
          </w:p>
        </w:tc>
      </w:tr>
      <w:tr>
        <w:trPr>
          <w:trHeight w:val="169"/>
        </w:trPr>
        <w:tc>
          <w:tcPr>
            <w:tcW w:w="4600" w:type="dxa"/>
            <w:vAlign w:val="bottom"/>
            <w:tcBorders>
              <w:bottom w:val="single" w:sz="8" w:color="CCECFF"/>
            </w:tcBorders>
            <w:shd w:val="clear" w:color="auto" w:fill="CCECFF"/>
          </w:tcPr>
          <w:p>
            <w:pPr>
              <w:ind w:left="56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88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460" w:type="dxa"/>
            <w:vAlign w:val="bottom"/>
            <w:tcBorders>
              <w:bottom w:val="single" w:sz="8" w:color="auto"/>
            </w:tcBorders>
            <w:shd w:val="clear" w:color="auto" w:fill="CCECFF"/>
          </w:tcPr>
          <w:p>
            <w:pPr>
              <w:spacing w:after="0"/>
              <w:rPr>
                <w:sz w:val="14"/>
                <w:szCs w:val="14"/>
                <w:color w:val="auto"/>
              </w:rPr>
            </w:pP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729,030</w:t>
            </w:r>
          </w:p>
        </w:tc>
        <w:tc>
          <w:tcPr>
            <w:tcW w:w="28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2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603,559</w:t>
            </w:r>
          </w:p>
        </w:tc>
        <w:tc>
          <w:tcPr>
            <w:tcW w:w="40" w:type="dxa"/>
            <w:vAlign w:val="bottom"/>
            <w:tcBorders>
              <w:bottom w:val="single" w:sz="8" w:color="CCECFF"/>
            </w:tcBorders>
            <w:shd w:val="clear" w:color="auto" w:fill="CCECFF"/>
          </w:tcPr>
          <w:p>
            <w:pPr>
              <w:spacing w:after="0"/>
              <w:rPr>
                <w:sz w:val="14"/>
                <w:szCs w:val="14"/>
                <w:color w:val="auto"/>
              </w:rPr>
            </w:pPr>
          </w:p>
        </w:tc>
      </w:tr>
      <w:tr>
        <w:trPr>
          <w:trHeight w:val="169"/>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5"/>
        </w:trPr>
        <w:tc>
          <w:tcPr>
            <w:tcW w:w="4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Payable for investments purchased</w:t>
            </w:r>
          </w:p>
        </w:tc>
        <w:tc>
          <w:tcPr>
            <w:tcW w:w="18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460" w:type="dxa"/>
            <w:vAlign w:val="bottom"/>
            <w:shd w:val="clear" w:color="auto" w:fill="CCECFF"/>
          </w:tcPr>
          <w:p>
            <w:pPr>
              <w:spacing w:after="0"/>
              <w:rPr>
                <w:sz w:val="15"/>
                <w:szCs w:val="15"/>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38,542</w:t>
            </w:r>
          </w:p>
        </w:tc>
        <w:tc>
          <w:tcPr>
            <w:tcW w:w="2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31,963</w:t>
            </w:r>
          </w:p>
        </w:tc>
        <w:tc>
          <w:tcPr>
            <w:tcW w:w="40" w:type="dxa"/>
            <w:vAlign w:val="bottom"/>
            <w:shd w:val="clear" w:color="auto" w:fill="CCECFF"/>
          </w:tcPr>
          <w:p>
            <w:pPr>
              <w:spacing w:after="0"/>
              <w:rPr>
                <w:sz w:val="15"/>
                <w:szCs w:val="15"/>
                <w:color w:val="auto"/>
              </w:rPr>
            </w:pPr>
          </w:p>
        </w:tc>
      </w:tr>
      <w:tr>
        <w:trPr>
          <w:trHeight w:val="176"/>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 facility payable</w:t>
            </w:r>
          </w:p>
        </w:tc>
        <w:tc>
          <w:tcPr>
            <w:tcW w:w="1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184,500</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112,000</w:t>
            </w:r>
          </w:p>
        </w:tc>
        <w:tc>
          <w:tcPr>
            <w:tcW w:w="40" w:type="dxa"/>
            <w:vAlign w:val="bottom"/>
          </w:tcPr>
          <w:p>
            <w:pPr>
              <w:spacing w:after="0"/>
              <w:rPr>
                <w:sz w:val="15"/>
                <w:szCs w:val="15"/>
                <w:color w:val="auto"/>
              </w:rPr>
            </w:pPr>
          </w:p>
        </w:tc>
      </w:tr>
      <w:tr>
        <w:trPr>
          <w:trHeight w:val="175"/>
        </w:trPr>
        <w:tc>
          <w:tcPr>
            <w:tcW w:w="4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2032 Asset-backed debt, net (par—$246,000)</w:t>
            </w:r>
          </w:p>
        </w:tc>
        <w:tc>
          <w:tcPr>
            <w:tcW w:w="18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460" w:type="dxa"/>
            <w:vAlign w:val="bottom"/>
            <w:shd w:val="clear" w:color="auto" w:fill="CCECFF"/>
          </w:tcPr>
          <w:p>
            <w:pPr>
              <w:spacing w:after="0"/>
              <w:rPr>
                <w:sz w:val="15"/>
                <w:szCs w:val="15"/>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243,061</w:t>
            </w:r>
          </w:p>
        </w:tc>
        <w:tc>
          <w:tcPr>
            <w:tcW w:w="2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242,757</w:t>
            </w:r>
          </w:p>
        </w:tc>
        <w:tc>
          <w:tcPr>
            <w:tcW w:w="40" w:type="dxa"/>
            <w:vAlign w:val="bottom"/>
            <w:shd w:val="clear" w:color="auto" w:fill="CCECFF"/>
          </w:tcPr>
          <w:p>
            <w:pPr>
              <w:spacing w:after="0"/>
              <w:rPr>
                <w:sz w:val="15"/>
                <w:szCs w:val="15"/>
                <w:color w:val="auto"/>
              </w:rPr>
            </w:pPr>
          </w:p>
        </w:tc>
      </w:tr>
      <w:tr>
        <w:trPr>
          <w:trHeight w:val="175"/>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payable to members</w:t>
            </w:r>
          </w:p>
        </w:tc>
        <w:tc>
          <w:tcPr>
            <w:tcW w:w="1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194,600</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161,000</w:t>
            </w:r>
          </w:p>
        </w:tc>
        <w:tc>
          <w:tcPr>
            <w:tcW w:w="40" w:type="dxa"/>
            <w:vAlign w:val="bottom"/>
          </w:tcPr>
          <w:p>
            <w:pPr>
              <w:spacing w:after="0"/>
              <w:rPr>
                <w:sz w:val="15"/>
                <w:szCs w:val="15"/>
                <w:color w:val="auto"/>
              </w:rPr>
            </w:pPr>
          </w:p>
        </w:tc>
      </w:tr>
      <w:tr>
        <w:trPr>
          <w:trHeight w:val="175"/>
        </w:trPr>
        <w:tc>
          <w:tcPr>
            <w:tcW w:w="4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Interest payable on Credit Facility</w:t>
            </w:r>
          </w:p>
        </w:tc>
        <w:tc>
          <w:tcPr>
            <w:tcW w:w="18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460" w:type="dxa"/>
            <w:vAlign w:val="bottom"/>
            <w:shd w:val="clear" w:color="auto" w:fill="CCECFF"/>
          </w:tcPr>
          <w:p>
            <w:pPr>
              <w:spacing w:after="0"/>
              <w:rPr>
                <w:sz w:val="15"/>
                <w:szCs w:val="15"/>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1,881</w:t>
            </w:r>
          </w:p>
        </w:tc>
        <w:tc>
          <w:tcPr>
            <w:tcW w:w="2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1,741</w:t>
            </w:r>
          </w:p>
        </w:tc>
        <w:tc>
          <w:tcPr>
            <w:tcW w:w="40" w:type="dxa"/>
            <w:vAlign w:val="bottom"/>
            <w:shd w:val="clear" w:color="auto" w:fill="CCECFF"/>
          </w:tcPr>
          <w:p>
            <w:pPr>
              <w:spacing w:after="0"/>
              <w:rPr>
                <w:sz w:val="15"/>
                <w:szCs w:val="15"/>
                <w:color w:val="auto"/>
              </w:rPr>
            </w:pPr>
          </w:p>
        </w:tc>
      </w:tr>
      <w:tr>
        <w:trPr>
          <w:trHeight w:val="175"/>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payable on notes to members</w:t>
            </w:r>
          </w:p>
        </w:tc>
        <w:tc>
          <w:tcPr>
            <w:tcW w:w="1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2,889</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2,656</w:t>
            </w:r>
          </w:p>
        </w:tc>
        <w:tc>
          <w:tcPr>
            <w:tcW w:w="40" w:type="dxa"/>
            <w:vAlign w:val="bottom"/>
          </w:tcPr>
          <w:p>
            <w:pPr>
              <w:spacing w:after="0"/>
              <w:rPr>
                <w:sz w:val="15"/>
                <w:szCs w:val="15"/>
                <w:color w:val="auto"/>
              </w:rPr>
            </w:pPr>
          </w:p>
        </w:tc>
      </w:tr>
      <w:tr>
        <w:trPr>
          <w:trHeight w:val="175"/>
        </w:trPr>
        <w:tc>
          <w:tcPr>
            <w:tcW w:w="46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Accrued other expenses</w:t>
            </w:r>
          </w:p>
        </w:tc>
        <w:tc>
          <w:tcPr>
            <w:tcW w:w="188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auto"/>
            </w:tcBorders>
            <w:shd w:val="clear" w:color="auto" w:fill="CCECFF"/>
          </w:tcPr>
          <w:p>
            <w:pPr>
              <w:spacing w:after="0"/>
              <w:rPr>
                <w:sz w:val="15"/>
                <w:szCs w:val="15"/>
                <w:color w:val="auto"/>
              </w:rPr>
            </w:pPr>
          </w:p>
        </w:tc>
        <w:tc>
          <w:tcPr>
            <w:tcW w:w="1460" w:type="dxa"/>
            <w:vAlign w:val="bottom"/>
            <w:tcBorders>
              <w:bottom w:val="single" w:sz="8" w:color="auto"/>
            </w:tcBorders>
            <w:shd w:val="clear" w:color="auto" w:fill="CCECFF"/>
          </w:tcPr>
          <w:p>
            <w:pPr>
              <w:spacing w:after="0"/>
              <w:rPr>
                <w:sz w:val="15"/>
                <w:szCs w:val="15"/>
                <w:color w:val="auto"/>
              </w:rPr>
            </w:pP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28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auto"/>
            </w:tcBorders>
            <w:shd w:val="clear" w:color="auto" w:fill="CCECFF"/>
          </w:tcPr>
          <w:p>
            <w:pPr>
              <w:spacing w:after="0"/>
              <w:rPr>
                <w:sz w:val="15"/>
                <w:szCs w:val="15"/>
                <w:color w:val="auto"/>
              </w:rPr>
            </w:pPr>
          </w:p>
        </w:tc>
        <w:tc>
          <w:tcPr>
            <w:tcW w:w="2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40" w:type="dxa"/>
            <w:vAlign w:val="bottom"/>
            <w:tcBorders>
              <w:bottom w:val="single" w:sz="8" w:color="CCECFF"/>
            </w:tcBorders>
            <w:shd w:val="clear" w:color="auto" w:fill="CCECFF"/>
          </w:tcPr>
          <w:p>
            <w:pPr>
              <w:spacing w:after="0"/>
              <w:rPr>
                <w:sz w:val="15"/>
                <w:szCs w:val="15"/>
                <w:color w:val="auto"/>
              </w:rPr>
            </w:pPr>
          </w:p>
        </w:tc>
      </w:tr>
      <w:tr>
        <w:trPr>
          <w:trHeight w:val="169"/>
        </w:trPr>
        <w:tc>
          <w:tcPr>
            <w:tcW w:w="46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8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665,710</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552,295</w:t>
            </w:r>
          </w:p>
        </w:tc>
        <w:tc>
          <w:tcPr>
            <w:tcW w:w="40" w:type="dxa"/>
            <w:vAlign w:val="bottom"/>
          </w:tcPr>
          <w:p>
            <w:pPr>
              <w:spacing w:after="0"/>
              <w:rPr>
                <w:sz w:val="14"/>
                <w:szCs w:val="14"/>
                <w:color w:val="auto"/>
              </w:rPr>
            </w:pPr>
          </w:p>
        </w:tc>
      </w:tr>
      <w:tr>
        <w:trPr>
          <w:trHeight w:val="169"/>
        </w:trPr>
        <w:tc>
          <w:tcPr>
            <w:tcW w:w="4600" w:type="dxa"/>
            <w:vAlign w:val="bottom"/>
            <w:tcBorders>
              <w:bottom w:val="single" w:sz="8" w:color="CCECFF"/>
            </w:tcBorders>
            <w:shd w:val="clear" w:color="auto" w:fill="CCECFF"/>
          </w:tcPr>
          <w:p>
            <w:pPr>
              <w:ind w:left="560"/>
              <w:spacing w:after="0"/>
              <w:rPr>
                <w:sz w:val="20"/>
                <w:szCs w:val="20"/>
                <w:color w:val="auto"/>
              </w:rPr>
            </w:pPr>
            <w:r>
              <w:rPr>
                <w:rFonts w:ascii="Times New Roman" w:cs="Times New Roman" w:eastAsia="Times New Roman" w:hAnsi="Times New Roman"/>
                <w:sz w:val="14"/>
                <w:szCs w:val="14"/>
                <w:b w:val="1"/>
                <w:bCs w:val="1"/>
                <w:color w:val="auto"/>
              </w:rPr>
              <w:t>Members' equity</w:t>
            </w:r>
          </w:p>
        </w:tc>
        <w:tc>
          <w:tcPr>
            <w:tcW w:w="188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460" w:type="dxa"/>
            <w:vAlign w:val="bottom"/>
            <w:tcBorders>
              <w:bottom w:val="single" w:sz="8" w:color="auto"/>
            </w:tcBorders>
            <w:shd w:val="clear" w:color="auto" w:fill="CCECFF"/>
          </w:tcPr>
          <w:p>
            <w:pPr>
              <w:spacing w:after="0"/>
              <w:rPr>
                <w:sz w:val="14"/>
                <w:szCs w:val="14"/>
                <w:color w:val="auto"/>
              </w:rPr>
            </w:pP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63,320</w:t>
            </w:r>
          </w:p>
        </w:tc>
        <w:tc>
          <w:tcPr>
            <w:tcW w:w="28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2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51,264</w:t>
            </w:r>
          </w:p>
        </w:tc>
        <w:tc>
          <w:tcPr>
            <w:tcW w:w="40" w:type="dxa"/>
            <w:vAlign w:val="bottom"/>
            <w:tcBorders>
              <w:bottom w:val="single" w:sz="8" w:color="CCECFF"/>
            </w:tcBorders>
            <w:shd w:val="clear" w:color="auto" w:fill="CCECFF"/>
          </w:tcPr>
          <w:p>
            <w:pPr>
              <w:spacing w:after="0"/>
              <w:rPr>
                <w:sz w:val="14"/>
                <w:szCs w:val="14"/>
                <w:color w:val="auto"/>
              </w:rPr>
            </w:pPr>
          </w:p>
        </w:tc>
      </w:tr>
      <w:tr>
        <w:trPr>
          <w:trHeight w:val="169"/>
        </w:trPr>
        <w:tc>
          <w:tcPr>
            <w:tcW w:w="46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Total liabilities and members' equity</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729,030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603,559</w:t>
            </w:r>
          </w:p>
        </w:tc>
        <w:tc>
          <w:tcPr>
            <w:tcW w:w="40" w:type="dxa"/>
            <w:vAlign w:val="bottom"/>
          </w:tcPr>
          <w:p>
            <w:pPr>
              <w:spacing w:after="0"/>
              <w:rPr>
                <w:sz w:val="14"/>
                <w:szCs w:val="14"/>
                <w:color w:val="auto"/>
              </w:rPr>
            </w:pPr>
          </w:p>
        </w:tc>
      </w:tr>
      <w:tr>
        <w:trPr>
          <w:trHeight w:val="20"/>
        </w:trPr>
        <w:tc>
          <w:tcPr>
            <w:tcW w:w="46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-1285240</wp:posOffset>
            </wp:positionV>
            <wp:extent cx="3429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-1285240</wp:posOffset>
            </wp:positionV>
            <wp:extent cx="2603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-385445</wp:posOffset>
            </wp:positionV>
            <wp:extent cx="3429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-385445</wp:posOffset>
            </wp:positionV>
            <wp:extent cx="2603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-144780</wp:posOffset>
            </wp:positionV>
            <wp:extent cx="3429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-144780</wp:posOffset>
            </wp:positionV>
            <wp:extent cx="2603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171450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54"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As of March 31, 2022 and September 30, 2021, PSSL had unfunded commitments to fund investments of $0.6 and $0.6 million, respectively.</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8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60" w:type="dxa"/>
            <w:vAlign w:val="bottom"/>
          </w:tcPr>
          <w:p>
            <w:pPr>
              <w:spacing w:after="0"/>
              <w:rPr>
                <w:sz w:val="15"/>
                <w:szCs w:val="15"/>
                <w:color w:val="auto"/>
              </w:rPr>
            </w:pPr>
          </w:p>
        </w:tc>
        <w:tc>
          <w:tcPr>
            <w:tcW w:w="154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60" w:type="dxa"/>
            <w:vAlign w:val="bottom"/>
          </w:tcPr>
          <w:p>
            <w:pPr>
              <w:spacing w:after="0"/>
              <w:rPr>
                <w:sz w:val="15"/>
                <w:szCs w:val="15"/>
                <w:color w:val="auto"/>
              </w:rPr>
            </w:pPr>
          </w:p>
        </w:tc>
        <w:tc>
          <w:tcPr>
            <w:tcW w:w="154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20" w:type="dxa"/>
            <w:vAlign w:val="bottom"/>
          </w:tcPr>
          <w:p>
            <w:pPr>
              <w:spacing w:after="0"/>
              <w:rPr>
                <w:sz w:val="15"/>
                <w:szCs w:val="15"/>
                <w:color w:val="auto"/>
              </w:rPr>
            </w:pPr>
          </w:p>
        </w:tc>
        <w:tc>
          <w:tcPr>
            <w:tcW w:w="274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0" w:type="dxa"/>
            <w:vAlign w:val="bottom"/>
          </w:tcPr>
          <w:p>
            <w:pPr>
              <w:spacing w:after="0"/>
              <w:rPr>
                <w:sz w:val="1"/>
                <w:szCs w:val="1"/>
                <w:color w:val="auto"/>
              </w:rPr>
            </w:pPr>
          </w:p>
        </w:tc>
      </w:tr>
      <w:tr>
        <w:trPr>
          <w:trHeight w:val="187"/>
        </w:trPr>
        <w:tc>
          <w:tcPr>
            <w:tcW w:w="5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1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1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0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06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11,981</w:t>
            </w:r>
          </w:p>
        </w:tc>
        <w:tc>
          <w:tcPr>
            <w:tcW w:w="1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8,305</w:t>
            </w:r>
          </w:p>
        </w:tc>
        <w:tc>
          <w:tcPr>
            <w:tcW w:w="24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22,932</w:t>
            </w:r>
          </w:p>
        </w:tc>
        <w:tc>
          <w:tcPr>
            <w:tcW w:w="24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6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Other income</w:t>
            </w:r>
          </w:p>
        </w:tc>
        <w:tc>
          <w:tcPr>
            <w:tcW w:w="16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80" w:type="dxa"/>
            <w:vAlign w:val="bottom"/>
            <w:tcBorders>
              <w:bottom w:val="single" w:sz="8" w:color="CCECFF"/>
            </w:tcBorders>
            <w:shd w:val="clear" w:color="auto" w:fill="CCECFF"/>
          </w:tcPr>
          <w:p>
            <w:pPr>
              <w:spacing w:after="0"/>
              <w:rPr>
                <w:sz w:val="15"/>
                <w:szCs w:val="15"/>
                <w:color w:val="auto"/>
              </w:rPr>
            </w:pPr>
          </w:p>
        </w:tc>
        <w:tc>
          <w:tcPr>
            <w:tcW w:w="200" w:type="dxa"/>
            <w:vAlign w:val="bottom"/>
            <w:tcBorders>
              <w:bottom w:val="single" w:sz="8" w:color="CCECFF"/>
            </w:tcBorders>
            <w:shd w:val="clear" w:color="auto" w:fill="CCECFF"/>
          </w:tcPr>
          <w:p>
            <w:pPr>
              <w:spacing w:after="0"/>
              <w:rPr>
                <w:sz w:val="15"/>
                <w:szCs w:val="15"/>
                <w:color w:val="auto"/>
              </w:rPr>
            </w:pPr>
          </w:p>
        </w:tc>
        <w:tc>
          <w:tcPr>
            <w:tcW w:w="1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240" w:type="dxa"/>
            <w:vAlign w:val="bottom"/>
            <w:tcBorders>
              <w:bottom w:val="single" w:sz="8" w:color="CCECFF"/>
            </w:tcBorders>
            <w:shd w:val="clear" w:color="auto" w:fill="CCECFF"/>
          </w:tcPr>
          <w:p>
            <w:pPr>
              <w:spacing w:after="0"/>
              <w:rPr>
                <w:sz w:val="15"/>
                <w:szCs w:val="15"/>
                <w:color w:val="auto"/>
              </w:rPr>
            </w:pPr>
          </w:p>
        </w:tc>
        <w:tc>
          <w:tcPr>
            <w:tcW w:w="320" w:type="dxa"/>
            <w:vAlign w:val="bottom"/>
            <w:tcBorders>
              <w:bottom w:val="single" w:sz="8" w:color="auto"/>
            </w:tcBorders>
            <w:shd w:val="clear" w:color="auto" w:fill="CCECFF"/>
          </w:tcPr>
          <w:p>
            <w:pPr>
              <w:spacing w:after="0"/>
              <w:rPr>
                <w:sz w:val="15"/>
                <w:szCs w:val="15"/>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1,020</w:t>
            </w:r>
          </w:p>
        </w:tc>
        <w:tc>
          <w:tcPr>
            <w:tcW w:w="240" w:type="dxa"/>
            <w:vAlign w:val="bottom"/>
            <w:tcBorders>
              <w:bottom w:val="single" w:sz="8" w:color="CCECFF"/>
            </w:tcBorders>
            <w:shd w:val="clear" w:color="auto" w:fill="CCECFF"/>
          </w:tcPr>
          <w:p>
            <w:pPr>
              <w:spacing w:after="0"/>
              <w:rPr>
                <w:sz w:val="15"/>
                <w:szCs w:val="15"/>
                <w:color w:val="auto"/>
              </w:rPr>
            </w:pPr>
          </w:p>
        </w:tc>
        <w:tc>
          <w:tcPr>
            <w:tcW w:w="320" w:type="dxa"/>
            <w:vAlign w:val="bottom"/>
            <w:tcBorders>
              <w:bottom w:val="single" w:sz="8" w:color="auto"/>
            </w:tcBorders>
            <w:shd w:val="clear" w:color="auto" w:fill="CCECFF"/>
          </w:tcPr>
          <w:p>
            <w:pPr>
              <w:spacing w:after="0"/>
              <w:rPr>
                <w:sz w:val="15"/>
                <w:szCs w:val="15"/>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6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12,130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8,401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23,951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1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0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06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and expense on credit facility and asset-backed debt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3,673</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2,533</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6,847</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Interest expense on notes to members</w:t>
            </w:r>
          </w:p>
        </w:tc>
        <w:tc>
          <w:tcPr>
            <w:tcW w:w="16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3,640</w:t>
            </w:r>
          </w:p>
        </w:tc>
        <w:tc>
          <w:tcPr>
            <w:tcW w:w="18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2,956</w:t>
            </w:r>
          </w:p>
        </w:tc>
        <w:tc>
          <w:tcPr>
            <w:tcW w:w="24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7,195</w:t>
            </w:r>
          </w:p>
        </w:tc>
        <w:tc>
          <w:tcPr>
            <w:tcW w:w="24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6,010</w:t>
            </w: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Administrative services expenses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6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Other general and administrative expenses</w:t>
            </w:r>
          </w:p>
        </w:tc>
        <w:tc>
          <w:tcPr>
            <w:tcW w:w="16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80" w:type="dxa"/>
            <w:vAlign w:val="bottom"/>
            <w:tcBorders>
              <w:bottom w:val="single" w:sz="8" w:color="CCECFF"/>
            </w:tcBorders>
            <w:shd w:val="clear" w:color="auto" w:fill="CCECFF"/>
          </w:tcPr>
          <w:p>
            <w:pPr>
              <w:spacing w:after="0"/>
              <w:rPr>
                <w:sz w:val="15"/>
                <w:szCs w:val="15"/>
                <w:color w:val="auto"/>
              </w:rPr>
            </w:pPr>
          </w:p>
        </w:tc>
        <w:tc>
          <w:tcPr>
            <w:tcW w:w="200" w:type="dxa"/>
            <w:vAlign w:val="bottom"/>
            <w:tcBorders>
              <w:bottom w:val="single" w:sz="8" w:color="CCECFF"/>
            </w:tcBorders>
            <w:shd w:val="clear" w:color="auto" w:fill="CCECFF"/>
          </w:tcPr>
          <w:p>
            <w:pPr>
              <w:spacing w:after="0"/>
              <w:rPr>
                <w:sz w:val="15"/>
                <w:szCs w:val="15"/>
                <w:color w:val="auto"/>
              </w:rPr>
            </w:pPr>
          </w:p>
        </w:tc>
        <w:tc>
          <w:tcPr>
            <w:tcW w:w="1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240" w:type="dxa"/>
            <w:vAlign w:val="bottom"/>
            <w:tcBorders>
              <w:bottom w:val="single" w:sz="8" w:color="CCECFF"/>
            </w:tcBorders>
            <w:shd w:val="clear" w:color="auto" w:fill="CCECFF"/>
          </w:tcPr>
          <w:p>
            <w:pPr>
              <w:spacing w:after="0"/>
              <w:rPr>
                <w:sz w:val="15"/>
                <w:szCs w:val="15"/>
                <w:color w:val="auto"/>
              </w:rPr>
            </w:pPr>
          </w:p>
        </w:tc>
        <w:tc>
          <w:tcPr>
            <w:tcW w:w="320" w:type="dxa"/>
            <w:vAlign w:val="bottom"/>
            <w:tcBorders>
              <w:bottom w:val="single" w:sz="8" w:color="auto"/>
            </w:tcBorders>
            <w:shd w:val="clear" w:color="auto" w:fill="CCECFF"/>
          </w:tcPr>
          <w:p>
            <w:pPr>
              <w:spacing w:after="0"/>
              <w:rPr>
                <w:sz w:val="15"/>
                <w:szCs w:val="15"/>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240" w:type="dxa"/>
            <w:vAlign w:val="bottom"/>
            <w:tcBorders>
              <w:bottom w:val="single" w:sz="8" w:color="CCECFF"/>
            </w:tcBorders>
            <w:shd w:val="clear" w:color="auto" w:fill="CCECFF"/>
          </w:tcPr>
          <w:p>
            <w:pPr>
              <w:spacing w:after="0"/>
              <w:rPr>
                <w:sz w:val="15"/>
                <w:szCs w:val="15"/>
                <w:color w:val="auto"/>
              </w:rPr>
            </w:pPr>
          </w:p>
        </w:tc>
        <w:tc>
          <w:tcPr>
            <w:tcW w:w="320" w:type="dxa"/>
            <w:vAlign w:val="bottom"/>
            <w:tcBorders>
              <w:bottom w:val="single" w:sz="8" w:color="auto"/>
            </w:tcBorders>
            <w:shd w:val="clear" w:color="auto" w:fill="CCECFF"/>
          </w:tcPr>
          <w:p>
            <w:pPr>
              <w:spacing w:after="0"/>
              <w:rPr>
                <w:sz w:val="15"/>
                <w:szCs w:val="15"/>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6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Total expenses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7,902</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5,984</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15,219</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6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160" w:type="dxa"/>
            <w:vAlign w:val="bottom"/>
            <w:tcBorders>
              <w:bottom w:val="single" w:sz="8" w:color="CCECFF"/>
            </w:tcBorders>
            <w:shd w:val="clear" w:color="auto" w:fill="CCECFF"/>
          </w:tcPr>
          <w:p>
            <w:pPr>
              <w:spacing w:after="0"/>
              <w:rPr>
                <w:sz w:val="14"/>
                <w:szCs w:val="14"/>
                <w:color w:val="auto"/>
              </w:rPr>
            </w:pPr>
          </w:p>
        </w:tc>
        <w:tc>
          <w:tcPr>
            <w:tcW w:w="180" w:type="dxa"/>
            <w:vAlign w:val="bottom"/>
            <w:tcBorders>
              <w:bottom w:val="single" w:sz="8" w:color="CCECFF"/>
            </w:tcBorders>
            <w:shd w:val="clear" w:color="auto" w:fill="CCECFF"/>
          </w:tcPr>
          <w:p>
            <w:pPr>
              <w:spacing w:after="0"/>
              <w:rPr>
                <w:sz w:val="14"/>
                <w:szCs w:val="14"/>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4,227</w:t>
            </w:r>
          </w:p>
        </w:tc>
        <w:tc>
          <w:tcPr>
            <w:tcW w:w="180" w:type="dxa"/>
            <w:vAlign w:val="bottom"/>
            <w:tcBorders>
              <w:bottom w:val="single" w:sz="8" w:color="CCECFF"/>
            </w:tcBorders>
            <w:shd w:val="clear" w:color="auto" w:fill="CCECFF"/>
          </w:tcPr>
          <w:p>
            <w:pPr>
              <w:spacing w:after="0"/>
              <w:rPr>
                <w:sz w:val="14"/>
                <w:szCs w:val="14"/>
                <w:color w:val="auto"/>
              </w:rPr>
            </w:pPr>
          </w:p>
        </w:tc>
        <w:tc>
          <w:tcPr>
            <w:tcW w:w="200" w:type="dxa"/>
            <w:vAlign w:val="bottom"/>
            <w:tcBorders>
              <w:bottom w:val="single" w:sz="8" w:color="CCECFF"/>
            </w:tcBorders>
            <w:shd w:val="clear" w:color="auto" w:fill="CCECFF"/>
          </w:tcPr>
          <w:p>
            <w:pPr>
              <w:spacing w:after="0"/>
              <w:rPr>
                <w:sz w:val="14"/>
                <w:szCs w:val="14"/>
                <w:color w:val="auto"/>
              </w:rPr>
            </w:pPr>
          </w:p>
        </w:tc>
        <w:tc>
          <w:tcPr>
            <w:tcW w:w="1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2,416</w:t>
            </w:r>
          </w:p>
        </w:tc>
        <w:tc>
          <w:tcPr>
            <w:tcW w:w="240" w:type="dxa"/>
            <w:vAlign w:val="bottom"/>
            <w:tcBorders>
              <w:bottom w:val="single" w:sz="8" w:color="CCECFF"/>
            </w:tcBorders>
            <w:shd w:val="clear" w:color="auto" w:fill="CCECFF"/>
          </w:tcPr>
          <w:p>
            <w:pPr>
              <w:spacing w:after="0"/>
              <w:rPr>
                <w:sz w:val="14"/>
                <w:szCs w:val="14"/>
                <w:color w:val="auto"/>
              </w:rPr>
            </w:pPr>
          </w:p>
        </w:tc>
        <w:tc>
          <w:tcPr>
            <w:tcW w:w="320" w:type="dxa"/>
            <w:vAlign w:val="bottom"/>
            <w:tcBorders>
              <w:bottom w:val="single" w:sz="8" w:color="auto"/>
            </w:tcBorders>
            <w:shd w:val="clear" w:color="auto" w:fill="CCECFF"/>
          </w:tcPr>
          <w:p>
            <w:pPr>
              <w:spacing w:after="0"/>
              <w:rPr>
                <w:sz w:val="14"/>
                <w:szCs w:val="14"/>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8,732</w:t>
            </w:r>
          </w:p>
        </w:tc>
        <w:tc>
          <w:tcPr>
            <w:tcW w:w="240" w:type="dxa"/>
            <w:vAlign w:val="bottom"/>
            <w:tcBorders>
              <w:bottom w:val="single" w:sz="8" w:color="CCECFF"/>
            </w:tcBorders>
            <w:shd w:val="clear" w:color="auto" w:fill="CCECFF"/>
          </w:tcPr>
          <w:p>
            <w:pPr>
              <w:spacing w:after="0"/>
              <w:rPr>
                <w:sz w:val="14"/>
                <w:szCs w:val="14"/>
                <w:color w:val="auto"/>
              </w:rPr>
            </w:pPr>
          </w:p>
        </w:tc>
        <w:tc>
          <w:tcPr>
            <w:tcW w:w="320" w:type="dxa"/>
            <w:vAlign w:val="bottom"/>
            <w:tcBorders>
              <w:bottom w:val="single" w:sz="8" w:color="auto"/>
            </w:tcBorders>
            <w:shd w:val="clear" w:color="auto" w:fill="CCECFF"/>
          </w:tcPr>
          <w:p>
            <w:pPr>
              <w:spacing w:after="0"/>
              <w:rPr>
                <w:sz w:val="14"/>
                <w:szCs w:val="14"/>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4,354</w:t>
            </w:r>
          </w:p>
        </w:tc>
        <w:tc>
          <w:tcPr>
            <w:tcW w:w="6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060" w:type="dxa"/>
            <w:vAlign w:val="bottom"/>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Realized and unrealized (loss) gain on investments and credit facility foreign</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currency translation currency translations:</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Net realized loss on investments</w:t>
            </w:r>
          </w:p>
        </w:tc>
        <w:tc>
          <w:tcPr>
            <w:tcW w:w="16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2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(14,584 )</w:t>
            </w:r>
          </w:p>
        </w:tc>
        <w:tc>
          <w:tcPr>
            <w:tcW w:w="200" w:type="dxa"/>
            <w:vAlign w:val="bottom"/>
            <w:shd w:val="clear" w:color="auto" w:fill="CCECFF"/>
          </w:tcPr>
          <w:p>
            <w:pPr>
              <w:spacing w:after="0"/>
              <w:rPr>
                <w:sz w:val="15"/>
                <w:szCs w:val="15"/>
                <w:color w:val="auto"/>
              </w:rPr>
            </w:pPr>
          </w:p>
        </w:tc>
        <w:tc>
          <w:tcPr>
            <w:tcW w:w="13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(484 )</w:t>
            </w:r>
          </w:p>
        </w:tc>
        <w:tc>
          <w:tcPr>
            <w:tcW w:w="320" w:type="dxa"/>
            <w:vAlign w:val="bottom"/>
            <w:shd w:val="clear" w:color="auto" w:fill="CCECFF"/>
          </w:tcPr>
          <w:p>
            <w:pPr>
              <w:spacing w:after="0"/>
              <w:rPr>
                <w:sz w:val="15"/>
                <w:szCs w:val="15"/>
                <w:color w:val="auto"/>
              </w:rPr>
            </w:pPr>
          </w:p>
        </w:tc>
        <w:tc>
          <w:tcPr>
            <w:tcW w:w="13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(14,932 )</w:t>
            </w:r>
          </w:p>
        </w:tc>
        <w:tc>
          <w:tcPr>
            <w:tcW w:w="320" w:type="dxa"/>
            <w:vAlign w:val="bottom"/>
            <w:shd w:val="clear" w:color="auto" w:fill="CCECFF"/>
          </w:tcPr>
          <w:p>
            <w:pPr>
              <w:spacing w:after="0"/>
              <w:rPr>
                <w:sz w:val="15"/>
                <w:szCs w:val="15"/>
                <w:color w:val="auto"/>
              </w:rPr>
            </w:pPr>
          </w:p>
        </w:tc>
        <w:tc>
          <w:tcPr>
            <w:tcW w:w="11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(1,276 )</w:t>
            </w:r>
          </w:p>
        </w:tc>
        <w:tc>
          <w:tcPr>
            <w:tcW w:w="0" w:type="dxa"/>
            <w:vAlign w:val="bottom"/>
          </w:tcPr>
          <w:p>
            <w:pPr>
              <w:spacing w:after="0"/>
              <w:rPr>
                <w:sz w:val="1"/>
                <w:szCs w:val="1"/>
                <w:color w:val="auto"/>
              </w:rPr>
            </w:pPr>
          </w:p>
        </w:tc>
      </w:tr>
      <w:tr>
        <w:trPr>
          <w:trHeight w:val="176"/>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unrealized (depreciation) appreciation on:</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Investments</w:t>
            </w:r>
          </w:p>
        </w:tc>
        <w:tc>
          <w:tcPr>
            <w:tcW w:w="16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14,760</w:t>
            </w:r>
          </w:p>
        </w:tc>
        <w:tc>
          <w:tcPr>
            <w:tcW w:w="18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3,480</w:t>
            </w:r>
          </w:p>
        </w:tc>
        <w:tc>
          <w:tcPr>
            <w:tcW w:w="24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11,556</w:t>
            </w:r>
          </w:p>
        </w:tc>
        <w:tc>
          <w:tcPr>
            <w:tcW w:w="24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7,664</w:t>
            </w: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Credit facility foreign currency translation</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(489 )</w:t>
            </w:r>
          </w:p>
        </w:tc>
        <w:tc>
          <w:tcPr>
            <w:tcW w:w="0" w:type="dxa"/>
            <w:vAlign w:val="bottom"/>
          </w:tcPr>
          <w:p>
            <w:pPr>
              <w:spacing w:after="0"/>
              <w:rPr>
                <w:sz w:val="1"/>
                <w:szCs w:val="1"/>
                <w:color w:val="auto"/>
              </w:rPr>
            </w:pPr>
          </w:p>
        </w:tc>
      </w:tr>
      <w:tr>
        <w:trPr>
          <w:trHeight w:val="131"/>
        </w:trPr>
        <w:tc>
          <w:tcPr>
            <w:tcW w:w="5060" w:type="dxa"/>
            <w:vAlign w:val="bottom"/>
            <w:shd w:val="clear" w:color="auto" w:fill="CCECFF"/>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Net change in unrealized (depreciation) appreciation on investments and credit</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1020" w:type="dxa"/>
            <w:vAlign w:val="bottom"/>
            <w:tcBorders>
              <w:top w:val="single" w:sz="8" w:color="auto"/>
            </w:tcBorders>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14,760</w:t>
            </w:r>
          </w:p>
        </w:tc>
        <w:tc>
          <w:tcPr>
            <w:tcW w:w="18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1140" w:type="dxa"/>
            <w:vAlign w:val="bottom"/>
            <w:tcBorders>
              <w:top w:val="single" w:sz="8" w:color="auto"/>
            </w:tcBorders>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3,651</w:t>
            </w:r>
          </w:p>
        </w:tc>
        <w:tc>
          <w:tcPr>
            <w:tcW w:w="240" w:type="dxa"/>
            <w:vAlign w:val="bottom"/>
            <w:shd w:val="clear" w:color="auto" w:fill="CCECFF"/>
          </w:tcPr>
          <w:p>
            <w:pPr>
              <w:spacing w:after="0"/>
              <w:rPr>
                <w:sz w:val="11"/>
                <w:szCs w:val="11"/>
                <w:color w:val="auto"/>
              </w:rPr>
            </w:pPr>
          </w:p>
        </w:tc>
        <w:tc>
          <w:tcPr>
            <w:tcW w:w="320" w:type="dxa"/>
            <w:vAlign w:val="bottom"/>
            <w:tcBorders>
              <w:top w:val="single" w:sz="8" w:color="auto"/>
            </w:tcBorders>
            <w:shd w:val="clear" w:color="auto" w:fill="CCECFF"/>
          </w:tcPr>
          <w:p>
            <w:pPr>
              <w:spacing w:after="0"/>
              <w:rPr>
                <w:sz w:val="11"/>
                <w:szCs w:val="11"/>
                <w:color w:val="auto"/>
              </w:rPr>
            </w:pPr>
          </w:p>
        </w:tc>
        <w:tc>
          <w:tcPr>
            <w:tcW w:w="1060" w:type="dxa"/>
            <w:vAlign w:val="bottom"/>
            <w:tcBorders>
              <w:top w:val="single" w:sz="8" w:color="auto"/>
            </w:tcBorders>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11,556</w:t>
            </w:r>
          </w:p>
        </w:tc>
        <w:tc>
          <w:tcPr>
            <w:tcW w:w="240" w:type="dxa"/>
            <w:vAlign w:val="bottom"/>
            <w:shd w:val="clear" w:color="auto" w:fill="CCECFF"/>
          </w:tcPr>
          <w:p>
            <w:pPr>
              <w:spacing w:after="0"/>
              <w:rPr>
                <w:sz w:val="11"/>
                <w:szCs w:val="11"/>
                <w:color w:val="auto"/>
              </w:rPr>
            </w:pPr>
          </w:p>
        </w:tc>
        <w:tc>
          <w:tcPr>
            <w:tcW w:w="320" w:type="dxa"/>
            <w:vAlign w:val="bottom"/>
            <w:tcBorders>
              <w:top w:val="single" w:sz="8" w:color="auto"/>
            </w:tcBorders>
            <w:shd w:val="clear" w:color="auto" w:fill="CCECFF"/>
          </w:tcPr>
          <w:p>
            <w:pPr>
              <w:spacing w:after="0"/>
              <w:rPr>
                <w:sz w:val="11"/>
                <w:szCs w:val="11"/>
                <w:color w:val="auto"/>
              </w:rPr>
            </w:pPr>
          </w:p>
        </w:tc>
        <w:tc>
          <w:tcPr>
            <w:tcW w:w="1060" w:type="dxa"/>
            <w:vAlign w:val="bottom"/>
            <w:tcBorders>
              <w:top w:val="single" w:sz="8" w:color="auto"/>
            </w:tcBorders>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7,175</w:t>
            </w:r>
          </w:p>
        </w:tc>
        <w:tc>
          <w:tcPr>
            <w:tcW w:w="6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06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facility foreign currency translations</w:t>
            </w:r>
          </w:p>
        </w:tc>
        <w:tc>
          <w:tcPr>
            <w:tcW w:w="16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1020" w:type="dxa"/>
            <w:vAlign w:val="bottom"/>
            <w:tcBorders>
              <w:bottom w:val="single" w:sz="8" w:color="auto"/>
            </w:tcBorders>
            <w:vMerge w:val="continue"/>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200" w:type="dxa"/>
            <w:vAlign w:val="bottom"/>
            <w:tcBorders>
              <w:bottom w:val="single" w:sz="8" w:color="CCECFF"/>
            </w:tcBorders>
            <w:shd w:val="clear" w:color="auto" w:fill="CCECFF"/>
          </w:tcPr>
          <w:p>
            <w:pPr>
              <w:spacing w:after="0"/>
              <w:rPr>
                <w:sz w:val="15"/>
                <w:szCs w:val="15"/>
                <w:color w:val="auto"/>
              </w:rPr>
            </w:pPr>
          </w:p>
        </w:tc>
        <w:tc>
          <w:tcPr>
            <w:tcW w:w="1140" w:type="dxa"/>
            <w:vAlign w:val="bottom"/>
            <w:tcBorders>
              <w:bottom w:val="single" w:sz="8" w:color="auto"/>
            </w:tcBorders>
            <w:vMerge w:val="continue"/>
            <w:shd w:val="clear" w:color="auto" w:fill="CCECFF"/>
          </w:tcPr>
          <w:p>
            <w:pPr>
              <w:spacing w:after="0"/>
              <w:rPr>
                <w:sz w:val="15"/>
                <w:szCs w:val="15"/>
                <w:color w:val="auto"/>
              </w:rPr>
            </w:pPr>
          </w:p>
        </w:tc>
        <w:tc>
          <w:tcPr>
            <w:tcW w:w="240" w:type="dxa"/>
            <w:vAlign w:val="bottom"/>
            <w:tcBorders>
              <w:bottom w:val="single" w:sz="8" w:color="CCECFF"/>
            </w:tcBorders>
            <w:shd w:val="clear" w:color="auto" w:fill="CCECFF"/>
          </w:tcPr>
          <w:p>
            <w:pPr>
              <w:spacing w:after="0"/>
              <w:rPr>
                <w:sz w:val="15"/>
                <w:szCs w:val="15"/>
                <w:color w:val="auto"/>
              </w:rPr>
            </w:pPr>
          </w:p>
        </w:tc>
        <w:tc>
          <w:tcPr>
            <w:tcW w:w="320" w:type="dxa"/>
            <w:vAlign w:val="bottom"/>
            <w:tcBorders>
              <w:bottom w:val="single" w:sz="8" w:color="auto"/>
            </w:tcBorders>
            <w:shd w:val="clear" w:color="auto" w:fill="CCECFF"/>
          </w:tcPr>
          <w:p>
            <w:pPr>
              <w:spacing w:after="0"/>
              <w:rPr>
                <w:sz w:val="15"/>
                <w:szCs w:val="15"/>
                <w:color w:val="auto"/>
              </w:rPr>
            </w:pPr>
          </w:p>
        </w:tc>
        <w:tc>
          <w:tcPr>
            <w:tcW w:w="1060" w:type="dxa"/>
            <w:vAlign w:val="bottom"/>
            <w:tcBorders>
              <w:bottom w:val="single" w:sz="8" w:color="auto"/>
            </w:tcBorders>
            <w:vMerge w:val="continue"/>
            <w:shd w:val="clear" w:color="auto" w:fill="CCECFF"/>
          </w:tcPr>
          <w:p>
            <w:pPr>
              <w:spacing w:after="0"/>
              <w:rPr>
                <w:sz w:val="15"/>
                <w:szCs w:val="15"/>
                <w:color w:val="auto"/>
              </w:rPr>
            </w:pPr>
          </w:p>
        </w:tc>
        <w:tc>
          <w:tcPr>
            <w:tcW w:w="240" w:type="dxa"/>
            <w:vAlign w:val="bottom"/>
            <w:tcBorders>
              <w:bottom w:val="single" w:sz="8" w:color="CCECFF"/>
            </w:tcBorders>
            <w:shd w:val="clear" w:color="auto" w:fill="CCECFF"/>
          </w:tcPr>
          <w:p>
            <w:pPr>
              <w:spacing w:after="0"/>
              <w:rPr>
                <w:sz w:val="15"/>
                <w:szCs w:val="15"/>
                <w:color w:val="auto"/>
              </w:rPr>
            </w:pPr>
          </w:p>
        </w:tc>
        <w:tc>
          <w:tcPr>
            <w:tcW w:w="320" w:type="dxa"/>
            <w:vAlign w:val="bottom"/>
            <w:tcBorders>
              <w:bottom w:val="single" w:sz="8" w:color="auto"/>
            </w:tcBorders>
            <w:shd w:val="clear" w:color="auto" w:fill="CCECFF"/>
          </w:tcPr>
          <w:p>
            <w:pPr>
              <w:spacing w:after="0"/>
              <w:rPr>
                <w:sz w:val="15"/>
                <w:szCs w:val="15"/>
                <w:color w:val="auto"/>
              </w:rPr>
            </w:pPr>
          </w:p>
        </w:tc>
        <w:tc>
          <w:tcPr>
            <w:tcW w:w="1060" w:type="dxa"/>
            <w:vAlign w:val="bottom"/>
            <w:tcBorders>
              <w:bottom w:val="single" w:sz="8" w:color="auto"/>
            </w:tcBorders>
            <w:vMerge w:val="continue"/>
            <w:shd w:val="clear" w:color="auto" w:fill="CCECFF"/>
          </w:tcPr>
          <w:p>
            <w:pPr>
              <w:spacing w:after="0"/>
              <w:rPr>
                <w:sz w:val="15"/>
                <w:szCs w:val="15"/>
                <w:color w:val="auto"/>
              </w:rPr>
            </w:pPr>
          </w:p>
        </w:tc>
        <w:tc>
          <w:tcPr>
            <w:tcW w:w="6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060" w:type="dxa"/>
            <w:vAlign w:val="bottom"/>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Net realized and unrealized (loss) gain from investments and credit facility</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3,167</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(3,376 )</w:t>
            </w:r>
          </w:p>
        </w:tc>
        <w:tc>
          <w:tcPr>
            <w:tcW w:w="3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0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foreign currency translations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in members' equity resulting from operations</w:t>
            </w:r>
          </w:p>
        </w:tc>
        <w:tc>
          <w:tcPr>
            <w:tcW w:w="160" w:type="dxa"/>
            <w:vAlign w:val="bottom"/>
            <w:tcBorders>
              <w:bottom w:val="single" w:sz="8" w:color="CCECFF"/>
            </w:tcBorders>
            <w:shd w:val="clear" w:color="auto" w:fill="CCECFF"/>
          </w:tcPr>
          <w:p>
            <w:pPr>
              <w:spacing w:after="0"/>
              <w:rPr>
                <w:sz w:val="18"/>
                <w:szCs w:val="18"/>
                <w:color w:val="auto"/>
              </w:rPr>
            </w:pPr>
          </w:p>
        </w:tc>
        <w:tc>
          <w:tcPr>
            <w:tcW w:w="1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4,403</w:t>
            </w:r>
          </w:p>
        </w:tc>
        <w:tc>
          <w:tcPr>
            <w:tcW w:w="180" w:type="dxa"/>
            <w:vAlign w:val="bottom"/>
            <w:tcBorders>
              <w:bottom w:val="single" w:sz="8" w:color="CCECFF"/>
            </w:tcBorders>
            <w:shd w:val="clear" w:color="auto" w:fill="CCECFF"/>
          </w:tcPr>
          <w:p>
            <w:pPr>
              <w:spacing w:after="0"/>
              <w:rPr>
                <w:sz w:val="18"/>
                <w:szCs w:val="18"/>
                <w:color w:val="auto"/>
              </w:rPr>
            </w:pPr>
          </w:p>
        </w:tc>
        <w:tc>
          <w:tcPr>
            <w:tcW w:w="2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5,582</w:t>
            </w:r>
          </w:p>
        </w:tc>
        <w:tc>
          <w:tcPr>
            <w:tcW w:w="24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top w:val="single" w:sz="8" w:color="auto"/>
              <w:bottom w:val="single" w:sz="8" w:color="auto"/>
            </w:tcBorders>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5,356</w:t>
            </w:r>
          </w:p>
        </w:tc>
        <w:tc>
          <w:tcPr>
            <w:tcW w:w="24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top w:val="single" w:sz="8" w:color="auto"/>
              <w:bottom w:val="single" w:sz="8" w:color="auto"/>
            </w:tcBorders>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10,254</w:t>
            </w:r>
          </w:p>
        </w:tc>
        <w:tc>
          <w:tcPr>
            <w:tcW w:w="6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-2142490</wp:posOffset>
            </wp:positionV>
            <wp:extent cx="5143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-2142490</wp:posOffset>
            </wp:positionV>
            <wp:extent cx="431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-2142490</wp:posOffset>
            </wp:positionV>
            <wp:extent cx="431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-2142490</wp:posOffset>
            </wp:positionV>
            <wp:extent cx="431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-1456690</wp:posOffset>
            </wp:positionV>
            <wp:extent cx="5143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-1456690</wp:posOffset>
            </wp:positionV>
            <wp:extent cx="431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-1456690</wp:posOffset>
            </wp:positionV>
            <wp:extent cx="431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-1456690</wp:posOffset>
            </wp:positionV>
            <wp:extent cx="431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-1216660</wp:posOffset>
            </wp:positionV>
            <wp:extent cx="5143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-1216660</wp:posOffset>
            </wp:positionV>
            <wp:extent cx="431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-1216660</wp:posOffset>
            </wp:positionV>
            <wp:extent cx="4318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-1216660</wp:posOffset>
            </wp:positionV>
            <wp:extent cx="4318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-350520</wp:posOffset>
            </wp:positionV>
            <wp:extent cx="5143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-350520</wp:posOffset>
            </wp:positionV>
            <wp:extent cx="431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-350520</wp:posOffset>
            </wp:positionV>
            <wp:extent cx="431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-350520</wp:posOffset>
            </wp:positionV>
            <wp:extent cx="431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-25400</wp:posOffset>
            </wp:positionV>
            <wp:extent cx="5143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-8255</wp:posOffset>
            </wp:positionV>
            <wp:extent cx="5143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-25400</wp:posOffset>
            </wp:positionV>
            <wp:extent cx="431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-8255</wp:posOffset>
            </wp:positionV>
            <wp:extent cx="4318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431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4318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17145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54" w:lineRule="exact"/>
        <w:rPr>
          <w:sz w:val="20"/>
          <w:szCs w:val="20"/>
          <w:color w:val="auto"/>
        </w:rPr>
      </w:pPr>
    </w:p>
    <w:p>
      <w:pPr>
        <w:ind w:left="380" w:hanging="372"/>
        <w:spacing w:after="0"/>
        <w:tabs>
          <w:tab w:leader="none" w:pos="380" w:val="left"/>
        </w:tabs>
        <w:numPr>
          <w:ilvl w:val="0"/>
          <w:numId w:val="1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No management or incentive fees are payable by PSSL. If any fees were to be charged, they would be separately disclosed in the Statement of Operations.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FAIR VALUE OF FINANCIAL INSTRUMENTS</w:t>
      </w:r>
    </w:p>
    <w:p>
      <w:pPr>
        <w:spacing w:after="0" w:line="165"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4"/>
          <w:szCs w:val="14"/>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ASC 820 classifies the inputs used to measure these fair values into the following hierarchies:</w:t>
      </w:r>
    </w:p>
    <w:p>
      <w:pPr>
        <w:spacing w:after="0" w:line="163" w:lineRule="exact"/>
        <w:rPr>
          <w:sz w:val="20"/>
          <w:szCs w:val="20"/>
          <w:color w:val="auto"/>
        </w:rPr>
      </w:pPr>
    </w:p>
    <w:p>
      <w:pPr>
        <w:ind w:left="300"/>
        <w:spacing w:after="0"/>
        <w:tabs>
          <w:tab w:leader="none" w:pos="1520" w:val="left"/>
        </w:tabs>
        <w:rPr>
          <w:sz w:val="20"/>
          <w:szCs w:val="20"/>
          <w:color w:val="auto"/>
        </w:rPr>
      </w:pPr>
      <w:r>
        <w:rPr>
          <w:rFonts w:ascii="Times New Roman" w:cs="Times New Roman" w:eastAsia="Times New Roman" w:hAnsi="Times New Roman"/>
          <w:sz w:val="14"/>
          <w:szCs w:val="14"/>
          <w:color w:val="auto"/>
        </w:rPr>
        <w:t>Level 1:</w:t>
      </w:r>
      <w:r>
        <w:rPr>
          <w:sz w:val="20"/>
          <w:szCs w:val="20"/>
          <w:color w:val="auto"/>
        </w:rPr>
        <w:tab/>
      </w:r>
      <w:r>
        <w:rPr>
          <w:rFonts w:ascii="Times New Roman" w:cs="Times New Roman" w:eastAsia="Times New Roman" w:hAnsi="Times New Roman"/>
          <w:sz w:val="14"/>
          <w:szCs w:val="14"/>
          <w:color w:val="auto"/>
        </w:rPr>
        <w:t>Inputs that are quoted prices (unadjusted) in active markets for identical assets or liabilities, accessible by us at the measurement date.</w:t>
      </w:r>
    </w:p>
    <w:p>
      <w:pPr>
        <w:spacing w:after="0" w:line="150" w:lineRule="exact"/>
        <w:rPr>
          <w:sz w:val="20"/>
          <w:szCs w:val="20"/>
          <w:color w:val="auto"/>
        </w:rPr>
      </w:pPr>
    </w:p>
    <w:p>
      <w:pPr>
        <w:ind w:left="1540" w:right="320" w:hanging="1241"/>
        <w:spacing w:after="0" w:line="243" w:lineRule="auto"/>
        <w:tabs>
          <w:tab w:leader="none" w:pos="1520" w:val="left"/>
        </w:tabs>
        <w:rPr>
          <w:sz w:val="20"/>
          <w:szCs w:val="20"/>
          <w:color w:val="auto"/>
        </w:rPr>
      </w:pPr>
      <w:r>
        <w:rPr>
          <w:rFonts w:ascii="Times New Roman" w:cs="Times New Roman" w:eastAsia="Times New Roman" w:hAnsi="Times New Roman"/>
          <w:sz w:val="14"/>
          <w:szCs w:val="14"/>
          <w:color w:val="auto"/>
        </w:rPr>
        <w:t>Level 2:</w:t>
      </w:r>
      <w:r>
        <w:rPr>
          <w:sz w:val="20"/>
          <w:szCs w:val="20"/>
          <w:color w:val="auto"/>
        </w:rPr>
        <w:tab/>
      </w:r>
      <w:r>
        <w:rPr>
          <w:rFonts w:ascii="Times New Roman" w:cs="Times New Roman" w:eastAsia="Times New Roman" w:hAnsi="Times New Roman"/>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w:t>
      </w:r>
    </w:p>
    <w:p>
      <w:pPr>
        <w:spacing w:after="0" w:line="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instrument.</w:t>
      </w:r>
    </w:p>
    <w:p>
      <w:pPr>
        <w:spacing w:after="0" w:line="134" w:lineRule="exact"/>
        <w:rPr>
          <w:sz w:val="20"/>
          <w:szCs w:val="20"/>
          <w:color w:val="auto"/>
        </w:rPr>
      </w:pPr>
    </w:p>
    <w:p>
      <w:pPr>
        <w:ind w:left="1540" w:right="760" w:hanging="1241"/>
        <w:spacing w:after="0" w:line="261" w:lineRule="auto"/>
        <w:tabs>
          <w:tab w:leader="none" w:pos="1520" w:val="left"/>
        </w:tabs>
        <w:rPr>
          <w:sz w:val="20"/>
          <w:szCs w:val="20"/>
          <w:color w:val="auto"/>
        </w:rPr>
      </w:pPr>
      <w:r>
        <w:rPr>
          <w:rFonts w:ascii="Times New Roman" w:cs="Times New Roman" w:eastAsia="Times New Roman" w:hAnsi="Times New Roman"/>
          <w:sz w:val="14"/>
          <w:szCs w:val="14"/>
          <w:color w:val="auto"/>
        </w:rPr>
        <w:t>Level 3:</w:t>
      </w:r>
      <w:r>
        <w:rPr>
          <w:sz w:val="20"/>
          <w:szCs w:val="20"/>
          <w:color w:val="auto"/>
        </w:rPr>
        <w:tab/>
      </w:r>
      <w:r>
        <w:rPr>
          <w:rFonts w:ascii="Times New Roman" w:cs="Times New Roman" w:eastAsia="Times New Roman" w:hAnsi="Times New Roman"/>
          <w:sz w:val="14"/>
          <w:szCs w:val="14"/>
          <w:color w:val="auto"/>
        </w:rPr>
        <w:t>Inputs that are unobservable for an asset or liability because they are based on our own assumptions about how market participants would price the asset or liability.</w:t>
      </w:r>
    </w:p>
    <w:p>
      <w:pPr>
        <w:spacing w:after="0" w:line="176" w:lineRule="exact"/>
        <w:rPr>
          <w:sz w:val="20"/>
          <w:szCs w:val="20"/>
          <w:color w:val="auto"/>
        </w:rPr>
      </w:pPr>
    </w:p>
    <w:p>
      <w:pPr>
        <w:ind w:right="200" w:firstLine="449"/>
        <w:spacing w:after="0" w:line="255" w:lineRule="auto"/>
        <w:rPr>
          <w:sz w:val="20"/>
          <w:szCs w:val="20"/>
          <w:color w:val="auto"/>
        </w:rPr>
      </w:pPr>
      <w:r>
        <w:rPr>
          <w:rFonts w:ascii="Times New Roman" w:cs="Times New Roman" w:eastAsia="Times New Roman" w:hAnsi="Times New Roman"/>
          <w:sz w:val="14"/>
          <w:szCs w:val="14"/>
          <w:color w:val="auto"/>
        </w:rPr>
        <w:t>A financial instrument’s categorization within the valuation hierarchy is based upon the lowest level of input that is significant to the fair value measurement. Generally, most of our investments, our 2031 Asset-Backed Debt and our Credit Facility are classified as Level 3. Our 2026 Notes are classified as Level 2 as they are financial instruments with readily observable market inputs. Our 2023 Notes are classified as Level 1, as they were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39"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4"/>
          <w:szCs w:val="14"/>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27" w:lineRule="exact"/>
        <w:rPr>
          <w:sz w:val="20"/>
          <w:szCs w:val="20"/>
          <w:color w:val="auto"/>
        </w:rPr>
      </w:pPr>
    </w:p>
    <w:p>
      <w:pPr>
        <w:jc w:val="both"/>
        <w:ind w:right="60" w:firstLine="449"/>
        <w:spacing w:after="0" w:line="256" w:lineRule="auto"/>
        <w:rPr>
          <w:sz w:val="20"/>
          <w:szCs w:val="20"/>
          <w:color w:val="auto"/>
        </w:rPr>
      </w:pPr>
      <w:r>
        <w:rPr>
          <w:rFonts w:ascii="Times New Roman" w:cs="Times New Roman" w:eastAsia="Times New Roman" w:hAnsi="Times New Roman"/>
          <w:sz w:val="14"/>
          <w:szCs w:val="14"/>
          <w:color w:val="auto"/>
        </w:rPr>
        <w:t>Our investments are generally structured as Floating Rate Loans, mainly first lien secured debt, but also may include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40" w:lineRule="exact"/>
        <w:rPr>
          <w:sz w:val="20"/>
          <w:szCs w:val="20"/>
          <w:color w:val="auto"/>
        </w:rPr>
      </w:pPr>
    </w:p>
    <w:p>
      <w:pPr>
        <w:ind w:right="260" w:firstLine="449"/>
        <w:spacing w:after="0" w:line="253" w:lineRule="auto"/>
        <w:rPr>
          <w:sz w:val="20"/>
          <w:szCs w:val="20"/>
          <w:color w:val="auto"/>
        </w:rPr>
      </w:pPr>
      <w:r>
        <w:rPr>
          <w:rFonts w:ascii="Times New Roman" w:cs="Times New Roman" w:eastAsia="Times New Roman" w:hAnsi="Times New Roman"/>
          <w:sz w:val="14"/>
          <w:szCs w:val="14"/>
          <w:color w:val="auto"/>
        </w:rPr>
        <w:t>A review of fair value hierarchy classifications is conducted on a quarterly basis. Changes in our ability to observe valuation inputs may result in a reclassification for certain financial assets or liabilities.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23" w:lineRule="exact"/>
        <w:rPr>
          <w:sz w:val="20"/>
          <w:szCs w:val="20"/>
          <w:color w:val="auto"/>
        </w:rPr>
      </w:pPr>
    </w:p>
    <w:p>
      <w:pPr>
        <w:ind w:right="220" w:firstLine="449"/>
        <w:spacing w:after="0" w:line="261" w:lineRule="auto"/>
        <w:rPr>
          <w:sz w:val="20"/>
          <w:szCs w:val="20"/>
          <w:color w:val="auto"/>
        </w:rPr>
      </w:pPr>
      <w:r>
        <w:rPr>
          <w:rFonts w:ascii="Times New Roman" w:cs="Times New Roman" w:eastAsia="Times New Roman" w:hAnsi="Times New Roman"/>
          <w:sz w:val="14"/>
          <w:szCs w:val="14"/>
          <w:color w:val="auto"/>
        </w:rPr>
        <w:t>In addition to using the above inputs to value cash equivalents, investments, our 2023 Notes, our 2026 Notes, our 2031 Asset-Backed Debt and our Credit Facility,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36" w:lineRule="exact"/>
        <w:rPr>
          <w:sz w:val="20"/>
          <w:szCs w:val="20"/>
          <w:color w:val="auto"/>
        </w:rPr>
      </w:pPr>
    </w:p>
    <w:p>
      <w:pPr>
        <w:jc w:val="both"/>
        <w:ind w:right="140" w:firstLine="449"/>
        <w:spacing w:after="0" w:line="256" w:lineRule="auto"/>
        <w:rPr>
          <w:sz w:val="20"/>
          <w:szCs w:val="20"/>
          <w:color w:val="auto"/>
        </w:rPr>
      </w:pPr>
      <w:r>
        <w:rPr>
          <w:rFonts w:ascii="Times New Roman" w:cs="Times New Roman" w:eastAsia="Times New Roman" w:hAnsi="Times New Roman"/>
          <w:sz w:val="14"/>
          <w:szCs w:val="14"/>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 In accordance with ASC 820, we do not categorize any investments for which fair value is measured using the net asset value per share as a practical expedient within the fair value hierarchy.</w:t>
      </w:r>
    </w:p>
    <w:p>
      <w:pPr>
        <w:spacing w:after="0" w:line="127"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4"/>
          <w:szCs w:val="14"/>
          <w:color w:val="auto"/>
        </w:rPr>
        <w:t>The remainder of our investment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Level 3 valuation techniques, unobservable inputs and ranges were categorized as follows for ASC 820 purposes ($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180" w:type="dxa"/>
            <w:vAlign w:val="bottom"/>
          </w:tcPr>
          <w:p>
            <w:pPr>
              <w:spacing w:after="0"/>
              <w:rPr>
                <w:sz w:val="13"/>
                <w:szCs w:val="13"/>
                <w:color w:val="auto"/>
              </w:rPr>
            </w:pPr>
          </w:p>
        </w:tc>
        <w:tc>
          <w:tcPr>
            <w:tcW w:w="1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March</w:t>
            </w:r>
          </w:p>
        </w:tc>
        <w:tc>
          <w:tcPr>
            <w:tcW w:w="200" w:type="dxa"/>
            <w:vAlign w:val="bottom"/>
          </w:tcPr>
          <w:p>
            <w:pPr>
              <w:spacing w:after="0"/>
              <w:rPr>
                <w:sz w:val="13"/>
                <w:szCs w:val="13"/>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60" w:type="dxa"/>
            <w:vAlign w:val="bottom"/>
          </w:tcPr>
          <w:p>
            <w:pPr>
              <w:spacing w:after="0"/>
              <w:rPr>
                <w:sz w:val="13"/>
                <w:szCs w:val="13"/>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60" w:type="dxa"/>
            <w:vAlign w:val="bottom"/>
          </w:tcPr>
          <w:p>
            <w:pPr>
              <w:spacing w:after="0"/>
              <w:rPr>
                <w:sz w:val="13"/>
                <w:szCs w:val="13"/>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 of Input</w:t>
            </w:r>
          </w:p>
        </w:tc>
        <w:tc>
          <w:tcPr>
            <w:tcW w:w="0" w:type="dxa"/>
            <w:vAlign w:val="bottom"/>
          </w:tcPr>
          <w:p>
            <w:pPr>
              <w:spacing w:after="0"/>
              <w:rPr>
                <w:sz w:val="1"/>
                <w:szCs w:val="1"/>
                <w:color w:val="auto"/>
              </w:rPr>
            </w:pPr>
          </w:p>
        </w:tc>
      </w:tr>
      <w:tr>
        <w:trPr>
          <w:trHeight w:val="189"/>
        </w:trPr>
        <w:tc>
          <w:tcPr>
            <w:tcW w:w="3320" w:type="dxa"/>
            <w:vAlign w:val="bottom"/>
            <w:gridSpan w:val="2"/>
            <w:vMerge w:val="continue"/>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9"/>
              </w:rPr>
              <w:t xml:space="preserve">(Weighted Average) </w:t>
            </w:r>
            <w:r>
              <w:rPr>
                <w:rFonts w:ascii="Times New Roman" w:cs="Times New Roman" w:eastAsia="Times New Roman" w:hAnsi="Times New Roman"/>
                <w:sz w:val="19"/>
                <w:szCs w:val="19"/>
                <w:b w:val="1"/>
                <w:bCs w:val="1"/>
                <w:color w:val="auto"/>
                <w:w w:val="99"/>
                <w:vertAlign w:val="superscript"/>
              </w:rPr>
              <w:t>(1)</w:t>
            </w:r>
          </w:p>
        </w:tc>
        <w:tc>
          <w:tcPr>
            <w:tcW w:w="0" w:type="dxa"/>
            <w:vAlign w:val="bottom"/>
          </w:tcPr>
          <w:p>
            <w:pPr>
              <w:spacing w:after="0"/>
              <w:rPr>
                <w:sz w:val="1"/>
                <w:szCs w:val="1"/>
                <w:color w:val="auto"/>
              </w:rPr>
            </w:pPr>
          </w:p>
        </w:tc>
      </w:tr>
      <w:tr>
        <w:trPr>
          <w:trHeight w:val="169"/>
        </w:trPr>
        <w:tc>
          <w:tcPr>
            <w:tcW w:w="3320" w:type="dxa"/>
            <w:vAlign w:val="bottom"/>
            <w:tcBorders>
              <w:top w:val="single" w:sz="8" w:color="auto"/>
            </w:tcBorders>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80" w:type="dxa"/>
            <w:vAlign w:val="bottom"/>
            <w:shd w:val="clear" w:color="auto" w:fill="CCECFF"/>
          </w:tcPr>
          <w:p>
            <w:pPr>
              <w:spacing w:after="0"/>
              <w:rPr>
                <w:sz w:val="14"/>
                <w:szCs w:val="14"/>
                <w:color w:val="auto"/>
              </w:rPr>
            </w:pPr>
          </w:p>
        </w:tc>
        <w:tc>
          <w:tcPr>
            <w:tcW w:w="116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122,979</w:t>
            </w:r>
          </w:p>
        </w:tc>
        <w:tc>
          <w:tcPr>
            <w:tcW w:w="200" w:type="dxa"/>
            <w:vAlign w:val="bottom"/>
            <w:shd w:val="clear" w:color="auto" w:fill="CCECFF"/>
          </w:tcPr>
          <w:p>
            <w:pPr>
              <w:spacing w:after="0"/>
              <w:rPr>
                <w:sz w:val="14"/>
                <w:szCs w:val="14"/>
                <w:color w:val="auto"/>
              </w:rPr>
            </w:pPr>
          </w:p>
        </w:tc>
        <w:tc>
          <w:tcPr>
            <w:tcW w:w="178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shd w:val="clear" w:color="auto" w:fill="CCECFF"/>
          </w:tcPr>
          <w:p>
            <w:pPr>
              <w:spacing w:after="0"/>
              <w:rPr>
                <w:sz w:val="14"/>
                <w:szCs w:val="14"/>
                <w:color w:val="auto"/>
              </w:rPr>
            </w:pPr>
          </w:p>
        </w:tc>
        <w:tc>
          <w:tcPr>
            <w:tcW w:w="190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Broker/Dealer bids or quotes</w:t>
            </w:r>
          </w:p>
        </w:tc>
        <w:tc>
          <w:tcPr>
            <w:tcW w:w="160" w:type="dxa"/>
            <w:vAlign w:val="bottom"/>
            <w:shd w:val="clear" w:color="auto" w:fill="CCECFF"/>
          </w:tcPr>
          <w:p>
            <w:pPr>
              <w:spacing w:after="0"/>
              <w:rPr>
                <w:sz w:val="14"/>
                <w:szCs w:val="14"/>
                <w:color w:val="auto"/>
              </w:rPr>
            </w:pPr>
          </w:p>
        </w:tc>
        <w:tc>
          <w:tcPr>
            <w:tcW w:w="178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75"/>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907,578</w:t>
            </w:r>
          </w:p>
        </w:tc>
        <w:tc>
          <w:tcPr>
            <w:tcW w:w="20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Yield</w:t>
            </w:r>
          </w:p>
        </w:tc>
        <w:tc>
          <w:tcPr>
            <w:tcW w:w="194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6.3% - 14.4% (8.6%)</w:t>
            </w:r>
          </w:p>
        </w:tc>
        <w:tc>
          <w:tcPr>
            <w:tcW w:w="0" w:type="dxa"/>
            <w:vAlign w:val="bottom"/>
          </w:tcPr>
          <w:p>
            <w:pPr>
              <w:spacing w:after="0"/>
              <w:rPr>
                <w:sz w:val="1"/>
                <w:szCs w:val="1"/>
                <w:color w:val="auto"/>
              </w:rPr>
            </w:pPr>
          </w:p>
        </w:tc>
      </w:tr>
      <w:tr>
        <w:trPr>
          <w:trHeight w:val="176"/>
        </w:trPr>
        <w:tc>
          <w:tcPr>
            <w:tcW w:w="33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180" w:type="dxa"/>
            <w:vAlign w:val="bottom"/>
            <w:shd w:val="clear" w:color="auto" w:fill="CCECFF"/>
          </w:tcPr>
          <w:p>
            <w:pPr>
              <w:spacing w:after="0"/>
              <w:rPr>
                <w:sz w:val="15"/>
                <w:szCs w:val="15"/>
                <w:color w:val="auto"/>
              </w:rPr>
            </w:pPr>
          </w:p>
        </w:tc>
        <w:tc>
          <w:tcPr>
            <w:tcW w:w="116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200" w:type="dxa"/>
            <w:vAlign w:val="bottom"/>
            <w:shd w:val="clear" w:color="auto" w:fill="CCECFF"/>
          </w:tcPr>
          <w:p>
            <w:pPr>
              <w:spacing w:after="0"/>
              <w:rPr>
                <w:sz w:val="15"/>
                <w:szCs w:val="15"/>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shd w:val="clear" w:color="auto" w:fill="CCECFF"/>
          </w:tcPr>
          <w:p>
            <w:pPr>
              <w:spacing w:after="0"/>
              <w:rPr>
                <w:sz w:val="15"/>
                <w:szCs w:val="15"/>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Market Yield</w:t>
            </w:r>
          </w:p>
        </w:tc>
        <w:tc>
          <w:tcPr>
            <w:tcW w:w="1940" w:type="dxa"/>
            <w:vAlign w:val="bottom"/>
            <w:gridSpan w:val="2"/>
            <w:shd w:val="clear" w:color="auto" w:fill="CCECFF"/>
          </w:tcPr>
          <w:p>
            <w:pPr>
              <w:jc w:val="center"/>
              <w:ind w:left="88"/>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176"/>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w:t>
            </w:r>
          </w:p>
        </w:tc>
        <w:tc>
          <w:tcPr>
            <w:tcW w:w="20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Enterprise Market Value</w:t>
            </w:r>
          </w:p>
        </w:tc>
        <w:tc>
          <w:tcPr>
            <w:tcW w:w="16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EBITDA multiple</w:t>
            </w:r>
          </w:p>
        </w:tc>
        <w:tc>
          <w:tcPr>
            <w:tcW w:w="16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9.0x</w:t>
            </w:r>
          </w:p>
        </w:tc>
        <w:tc>
          <w:tcPr>
            <w:tcW w:w="0" w:type="dxa"/>
            <w:vAlign w:val="bottom"/>
          </w:tcPr>
          <w:p>
            <w:pPr>
              <w:spacing w:after="0"/>
              <w:rPr>
                <w:sz w:val="1"/>
                <w:szCs w:val="1"/>
                <w:color w:val="auto"/>
              </w:rPr>
            </w:pPr>
          </w:p>
        </w:tc>
      </w:tr>
      <w:tr>
        <w:trPr>
          <w:trHeight w:val="175"/>
        </w:trPr>
        <w:tc>
          <w:tcPr>
            <w:tcW w:w="33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180" w:type="dxa"/>
            <w:vAlign w:val="bottom"/>
            <w:shd w:val="clear" w:color="auto" w:fill="CCECFF"/>
          </w:tcPr>
          <w:p>
            <w:pPr>
              <w:spacing w:after="0"/>
              <w:rPr>
                <w:sz w:val="15"/>
                <w:szCs w:val="15"/>
                <w:color w:val="auto"/>
              </w:rPr>
            </w:pPr>
          </w:p>
        </w:tc>
        <w:tc>
          <w:tcPr>
            <w:tcW w:w="116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200" w:type="dxa"/>
            <w:vAlign w:val="bottom"/>
            <w:shd w:val="clear" w:color="auto" w:fill="CCECFF"/>
          </w:tcPr>
          <w:p>
            <w:pPr>
              <w:spacing w:after="0"/>
              <w:rPr>
                <w:sz w:val="15"/>
                <w:szCs w:val="15"/>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Enterprise Market Value</w:t>
            </w:r>
          </w:p>
        </w:tc>
        <w:tc>
          <w:tcPr>
            <w:tcW w:w="160" w:type="dxa"/>
            <w:vAlign w:val="bottom"/>
            <w:shd w:val="clear" w:color="auto" w:fill="CCECFF"/>
          </w:tcPr>
          <w:p>
            <w:pPr>
              <w:spacing w:after="0"/>
              <w:rPr>
                <w:sz w:val="15"/>
                <w:szCs w:val="15"/>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EBITDA multiple</w:t>
            </w:r>
          </w:p>
        </w:tc>
        <w:tc>
          <w:tcPr>
            <w:tcW w:w="160" w:type="dxa"/>
            <w:vAlign w:val="bottom"/>
            <w:shd w:val="clear" w:color="auto" w:fill="CCECFF"/>
          </w:tcPr>
          <w:p>
            <w:pPr>
              <w:spacing w:after="0"/>
              <w:rPr>
                <w:sz w:val="15"/>
                <w:szCs w:val="15"/>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5.9x</w:t>
            </w:r>
          </w:p>
        </w:tc>
        <w:tc>
          <w:tcPr>
            <w:tcW w:w="0" w:type="dxa"/>
            <w:vAlign w:val="bottom"/>
          </w:tcPr>
          <w:p>
            <w:pPr>
              <w:spacing w:after="0"/>
              <w:rPr>
                <w:sz w:val="1"/>
                <w:szCs w:val="1"/>
                <w:color w:val="auto"/>
              </w:rPr>
            </w:pPr>
          </w:p>
        </w:tc>
      </w:tr>
      <w:tr>
        <w:trPr>
          <w:trHeight w:val="176"/>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89,036</w:t>
            </w:r>
          </w:p>
        </w:tc>
        <w:tc>
          <w:tcPr>
            <w:tcW w:w="20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Enterprise Market Value</w:t>
            </w:r>
          </w:p>
        </w:tc>
        <w:tc>
          <w:tcPr>
            <w:tcW w:w="16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EBITDA multiple</w:t>
            </w:r>
          </w:p>
        </w:tc>
        <w:tc>
          <w:tcPr>
            <w:tcW w:w="16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3.9x - 23.3x (12.6x)</w:t>
            </w:r>
          </w:p>
        </w:tc>
        <w:tc>
          <w:tcPr>
            <w:tcW w:w="0" w:type="dxa"/>
            <w:vAlign w:val="bottom"/>
          </w:tcPr>
          <w:p>
            <w:pPr>
              <w:spacing w:after="0"/>
              <w:rPr>
                <w:sz w:val="1"/>
                <w:szCs w:val="1"/>
                <w:color w:val="auto"/>
              </w:rPr>
            </w:pPr>
          </w:p>
        </w:tc>
      </w:tr>
      <w:tr>
        <w:trPr>
          <w:trHeight w:val="175"/>
        </w:trPr>
        <w:tc>
          <w:tcPr>
            <w:tcW w:w="332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80" w:type="dxa"/>
            <w:vAlign w:val="bottom"/>
            <w:tcBorders>
              <w:bottom w:val="single" w:sz="8" w:color="CCECFF"/>
            </w:tcBorders>
            <w:shd w:val="clear" w:color="auto" w:fill="CCECFF"/>
          </w:tcPr>
          <w:p>
            <w:pPr>
              <w:spacing w:after="0"/>
              <w:rPr>
                <w:sz w:val="15"/>
                <w:szCs w:val="15"/>
                <w:color w:val="auto"/>
              </w:rPr>
            </w:pPr>
          </w:p>
        </w:tc>
        <w:tc>
          <w:tcPr>
            <w:tcW w:w="1160" w:type="dxa"/>
            <w:vAlign w:val="bottom"/>
            <w:tcBorders>
              <w:bottom w:val="single" w:sz="8" w:color="auto"/>
            </w:tcBorders>
            <w:shd w:val="clear" w:color="auto" w:fill="CCECFF"/>
          </w:tcPr>
          <w:p>
            <w:pPr>
              <w:spacing w:after="0"/>
              <w:rPr>
                <w:sz w:val="15"/>
                <w:szCs w:val="15"/>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3,854</w:t>
            </w:r>
          </w:p>
        </w:tc>
        <w:tc>
          <w:tcPr>
            <w:tcW w:w="200" w:type="dxa"/>
            <w:vAlign w:val="bottom"/>
            <w:tcBorders>
              <w:bottom w:val="single" w:sz="8" w:color="CCECFF"/>
            </w:tcBorders>
            <w:shd w:val="clear" w:color="auto" w:fill="CCECFF"/>
          </w:tcPr>
          <w:p>
            <w:pPr>
              <w:spacing w:after="0"/>
              <w:rPr>
                <w:sz w:val="15"/>
                <w:szCs w:val="15"/>
                <w:color w:val="auto"/>
              </w:rPr>
            </w:pPr>
          </w:p>
        </w:tc>
        <w:tc>
          <w:tcPr>
            <w:tcW w:w="178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Enterprise Market Value</w:t>
            </w:r>
          </w:p>
        </w:tc>
        <w:tc>
          <w:tcPr>
            <w:tcW w:w="160" w:type="dxa"/>
            <w:vAlign w:val="bottom"/>
            <w:tcBorders>
              <w:bottom w:val="single" w:sz="8" w:color="CCECFF"/>
            </w:tcBorders>
            <w:shd w:val="clear" w:color="auto" w:fill="CCECFF"/>
          </w:tcPr>
          <w:p>
            <w:pPr>
              <w:spacing w:after="0"/>
              <w:rPr>
                <w:sz w:val="15"/>
                <w:szCs w:val="15"/>
                <w:color w:val="auto"/>
              </w:rPr>
            </w:pPr>
          </w:p>
        </w:tc>
        <w:tc>
          <w:tcPr>
            <w:tcW w:w="190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DLOM</w:t>
            </w:r>
          </w:p>
        </w:tc>
        <w:tc>
          <w:tcPr>
            <w:tcW w:w="1940" w:type="dxa"/>
            <w:vAlign w:val="bottom"/>
            <w:tcBorders>
              <w:bottom w:val="single" w:sz="8" w:color="CCECFF"/>
            </w:tcBorders>
            <w:gridSpan w:val="2"/>
            <w:shd w:val="clear" w:color="auto" w:fill="CCECFF"/>
          </w:tcPr>
          <w:p>
            <w:pPr>
              <w:jc w:val="center"/>
              <w:ind w:left="88"/>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169"/>
        </w:trPr>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Level 3 investments</w:t>
            </w: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1,125,858</w:t>
            </w:r>
          </w:p>
        </w:tc>
        <w:tc>
          <w:tcPr>
            <w:tcW w:w="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320" w:type="dxa"/>
            <w:vAlign w:val="bottom"/>
            <w:tcBorders>
              <w:bottom w:val="single" w:sz="8" w:color="CCECFF"/>
            </w:tcBorders>
            <w:gridSpan w:val="2"/>
            <w:shd w:val="clear" w:color="auto" w:fill="CCECFF"/>
          </w:tcPr>
          <w:p>
            <w:pPr>
              <w:ind w:left="20"/>
              <w:spacing w:after="0" w:line="156" w:lineRule="exact"/>
              <w:rPr>
                <w:sz w:val="20"/>
                <w:szCs w:val="20"/>
                <w:color w:val="auto"/>
              </w:rPr>
            </w:pPr>
            <w:r>
              <w:rPr>
                <w:rFonts w:ascii="Times New Roman" w:cs="Times New Roman" w:eastAsia="Times New Roman" w:hAnsi="Times New Roman"/>
                <w:sz w:val="14"/>
                <w:szCs w:val="14"/>
                <w:color w:val="auto"/>
              </w:rPr>
              <w:t>Debt Category</w:t>
            </w:r>
          </w:p>
        </w:tc>
        <w:tc>
          <w:tcPr>
            <w:tcW w:w="180" w:type="dxa"/>
            <w:vAlign w:val="bottom"/>
            <w:tcBorders>
              <w:bottom w:val="single" w:sz="8" w:color="CCECFF"/>
            </w:tcBorders>
            <w:shd w:val="clear" w:color="auto" w:fill="CCECFF"/>
          </w:tcPr>
          <w:p>
            <w:pPr>
              <w:spacing w:after="0"/>
              <w:rPr>
                <w:sz w:val="17"/>
                <w:szCs w:val="17"/>
                <w:color w:val="auto"/>
              </w:rPr>
            </w:pPr>
          </w:p>
        </w:tc>
        <w:tc>
          <w:tcPr>
            <w:tcW w:w="1160" w:type="dxa"/>
            <w:vAlign w:val="bottom"/>
            <w:tcBorders>
              <w:bottom w:val="single" w:sz="8" w:color="auto"/>
            </w:tcBorders>
            <w:shd w:val="clear" w:color="auto" w:fill="CCECFF"/>
          </w:tcPr>
          <w:p>
            <w:pPr>
              <w:spacing w:after="0"/>
              <w:rPr>
                <w:sz w:val="17"/>
                <w:szCs w:val="17"/>
                <w:color w:val="auto"/>
              </w:rPr>
            </w:pPr>
          </w:p>
        </w:tc>
        <w:tc>
          <w:tcPr>
            <w:tcW w:w="600" w:type="dxa"/>
            <w:vAlign w:val="bottom"/>
            <w:tcBorders>
              <w:bottom w:val="single" w:sz="8" w:color="auto"/>
            </w:tcBorders>
            <w:shd w:val="clear" w:color="auto" w:fill="CCECFF"/>
          </w:tcPr>
          <w:p>
            <w:pPr>
              <w:spacing w:after="0"/>
              <w:rPr>
                <w:sz w:val="17"/>
                <w:szCs w:val="17"/>
                <w:color w:val="auto"/>
              </w:rPr>
            </w:pPr>
          </w:p>
        </w:tc>
        <w:tc>
          <w:tcPr>
            <w:tcW w:w="200" w:type="dxa"/>
            <w:vAlign w:val="bottom"/>
            <w:tcBorders>
              <w:bottom w:val="single" w:sz="8" w:color="CCECFF"/>
            </w:tcBorders>
            <w:shd w:val="clear" w:color="auto" w:fill="CCECFF"/>
          </w:tcPr>
          <w:p>
            <w:pPr>
              <w:spacing w:after="0"/>
              <w:rPr>
                <w:sz w:val="17"/>
                <w:szCs w:val="17"/>
                <w:color w:val="auto"/>
              </w:rPr>
            </w:pPr>
          </w:p>
        </w:tc>
        <w:tc>
          <w:tcPr>
            <w:tcW w:w="1780" w:type="dxa"/>
            <w:vAlign w:val="bottom"/>
            <w:tcBorders>
              <w:bottom w:val="single" w:sz="8" w:color="CCECFF"/>
            </w:tcBorders>
            <w:shd w:val="clear" w:color="auto" w:fill="CCECFF"/>
          </w:tcPr>
          <w:p>
            <w:pPr>
              <w:spacing w:after="0"/>
              <w:rPr>
                <w:sz w:val="17"/>
                <w:szCs w:val="17"/>
                <w:color w:val="auto"/>
              </w:rPr>
            </w:pPr>
          </w:p>
        </w:tc>
        <w:tc>
          <w:tcPr>
            <w:tcW w:w="160" w:type="dxa"/>
            <w:vAlign w:val="bottom"/>
            <w:tcBorders>
              <w:bottom w:val="single" w:sz="8" w:color="CCECFF"/>
            </w:tcBorders>
            <w:shd w:val="clear" w:color="auto" w:fill="CCECFF"/>
          </w:tcPr>
          <w:p>
            <w:pPr>
              <w:spacing w:after="0"/>
              <w:rPr>
                <w:sz w:val="17"/>
                <w:szCs w:val="17"/>
                <w:color w:val="auto"/>
              </w:rPr>
            </w:pPr>
          </w:p>
        </w:tc>
        <w:tc>
          <w:tcPr>
            <w:tcW w:w="1900" w:type="dxa"/>
            <w:vAlign w:val="bottom"/>
            <w:tcBorders>
              <w:bottom w:val="single" w:sz="8" w:color="CCECFF"/>
            </w:tcBorders>
            <w:shd w:val="clear" w:color="auto" w:fill="CCECFF"/>
          </w:tcPr>
          <w:p>
            <w:pPr>
              <w:spacing w:after="0"/>
              <w:rPr>
                <w:sz w:val="17"/>
                <w:szCs w:val="17"/>
                <w:color w:val="auto"/>
              </w:rPr>
            </w:pPr>
          </w:p>
        </w:tc>
        <w:tc>
          <w:tcPr>
            <w:tcW w:w="160" w:type="dxa"/>
            <w:vAlign w:val="bottom"/>
            <w:tcBorders>
              <w:bottom w:val="single" w:sz="8" w:color="CCECFF"/>
            </w:tcBorders>
            <w:shd w:val="clear" w:color="auto" w:fill="CCECFF"/>
          </w:tcPr>
          <w:p>
            <w:pPr>
              <w:spacing w:after="0"/>
              <w:rPr>
                <w:sz w:val="17"/>
                <w:szCs w:val="17"/>
                <w:color w:val="auto"/>
              </w:rPr>
            </w:pPr>
          </w:p>
        </w:tc>
        <w:tc>
          <w:tcPr>
            <w:tcW w:w="178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320" w:type="dxa"/>
            <w:vAlign w:val="bottom"/>
            <w:tcBorders>
              <w:top w:val="single" w:sz="8" w:color="auto"/>
            </w:tcBorders>
            <w:gridSpan w:val="2"/>
          </w:tcPr>
          <w:p>
            <w:pPr>
              <w:ind w:left="20"/>
              <w:spacing w:after="0" w:line="155" w:lineRule="exact"/>
              <w:rPr>
                <w:sz w:val="20"/>
                <w:szCs w:val="20"/>
                <w:color w:val="auto"/>
              </w:rPr>
            </w:pPr>
            <w:r>
              <w:rPr>
                <w:rFonts w:ascii="Times New Roman" w:cs="Times New Roman" w:eastAsia="Times New Roman" w:hAnsi="Times New Roman"/>
                <w:sz w:val="14"/>
                <w:szCs w:val="14"/>
                <w:color w:val="auto"/>
              </w:rPr>
              <w:t>Long-Term Credit Facility</w:t>
            </w:r>
          </w:p>
        </w:tc>
        <w:tc>
          <w:tcPr>
            <w:tcW w:w="180" w:type="dxa"/>
            <w:vAlign w:val="bottom"/>
            <w:tcBorders>
              <w:top w:val="single" w:sz="8" w:color="CCECFF"/>
            </w:tcBorders>
          </w:tcPr>
          <w:p>
            <w:pPr>
              <w:spacing w:after="0"/>
              <w:rPr>
                <w:sz w:val="13"/>
                <w:szCs w:val="13"/>
                <w:color w:val="auto"/>
              </w:rPr>
            </w:pPr>
          </w:p>
        </w:tc>
        <w:tc>
          <w:tcPr>
            <w:tcW w:w="1160" w:type="dxa"/>
            <w:vAlign w:val="bottom"/>
            <w:tcBorders>
              <w:top w:val="single" w:sz="8" w:color="auto"/>
              <w:bottom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249,910</w:t>
            </w:r>
          </w:p>
        </w:tc>
        <w:tc>
          <w:tcPr>
            <w:tcW w:w="200" w:type="dxa"/>
            <w:vAlign w:val="bottom"/>
            <w:tcBorders>
              <w:top w:val="single" w:sz="8" w:color="CCECFF"/>
            </w:tcBorders>
          </w:tcPr>
          <w:p>
            <w:pPr>
              <w:spacing w:after="0"/>
              <w:rPr>
                <w:sz w:val="13"/>
                <w:szCs w:val="13"/>
                <w:color w:val="auto"/>
              </w:rPr>
            </w:pPr>
          </w:p>
        </w:tc>
        <w:tc>
          <w:tcPr>
            <w:tcW w:w="1780" w:type="dxa"/>
            <w:vAlign w:val="bottom"/>
            <w:tcBorders>
              <w:top w:val="single" w:sz="8" w:color="CCECFF"/>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tcBorders>
              <w:top w:val="single" w:sz="8" w:color="CCECFF"/>
            </w:tcBorders>
          </w:tcPr>
          <w:p>
            <w:pPr>
              <w:spacing w:after="0"/>
              <w:rPr>
                <w:sz w:val="13"/>
                <w:szCs w:val="13"/>
                <w:color w:val="auto"/>
              </w:rPr>
            </w:pPr>
          </w:p>
        </w:tc>
        <w:tc>
          <w:tcPr>
            <w:tcW w:w="1900" w:type="dxa"/>
            <w:vAlign w:val="bottom"/>
            <w:tcBorders>
              <w:top w:val="single" w:sz="8" w:color="CCECFF"/>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Market Yield</w:t>
            </w:r>
          </w:p>
        </w:tc>
        <w:tc>
          <w:tcPr>
            <w:tcW w:w="1940" w:type="dxa"/>
            <w:vAlign w:val="bottom"/>
            <w:tcBorders>
              <w:top w:val="single" w:sz="8" w:color="CCECFF"/>
            </w:tcBorders>
            <w:gridSpan w:val="2"/>
          </w:tcPr>
          <w:p>
            <w:pPr>
              <w:jc w:val="center"/>
              <w:ind w:left="88"/>
              <w:spacing w:after="0" w:line="155"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Range of Input</w:t>
            </w:r>
          </w:p>
        </w:tc>
        <w:tc>
          <w:tcPr>
            <w:tcW w:w="0" w:type="dxa"/>
            <w:vAlign w:val="bottom"/>
          </w:tcPr>
          <w:p>
            <w:pPr>
              <w:spacing w:after="0" w:line="20" w:lineRule="exact"/>
              <w:rPr>
                <w:sz w:val="1"/>
                <w:szCs w:val="1"/>
                <w:color w:val="auto"/>
              </w:rPr>
            </w:pPr>
          </w:p>
        </w:tc>
      </w:tr>
      <w:tr>
        <w:trPr>
          <w:trHeight w:val="291"/>
        </w:trPr>
        <w:tc>
          <w:tcPr>
            <w:tcW w:w="3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180" w:type="dxa"/>
            <w:vAlign w:val="bottom"/>
          </w:tcPr>
          <w:p>
            <w:pPr>
              <w:spacing w:after="0"/>
              <w:rPr>
                <w:sz w:val="24"/>
                <w:szCs w:val="24"/>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at September 30,</w:t>
            </w:r>
          </w:p>
        </w:tc>
        <w:tc>
          <w:tcPr>
            <w:tcW w:w="200" w:type="dxa"/>
            <w:vAlign w:val="bottom"/>
          </w:tcPr>
          <w:p>
            <w:pPr>
              <w:spacing w:after="0"/>
              <w:rPr>
                <w:sz w:val="24"/>
                <w:szCs w:val="24"/>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60" w:type="dxa"/>
            <w:vAlign w:val="bottom"/>
          </w:tcPr>
          <w:p>
            <w:pPr>
              <w:spacing w:after="0"/>
              <w:rPr>
                <w:sz w:val="24"/>
                <w:szCs w:val="24"/>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6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320" w:type="dxa"/>
            <w:vAlign w:val="bottom"/>
            <w:gridSpan w:val="2"/>
            <w:vMerge w:val="continue"/>
          </w:tcPr>
          <w:p>
            <w:pPr>
              <w:spacing w:after="0"/>
              <w:rPr>
                <w:sz w:val="16"/>
                <w:szCs w:val="16"/>
                <w:color w:val="auto"/>
              </w:rPr>
            </w:pPr>
          </w:p>
        </w:tc>
        <w:tc>
          <w:tcPr>
            <w:tcW w:w="13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9"/>
              </w:rPr>
              <w:t xml:space="preserve">(Weighted Average) </w:t>
            </w:r>
            <w:r>
              <w:rPr>
                <w:rFonts w:ascii="Times New Roman" w:cs="Times New Roman" w:eastAsia="Times New Roman" w:hAnsi="Times New Roman"/>
                <w:sz w:val="19"/>
                <w:szCs w:val="19"/>
                <w:b w:val="1"/>
                <w:bCs w:val="1"/>
                <w:color w:val="auto"/>
                <w:w w:val="99"/>
                <w:vertAlign w:val="superscript"/>
              </w:rPr>
              <w:t>(1)</w:t>
            </w:r>
          </w:p>
        </w:tc>
        <w:tc>
          <w:tcPr>
            <w:tcW w:w="0" w:type="dxa"/>
            <w:vAlign w:val="bottom"/>
          </w:tcPr>
          <w:p>
            <w:pPr>
              <w:spacing w:after="0"/>
              <w:rPr>
                <w:sz w:val="1"/>
                <w:szCs w:val="1"/>
                <w:color w:val="auto"/>
              </w:rPr>
            </w:pPr>
          </w:p>
        </w:tc>
      </w:tr>
      <w:tr>
        <w:trPr>
          <w:trHeight w:val="169"/>
        </w:trPr>
        <w:tc>
          <w:tcPr>
            <w:tcW w:w="3320" w:type="dxa"/>
            <w:vAlign w:val="bottom"/>
            <w:tcBorders>
              <w:top w:val="single" w:sz="8" w:color="auto"/>
            </w:tcBorders>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80" w:type="dxa"/>
            <w:vAlign w:val="bottom"/>
            <w:shd w:val="clear" w:color="auto" w:fill="CCECFF"/>
          </w:tcPr>
          <w:p>
            <w:pPr>
              <w:spacing w:after="0"/>
              <w:rPr>
                <w:sz w:val="14"/>
                <w:szCs w:val="14"/>
                <w:color w:val="auto"/>
              </w:rPr>
            </w:pPr>
          </w:p>
        </w:tc>
        <w:tc>
          <w:tcPr>
            <w:tcW w:w="116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177,480</w:t>
            </w:r>
          </w:p>
        </w:tc>
        <w:tc>
          <w:tcPr>
            <w:tcW w:w="200" w:type="dxa"/>
            <w:vAlign w:val="bottom"/>
            <w:shd w:val="clear" w:color="auto" w:fill="CCECFF"/>
          </w:tcPr>
          <w:p>
            <w:pPr>
              <w:spacing w:after="0"/>
              <w:rPr>
                <w:sz w:val="14"/>
                <w:szCs w:val="14"/>
                <w:color w:val="auto"/>
              </w:rPr>
            </w:pPr>
          </w:p>
        </w:tc>
        <w:tc>
          <w:tcPr>
            <w:tcW w:w="178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shd w:val="clear" w:color="auto" w:fill="CCECFF"/>
          </w:tcPr>
          <w:p>
            <w:pPr>
              <w:spacing w:after="0"/>
              <w:rPr>
                <w:sz w:val="14"/>
                <w:szCs w:val="14"/>
                <w:color w:val="auto"/>
              </w:rPr>
            </w:pPr>
          </w:p>
        </w:tc>
        <w:tc>
          <w:tcPr>
            <w:tcW w:w="190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Broker/Dealer bids or quotes</w:t>
            </w:r>
          </w:p>
        </w:tc>
        <w:tc>
          <w:tcPr>
            <w:tcW w:w="160" w:type="dxa"/>
            <w:vAlign w:val="bottom"/>
            <w:shd w:val="clear" w:color="auto" w:fill="CCECFF"/>
          </w:tcPr>
          <w:p>
            <w:pPr>
              <w:spacing w:after="0"/>
              <w:rPr>
                <w:sz w:val="14"/>
                <w:szCs w:val="14"/>
                <w:color w:val="auto"/>
              </w:rPr>
            </w:pPr>
          </w:p>
        </w:tc>
        <w:tc>
          <w:tcPr>
            <w:tcW w:w="178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75"/>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754,004</w:t>
            </w:r>
          </w:p>
        </w:tc>
        <w:tc>
          <w:tcPr>
            <w:tcW w:w="20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Yield</w:t>
            </w:r>
          </w:p>
        </w:tc>
        <w:tc>
          <w:tcPr>
            <w:tcW w:w="16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5.6% – 13.0% (7.5%)</w:t>
            </w:r>
          </w:p>
        </w:tc>
        <w:tc>
          <w:tcPr>
            <w:tcW w:w="0" w:type="dxa"/>
            <w:vAlign w:val="bottom"/>
          </w:tcPr>
          <w:p>
            <w:pPr>
              <w:spacing w:after="0"/>
              <w:rPr>
                <w:sz w:val="1"/>
                <w:szCs w:val="1"/>
                <w:color w:val="auto"/>
              </w:rPr>
            </w:pPr>
          </w:p>
        </w:tc>
      </w:tr>
      <w:tr>
        <w:trPr>
          <w:trHeight w:val="175"/>
        </w:trPr>
        <w:tc>
          <w:tcPr>
            <w:tcW w:w="33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180" w:type="dxa"/>
            <w:vAlign w:val="bottom"/>
            <w:shd w:val="clear" w:color="auto" w:fill="CCECFF"/>
          </w:tcPr>
          <w:p>
            <w:pPr>
              <w:spacing w:after="0"/>
              <w:rPr>
                <w:sz w:val="15"/>
                <w:szCs w:val="15"/>
                <w:color w:val="auto"/>
              </w:rPr>
            </w:pPr>
          </w:p>
        </w:tc>
        <w:tc>
          <w:tcPr>
            <w:tcW w:w="116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8,085</w:t>
            </w:r>
          </w:p>
        </w:tc>
        <w:tc>
          <w:tcPr>
            <w:tcW w:w="200" w:type="dxa"/>
            <w:vAlign w:val="bottom"/>
            <w:shd w:val="clear" w:color="auto" w:fill="CCECFF"/>
          </w:tcPr>
          <w:p>
            <w:pPr>
              <w:spacing w:after="0"/>
              <w:rPr>
                <w:sz w:val="15"/>
                <w:szCs w:val="15"/>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shd w:val="clear" w:color="auto" w:fill="CCECFF"/>
          </w:tcPr>
          <w:p>
            <w:pPr>
              <w:spacing w:after="0"/>
              <w:rPr>
                <w:sz w:val="15"/>
                <w:szCs w:val="15"/>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Market Yield</w:t>
            </w:r>
          </w:p>
        </w:tc>
        <w:tc>
          <w:tcPr>
            <w:tcW w:w="160" w:type="dxa"/>
            <w:vAlign w:val="bottom"/>
            <w:shd w:val="clear" w:color="auto" w:fill="CCECFF"/>
          </w:tcPr>
          <w:p>
            <w:pPr>
              <w:spacing w:after="0"/>
              <w:rPr>
                <w:sz w:val="15"/>
                <w:szCs w:val="15"/>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11.0% – 14.0% (11.8%)</w:t>
            </w:r>
          </w:p>
        </w:tc>
        <w:tc>
          <w:tcPr>
            <w:tcW w:w="0" w:type="dxa"/>
            <w:vAlign w:val="bottom"/>
          </w:tcPr>
          <w:p>
            <w:pPr>
              <w:spacing w:after="0"/>
              <w:rPr>
                <w:sz w:val="1"/>
                <w:szCs w:val="1"/>
                <w:color w:val="auto"/>
              </w:rPr>
            </w:pPr>
          </w:p>
        </w:tc>
      </w:tr>
      <w:tr>
        <w:trPr>
          <w:trHeight w:val="175"/>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2,934</w:t>
            </w:r>
          </w:p>
        </w:tc>
        <w:tc>
          <w:tcPr>
            <w:tcW w:w="20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Enterprise Market Value</w:t>
            </w:r>
          </w:p>
        </w:tc>
        <w:tc>
          <w:tcPr>
            <w:tcW w:w="16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EBITDA multiple</w:t>
            </w:r>
          </w:p>
        </w:tc>
        <w:tc>
          <w:tcPr>
            <w:tcW w:w="16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1.8x</w:t>
            </w:r>
          </w:p>
        </w:tc>
        <w:tc>
          <w:tcPr>
            <w:tcW w:w="0" w:type="dxa"/>
            <w:vAlign w:val="bottom"/>
          </w:tcPr>
          <w:p>
            <w:pPr>
              <w:spacing w:after="0"/>
              <w:rPr>
                <w:sz w:val="1"/>
                <w:szCs w:val="1"/>
                <w:color w:val="auto"/>
              </w:rPr>
            </w:pPr>
          </w:p>
        </w:tc>
      </w:tr>
      <w:tr>
        <w:trPr>
          <w:trHeight w:val="175"/>
        </w:trPr>
        <w:tc>
          <w:tcPr>
            <w:tcW w:w="33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180" w:type="dxa"/>
            <w:vAlign w:val="bottom"/>
            <w:shd w:val="clear" w:color="auto" w:fill="CCECFF"/>
          </w:tcPr>
          <w:p>
            <w:pPr>
              <w:spacing w:after="0"/>
              <w:rPr>
                <w:sz w:val="15"/>
                <w:szCs w:val="15"/>
                <w:color w:val="auto"/>
              </w:rPr>
            </w:pPr>
          </w:p>
        </w:tc>
        <w:tc>
          <w:tcPr>
            <w:tcW w:w="116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200" w:type="dxa"/>
            <w:vAlign w:val="bottom"/>
            <w:shd w:val="clear" w:color="auto" w:fill="CCECFF"/>
          </w:tcPr>
          <w:p>
            <w:pPr>
              <w:spacing w:after="0"/>
              <w:rPr>
                <w:sz w:val="15"/>
                <w:szCs w:val="15"/>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Enterprise Market Value</w:t>
            </w:r>
          </w:p>
        </w:tc>
        <w:tc>
          <w:tcPr>
            <w:tcW w:w="160" w:type="dxa"/>
            <w:vAlign w:val="bottom"/>
            <w:shd w:val="clear" w:color="auto" w:fill="CCECFF"/>
          </w:tcPr>
          <w:p>
            <w:pPr>
              <w:spacing w:after="0"/>
              <w:rPr>
                <w:sz w:val="15"/>
                <w:szCs w:val="15"/>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EBITDA multiple</w:t>
            </w:r>
          </w:p>
        </w:tc>
        <w:tc>
          <w:tcPr>
            <w:tcW w:w="160" w:type="dxa"/>
            <w:vAlign w:val="bottom"/>
            <w:shd w:val="clear" w:color="auto" w:fill="CCECFF"/>
          </w:tcPr>
          <w:p>
            <w:pPr>
              <w:spacing w:after="0"/>
              <w:rPr>
                <w:sz w:val="15"/>
                <w:szCs w:val="15"/>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5.4x</w:t>
            </w:r>
          </w:p>
        </w:tc>
        <w:tc>
          <w:tcPr>
            <w:tcW w:w="0" w:type="dxa"/>
            <w:vAlign w:val="bottom"/>
          </w:tcPr>
          <w:p>
            <w:pPr>
              <w:spacing w:after="0"/>
              <w:rPr>
                <w:sz w:val="1"/>
                <w:szCs w:val="1"/>
                <w:color w:val="auto"/>
              </w:rPr>
            </w:pPr>
          </w:p>
        </w:tc>
      </w:tr>
      <w:tr>
        <w:trPr>
          <w:trHeight w:val="175"/>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70,253</w:t>
            </w:r>
          </w:p>
        </w:tc>
        <w:tc>
          <w:tcPr>
            <w:tcW w:w="20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Enterprise Market Value</w:t>
            </w:r>
          </w:p>
        </w:tc>
        <w:tc>
          <w:tcPr>
            <w:tcW w:w="16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EBITDA multiple</w:t>
            </w:r>
          </w:p>
        </w:tc>
        <w:tc>
          <w:tcPr>
            <w:tcW w:w="16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4.7x – 18.5x (11.5x)</w:t>
            </w:r>
          </w:p>
        </w:tc>
        <w:tc>
          <w:tcPr>
            <w:tcW w:w="0" w:type="dxa"/>
            <w:vAlign w:val="bottom"/>
          </w:tcPr>
          <w:p>
            <w:pPr>
              <w:spacing w:after="0"/>
              <w:rPr>
                <w:sz w:val="1"/>
                <w:szCs w:val="1"/>
                <w:color w:val="auto"/>
              </w:rPr>
            </w:pPr>
          </w:p>
        </w:tc>
      </w:tr>
      <w:tr>
        <w:trPr>
          <w:trHeight w:val="176"/>
        </w:trPr>
        <w:tc>
          <w:tcPr>
            <w:tcW w:w="332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80" w:type="dxa"/>
            <w:vAlign w:val="bottom"/>
            <w:tcBorders>
              <w:bottom w:val="single" w:sz="8" w:color="CCECFF"/>
            </w:tcBorders>
            <w:shd w:val="clear" w:color="auto" w:fill="CCECFF"/>
          </w:tcPr>
          <w:p>
            <w:pPr>
              <w:spacing w:after="0"/>
              <w:rPr>
                <w:sz w:val="15"/>
                <w:szCs w:val="15"/>
                <w:color w:val="auto"/>
              </w:rPr>
            </w:pPr>
          </w:p>
        </w:tc>
        <w:tc>
          <w:tcPr>
            <w:tcW w:w="1160" w:type="dxa"/>
            <w:vAlign w:val="bottom"/>
            <w:tcBorders>
              <w:bottom w:val="single" w:sz="8" w:color="auto"/>
            </w:tcBorders>
            <w:shd w:val="clear" w:color="auto" w:fill="CCECFF"/>
          </w:tcPr>
          <w:p>
            <w:pPr>
              <w:spacing w:after="0"/>
              <w:rPr>
                <w:sz w:val="15"/>
                <w:szCs w:val="15"/>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7,569</w:t>
            </w:r>
          </w:p>
        </w:tc>
        <w:tc>
          <w:tcPr>
            <w:tcW w:w="200" w:type="dxa"/>
            <w:vAlign w:val="bottom"/>
            <w:tcBorders>
              <w:bottom w:val="single" w:sz="8" w:color="CCECFF"/>
            </w:tcBorders>
            <w:shd w:val="clear" w:color="auto" w:fill="CCECFF"/>
          </w:tcPr>
          <w:p>
            <w:pPr>
              <w:spacing w:after="0"/>
              <w:rPr>
                <w:sz w:val="15"/>
                <w:szCs w:val="15"/>
                <w:color w:val="auto"/>
              </w:rPr>
            </w:pPr>
          </w:p>
        </w:tc>
        <w:tc>
          <w:tcPr>
            <w:tcW w:w="178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Enterprise Market Value</w:t>
            </w:r>
          </w:p>
        </w:tc>
        <w:tc>
          <w:tcPr>
            <w:tcW w:w="160" w:type="dxa"/>
            <w:vAlign w:val="bottom"/>
            <w:tcBorders>
              <w:bottom w:val="single" w:sz="8" w:color="CCECFF"/>
            </w:tcBorders>
            <w:shd w:val="clear" w:color="auto" w:fill="CCECFF"/>
          </w:tcPr>
          <w:p>
            <w:pPr>
              <w:spacing w:after="0"/>
              <w:rPr>
                <w:sz w:val="15"/>
                <w:szCs w:val="15"/>
                <w:color w:val="auto"/>
              </w:rPr>
            </w:pPr>
          </w:p>
        </w:tc>
        <w:tc>
          <w:tcPr>
            <w:tcW w:w="190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DLOM</w:t>
            </w:r>
          </w:p>
        </w:tc>
        <w:tc>
          <w:tcPr>
            <w:tcW w:w="1940" w:type="dxa"/>
            <w:vAlign w:val="bottom"/>
            <w:tcBorders>
              <w:bottom w:val="single" w:sz="8" w:color="CCECFF"/>
            </w:tcBorders>
            <w:gridSpan w:val="2"/>
            <w:shd w:val="clear" w:color="auto" w:fill="CCECFF"/>
          </w:tcPr>
          <w:p>
            <w:pPr>
              <w:jc w:val="center"/>
              <w:ind w:left="88"/>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169"/>
        </w:trPr>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Level 3 investments</w:t>
            </w: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1,021,189</w:t>
            </w:r>
          </w:p>
        </w:tc>
        <w:tc>
          <w:tcPr>
            <w:tcW w:w="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320" w:type="dxa"/>
            <w:vAlign w:val="bottom"/>
            <w:tcBorders>
              <w:bottom w:val="single" w:sz="8" w:color="CCECFF"/>
            </w:tcBorders>
            <w:gridSpan w:val="2"/>
            <w:shd w:val="clear" w:color="auto" w:fill="CCECFF"/>
          </w:tcPr>
          <w:p>
            <w:pPr>
              <w:ind w:left="20"/>
              <w:spacing w:after="0" w:line="156" w:lineRule="exact"/>
              <w:rPr>
                <w:sz w:val="20"/>
                <w:szCs w:val="20"/>
                <w:color w:val="auto"/>
              </w:rPr>
            </w:pPr>
            <w:r>
              <w:rPr>
                <w:rFonts w:ascii="Times New Roman" w:cs="Times New Roman" w:eastAsia="Times New Roman" w:hAnsi="Times New Roman"/>
                <w:sz w:val="14"/>
                <w:szCs w:val="14"/>
                <w:color w:val="auto"/>
              </w:rPr>
              <w:t>Debt Category</w:t>
            </w:r>
          </w:p>
        </w:tc>
        <w:tc>
          <w:tcPr>
            <w:tcW w:w="180" w:type="dxa"/>
            <w:vAlign w:val="bottom"/>
            <w:tcBorders>
              <w:bottom w:val="single" w:sz="8" w:color="CCECFF"/>
            </w:tcBorders>
            <w:shd w:val="clear" w:color="auto" w:fill="CCECFF"/>
          </w:tcPr>
          <w:p>
            <w:pPr>
              <w:spacing w:after="0"/>
              <w:rPr>
                <w:sz w:val="17"/>
                <w:szCs w:val="17"/>
                <w:color w:val="auto"/>
              </w:rPr>
            </w:pPr>
          </w:p>
        </w:tc>
        <w:tc>
          <w:tcPr>
            <w:tcW w:w="1160" w:type="dxa"/>
            <w:vAlign w:val="bottom"/>
            <w:tcBorders>
              <w:bottom w:val="single" w:sz="8" w:color="auto"/>
            </w:tcBorders>
            <w:shd w:val="clear" w:color="auto" w:fill="CCECFF"/>
          </w:tcPr>
          <w:p>
            <w:pPr>
              <w:spacing w:after="0"/>
              <w:rPr>
                <w:sz w:val="17"/>
                <w:szCs w:val="17"/>
                <w:color w:val="auto"/>
              </w:rPr>
            </w:pPr>
          </w:p>
        </w:tc>
        <w:tc>
          <w:tcPr>
            <w:tcW w:w="600" w:type="dxa"/>
            <w:vAlign w:val="bottom"/>
            <w:tcBorders>
              <w:bottom w:val="single" w:sz="8" w:color="auto"/>
            </w:tcBorders>
            <w:shd w:val="clear" w:color="auto" w:fill="CCECFF"/>
          </w:tcPr>
          <w:p>
            <w:pPr>
              <w:spacing w:after="0"/>
              <w:rPr>
                <w:sz w:val="17"/>
                <w:szCs w:val="17"/>
                <w:color w:val="auto"/>
              </w:rPr>
            </w:pPr>
          </w:p>
        </w:tc>
        <w:tc>
          <w:tcPr>
            <w:tcW w:w="200" w:type="dxa"/>
            <w:vAlign w:val="bottom"/>
            <w:tcBorders>
              <w:bottom w:val="single" w:sz="8" w:color="CCECFF"/>
            </w:tcBorders>
            <w:shd w:val="clear" w:color="auto" w:fill="CCECFF"/>
          </w:tcPr>
          <w:p>
            <w:pPr>
              <w:spacing w:after="0"/>
              <w:rPr>
                <w:sz w:val="17"/>
                <w:szCs w:val="17"/>
                <w:color w:val="auto"/>
              </w:rPr>
            </w:pPr>
          </w:p>
        </w:tc>
        <w:tc>
          <w:tcPr>
            <w:tcW w:w="1780" w:type="dxa"/>
            <w:vAlign w:val="bottom"/>
            <w:tcBorders>
              <w:bottom w:val="single" w:sz="8" w:color="CCECFF"/>
            </w:tcBorders>
            <w:shd w:val="clear" w:color="auto" w:fill="CCECFF"/>
          </w:tcPr>
          <w:p>
            <w:pPr>
              <w:spacing w:after="0"/>
              <w:rPr>
                <w:sz w:val="17"/>
                <w:szCs w:val="17"/>
                <w:color w:val="auto"/>
              </w:rPr>
            </w:pPr>
          </w:p>
        </w:tc>
        <w:tc>
          <w:tcPr>
            <w:tcW w:w="160" w:type="dxa"/>
            <w:vAlign w:val="bottom"/>
            <w:tcBorders>
              <w:bottom w:val="single" w:sz="8" w:color="CCECFF"/>
            </w:tcBorders>
            <w:shd w:val="clear" w:color="auto" w:fill="CCECFF"/>
          </w:tcPr>
          <w:p>
            <w:pPr>
              <w:spacing w:after="0"/>
              <w:rPr>
                <w:sz w:val="17"/>
                <w:szCs w:val="17"/>
                <w:color w:val="auto"/>
              </w:rPr>
            </w:pPr>
          </w:p>
        </w:tc>
        <w:tc>
          <w:tcPr>
            <w:tcW w:w="1900" w:type="dxa"/>
            <w:vAlign w:val="bottom"/>
            <w:tcBorders>
              <w:bottom w:val="single" w:sz="8" w:color="CCECFF"/>
            </w:tcBorders>
            <w:shd w:val="clear" w:color="auto" w:fill="CCECFF"/>
          </w:tcPr>
          <w:p>
            <w:pPr>
              <w:spacing w:after="0"/>
              <w:rPr>
                <w:sz w:val="17"/>
                <w:szCs w:val="17"/>
                <w:color w:val="auto"/>
              </w:rPr>
            </w:pPr>
          </w:p>
        </w:tc>
        <w:tc>
          <w:tcPr>
            <w:tcW w:w="160" w:type="dxa"/>
            <w:vAlign w:val="bottom"/>
            <w:tcBorders>
              <w:bottom w:val="single" w:sz="8" w:color="CCECFF"/>
            </w:tcBorders>
            <w:shd w:val="clear" w:color="auto" w:fill="CCECFF"/>
          </w:tcPr>
          <w:p>
            <w:pPr>
              <w:spacing w:after="0"/>
              <w:rPr>
                <w:sz w:val="17"/>
                <w:szCs w:val="17"/>
                <w:color w:val="auto"/>
              </w:rPr>
            </w:pPr>
          </w:p>
        </w:tc>
        <w:tc>
          <w:tcPr>
            <w:tcW w:w="178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320" w:type="dxa"/>
            <w:vAlign w:val="bottom"/>
            <w:tcBorders>
              <w:top w:val="single" w:sz="8" w:color="auto"/>
            </w:tcBorders>
            <w:gridSpan w:val="2"/>
          </w:tcPr>
          <w:p>
            <w:pPr>
              <w:ind w:left="20"/>
              <w:spacing w:after="0" w:line="155" w:lineRule="exact"/>
              <w:rPr>
                <w:sz w:val="20"/>
                <w:szCs w:val="20"/>
                <w:color w:val="auto"/>
              </w:rPr>
            </w:pPr>
            <w:r>
              <w:rPr>
                <w:rFonts w:ascii="Times New Roman" w:cs="Times New Roman" w:eastAsia="Times New Roman" w:hAnsi="Times New Roman"/>
                <w:sz w:val="14"/>
                <w:szCs w:val="14"/>
                <w:color w:val="auto"/>
              </w:rPr>
              <w:t>Long-Term Credit Facility</w:t>
            </w:r>
          </w:p>
        </w:tc>
        <w:tc>
          <w:tcPr>
            <w:tcW w:w="180" w:type="dxa"/>
            <w:vAlign w:val="bottom"/>
            <w:tcBorders>
              <w:top w:val="single" w:sz="8" w:color="CCECFF"/>
            </w:tcBorders>
          </w:tcPr>
          <w:p>
            <w:pPr>
              <w:spacing w:after="0"/>
              <w:rPr>
                <w:sz w:val="13"/>
                <w:szCs w:val="13"/>
                <w:color w:val="auto"/>
              </w:rPr>
            </w:pPr>
          </w:p>
        </w:tc>
        <w:tc>
          <w:tcPr>
            <w:tcW w:w="1160" w:type="dxa"/>
            <w:vAlign w:val="bottom"/>
            <w:tcBorders>
              <w:top w:val="single" w:sz="8" w:color="auto"/>
              <w:bottom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218,852</w:t>
            </w:r>
          </w:p>
        </w:tc>
        <w:tc>
          <w:tcPr>
            <w:tcW w:w="200" w:type="dxa"/>
            <w:vAlign w:val="bottom"/>
            <w:tcBorders>
              <w:top w:val="single" w:sz="8" w:color="CCECFF"/>
            </w:tcBorders>
          </w:tcPr>
          <w:p>
            <w:pPr>
              <w:spacing w:after="0"/>
              <w:rPr>
                <w:sz w:val="13"/>
                <w:szCs w:val="13"/>
                <w:color w:val="auto"/>
              </w:rPr>
            </w:pPr>
          </w:p>
        </w:tc>
        <w:tc>
          <w:tcPr>
            <w:tcW w:w="1780" w:type="dxa"/>
            <w:vAlign w:val="bottom"/>
            <w:tcBorders>
              <w:top w:val="single" w:sz="8" w:color="CCECFF"/>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tcBorders>
              <w:top w:val="single" w:sz="8" w:color="CCECFF"/>
            </w:tcBorders>
          </w:tcPr>
          <w:p>
            <w:pPr>
              <w:spacing w:after="0"/>
              <w:rPr>
                <w:sz w:val="13"/>
                <w:szCs w:val="13"/>
                <w:color w:val="auto"/>
              </w:rPr>
            </w:pPr>
          </w:p>
        </w:tc>
        <w:tc>
          <w:tcPr>
            <w:tcW w:w="1900" w:type="dxa"/>
            <w:vAlign w:val="bottom"/>
            <w:tcBorders>
              <w:top w:val="single" w:sz="8" w:color="CCECFF"/>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Market Yield</w:t>
            </w:r>
          </w:p>
        </w:tc>
        <w:tc>
          <w:tcPr>
            <w:tcW w:w="1940" w:type="dxa"/>
            <w:vAlign w:val="bottom"/>
            <w:tcBorders>
              <w:top w:val="single" w:sz="8" w:color="CCECFF"/>
            </w:tcBorders>
            <w:gridSpan w:val="2"/>
          </w:tcPr>
          <w:p>
            <w:pPr>
              <w:jc w:val="center"/>
              <w:ind w:left="88"/>
              <w:spacing w:after="0" w:line="155"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700" w:type="dxa"/>
            <w:vAlign w:val="bottom"/>
            <w:tcBorders>
              <w:bottom w:val="single" w:sz="8" w:color="auto"/>
            </w:tcBorders>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-1988185</wp:posOffset>
            </wp:positionV>
            <wp:extent cx="2540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-1713865</wp:posOffset>
            </wp:positionV>
            <wp:extent cx="11112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-1731010</wp:posOffset>
            </wp:positionV>
            <wp:extent cx="2540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-1713865</wp:posOffset>
            </wp:positionV>
            <wp:extent cx="2540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-462280</wp:posOffset>
            </wp:positionV>
            <wp:extent cx="2540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-187960</wp:posOffset>
            </wp:positionV>
            <wp:extent cx="11112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-205105</wp:posOffset>
            </wp:positionV>
            <wp:extent cx="254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-187960</wp:posOffset>
            </wp:positionV>
            <wp:extent cx="254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ind w:left="380" w:hanging="372"/>
        <w:spacing w:after="0" w:line="220" w:lineRule="auto"/>
        <w:tabs>
          <w:tab w:leader="none" w:pos="380"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weighted averages disclosed in the table above were weighted by their relative fair value.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47" w:lineRule="exact"/>
        <w:rPr>
          <w:sz w:val="20"/>
          <w:szCs w:val="20"/>
          <w:color w:val="auto"/>
        </w:rPr>
      </w:pPr>
    </w:p>
    <w:p>
      <w:pPr>
        <w:ind w:right="40" w:firstLine="449"/>
        <w:spacing w:after="0" w:line="302" w:lineRule="auto"/>
        <w:rPr>
          <w:sz w:val="20"/>
          <w:szCs w:val="20"/>
          <w:color w:val="auto"/>
        </w:rPr>
      </w:pPr>
      <w:r>
        <w:rPr>
          <w:rFonts w:ascii="Times New Roman" w:cs="Times New Roman" w:eastAsia="Times New Roman" w:hAnsi="Times New Roman"/>
          <w:sz w:val="14"/>
          <w:szCs w:val="14"/>
          <w:color w:val="auto"/>
        </w:rPr>
        <w:t>Our investments, cash and cash equivalents, Credit Facility or Prior Credit Facility, as applicable, 2023 Notes, 2026 Notes and 2031 Asset-Backed Debt were categorized as follows in the fair value hierarchy for ASC 820 purposes ($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ind w:left="980"/>
              <w:spacing w:after="0"/>
              <w:rPr>
                <w:sz w:val="20"/>
                <w:szCs w:val="20"/>
                <w:color w:val="auto"/>
              </w:rPr>
            </w:pPr>
            <w:r>
              <w:rPr>
                <w:rFonts w:ascii="Times New Roman" w:cs="Times New Roman" w:eastAsia="Times New Roman" w:hAnsi="Times New Roman"/>
                <w:sz w:val="14"/>
                <w:szCs w:val="14"/>
                <w:b w:val="1"/>
                <w:bCs w:val="1"/>
                <w:color w:val="auto"/>
              </w:rPr>
              <w:t>Fair Value at March 31, 2022</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28"/>
        </w:trPr>
        <w:tc>
          <w:tcPr>
            <w:tcW w:w="3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ind w:right="68"/>
              <w:spacing w:after="0" w:line="129" w:lineRule="exact"/>
              <w:rPr>
                <w:sz w:val="20"/>
                <w:szCs w:val="20"/>
                <w:color w:val="auto"/>
              </w:rPr>
            </w:pPr>
            <w:r>
              <w:rPr>
                <w:rFonts w:ascii="Times New Roman" w:cs="Times New Roman" w:eastAsia="Times New Roman" w:hAnsi="Times New Roman"/>
                <w:sz w:val="14"/>
                <w:szCs w:val="14"/>
                <w:b w:val="1"/>
                <w:bCs w:val="1"/>
                <w:color w:val="auto"/>
              </w:rPr>
              <w:t>Measured at Net</w:t>
            </w:r>
          </w:p>
        </w:tc>
        <w:tc>
          <w:tcPr>
            <w:tcW w:w="40" w:type="dxa"/>
            <w:vAlign w:val="bottom"/>
          </w:tcPr>
          <w:p>
            <w:pPr>
              <w:spacing w:after="0"/>
              <w:rPr>
                <w:sz w:val="11"/>
                <w:szCs w:val="11"/>
                <w:color w:val="auto"/>
              </w:rPr>
            </w:pPr>
          </w:p>
        </w:tc>
      </w:tr>
      <w:tr>
        <w:trPr>
          <w:trHeight w:val="203"/>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20" w:type="dxa"/>
            <w:vAlign w:val="bottom"/>
          </w:tcPr>
          <w:p>
            <w:pPr>
              <w:spacing w:after="0"/>
              <w:rPr>
                <w:sz w:val="17"/>
                <w:szCs w:val="17"/>
                <w:color w:val="auto"/>
              </w:rPr>
            </w:pPr>
          </w:p>
        </w:tc>
        <w:tc>
          <w:tcPr>
            <w:tcW w:w="11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7"/>
                <w:szCs w:val="17"/>
                <w:color w:val="auto"/>
              </w:rPr>
            </w:pPr>
          </w:p>
        </w:tc>
        <w:tc>
          <w:tcPr>
            <w:tcW w:w="10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148"/>
              <w:spacing w:after="0" w:line="203" w:lineRule="exact"/>
              <w:rPr>
                <w:sz w:val="20"/>
                <w:szCs w:val="20"/>
                <w:color w:val="auto"/>
              </w:rPr>
            </w:pPr>
            <w:r>
              <w:rPr>
                <w:rFonts w:ascii="Times New Roman" w:cs="Times New Roman" w:eastAsia="Times New Roman" w:hAnsi="Times New Roman"/>
                <w:sz w:val="14"/>
                <w:szCs w:val="14"/>
                <w:b w:val="1"/>
                <w:bCs w:val="1"/>
                <w:color w:val="auto"/>
              </w:rPr>
              <w:t xml:space="preserve">Asset Value </w:t>
            </w:r>
            <w:r>
              <w:rPr>
                <w:rFonts w:ascii="Times New Roman" w:cs="Times New Roman" w:eastAsia="Times New Roman" w:hAnsi="Times New Roman"/>
                <w:sz w:val="19"/>
                <w:szCs w:val="19"/>
                <w:b w:val="1"/>
                <w:bCs w:val="1"/>
                <w:color w:val="auto"/>
                <w:vertAlign w:val="superscript"/>
              </w:rPr>
              <w:t>(1)</w:t>
            </w:r>
          </w:p>
        </w:tc>
        <w:tc>
          <w:tcPr>
            <w:tcW w:w="40" w:type="dxa"/>
            <w:vAlign w:val="bottom"/>
          </w:tcPr>
          <w:p>
            <w:pPr>
              <w:spacing w:after="0"/>
              <w:rPr>
                <w:sz w:val="17"/>
                <w:szCs w:val="17"/>
                <w:color w:val="auto"/>
              </w:rPr>
            </w:pPr>
          </w:p>
        </w:tc>
      </w:tr>
      <w:tr>
        <w:trPr>
          <w:trHeight w:val="169"/>
        </w:trPr>
        <w:tc>
          <w:tcPr>
            <w:tcW w:w="370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40" w:type="dxa"/>
            <w:vAlign w:val="bottom"/>
            <w:shd w:val="clear" w:color="auto" w:fill="CCECFF"/>
          </w:tcPr>
          <w:p>
            <w:pPr>
              <w:spacing w:after="0"/>
              <w:rPr>
                <w:sz w:val="14"/>
                <w:szCs w:val="14"/>
                <w:color w:val="auto"/>
              </w:rPr>
            </w:pPr>
          </w:p>
        </w:tc>
        <w:tc>
          <w:tcPr>
            <w:tcW w:w="220" w:type="dxa"/>
            <w:vAlign w:val="bottom"/>
            <w:tcBorders>
              <w:top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1,031,932</w:t>
            </w:r>
          </w:p>
        </w:tc>
        <w:tc>
          <w:tcPr>
            <w:tcW w:w="200" w:type="dxa"/>
            <w:vAlign w:val="bottom"/>
            <w:shd w:val="clear" w:color="auto" w:fill="CCECFF"/>
          </w:tcPr>
          <w:p>
            <w:pPr>
              <w:spacing w:after="0"/>
              <w:rPr>
                <w:sz w:val="14"/>
                <w:szCs w:val="14"/>
                <w:color w:val="auto"/>
              </w:rPr>
            </w:pPr>
          </w:p>
        </w:tc>
        <w:tc>
          <w:tcPr>
            <w:tcW w:w="280" w:type="dxa"/>
            <w:vAlign w:val="bottom"/>
            <w:tcBorders>
              <w:top w:val="single" w:sz="8" w:color="auto"/>
            </w:tcBorders>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CFF"/>
          </w:tcPr>
          <w:p>
            <w:pPr>
              <w:spacing w:after="0"/>
              <w:rPr>
                <w:sz w:val="14"/>
                <w:szCs w:val="14"/>
                <w:color w:val="auto"/>
              </w:rPr>
            </w:pPr>
          </w:p>
        </w:tc>
        <w:tc>
          <w:tcPr>
            <w:tcW w:w="260" w:type="dxa"/>
            <w:vAlign w:val="bottom"/>
            <w:tcBorders>
              <w:top w:val="single" w:sz="8" w:color="auto"/>
            </w:tcBorders>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CFF"/>
          </w:tcPr>
          <w:p>
            <w:pPr>
              <w:spacing w:after="0"/>
              <w:rPr>
                <w:sz w:val="14"/>
                <w:szCs w:val="14"/>
                <w:color w:val="auto"/>
              </w:rPr>
            </w:pPr>
          </w:p>
        </w:tc>
        <w:tc>
          <w:tcPr>
            <w:tcW w:w="260" w:type="dxa"/>
            <w:vAlign w:val="bottom"/>
            <w:tcBorders>
              <w:top w:val="single" w:sz="8" w:color="auto"/>
            </w:tcBorders>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1,031,932</w:t>
            </w:r>
          </w:p>
        </w:tc>
        <w:tc>
          <w:tcPr>
            <w:tcW w:w="18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CFF"/>
          </w:tcPr>
          <w:p>
            <w:pPr>
              <w:spacing w:after="0"/>
              <w:rPr>
                <w:sz w:val="14"/>
                <w:szCs w:val="14"/>
                <w:color w:val="auto"/>
              </w:rPr>
            </w:pPr>
          </w:p>
        </w:tc>
      </w:tr>
      <w:tr>
        <w:trPr>
          <w:trHeight w:val="176"/>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r>
      <w:tr>
        <w:trPr>
          <w:trHeight w:val="175"/>
        </w:trPr>
        <w:tc>
          <w:tcPr>
            <w:tcW w:w="384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220" w:type="dxa"/>
            <w:vAlign w:val="bottom"/>
            <w:tcBorders>
              <w:bottom w:val="single" w:sz="8" w:color="auto"/>
            </w:tcBorders>
            <w:shd w:val="clear" w:color="auto" w:fill="CCECFF"/>
          </w:tcPr>
          <w:p>
            <w:pPr>
              <w:spacing w:after="0"/>
              <w:rPr>
                <w:sz w:val="15"/>
                <w:szCs w:val="15"/>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159,646</w:t>
            </w:r>
          </w:p>
        </w:tc>
        <w:tc>
          <w:tcPr>
            <w:tcW w:w="200" w:type="dxa"/>
            <w:vAlign w:val="bottom"/>
            <w:tcBorders>
              <w:bottom w:val="single" w:sz="8" w:color="CCECFF"/>
            </w:tcBorders>
            <w:shd w:val="clear" w:color="auto" w:fill="CCECFF"/>
          </w:tcPr>
          <w:p>
            <w:pPr>
              <w:spacing w:after="0"/>
              <w:rPr>
                <w:sz w:val="15"/>
                <w:szCs w:val="15"/>
                <w:color w:val="auto"/>
              </w:rPr>
            </w:pPr>
          </w:p>
        </w:tc>
        <w:tc>
          <w:tcPr>
            <w:tcW w:w="280" w:type="dxa"/>
            <w:vAlign w:val="bottom"/>
            <w:tcBorders>
              <w:bottom w:val="single" w:sz="8" w:color="auto"/>
            </w:tcBorders>
            <w:shd w:val="clear" w:color="auto" w:fill="CCECFF"/>
          </w:tcPr>
          <w:p>
            <w:pPr>
              <w:spacing w:after="0"/>
              <w:rPr>
                <w:sz w:val="15"/>
                <w:szCs w:val="15"/>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auto"/>
            </w:tcBorders>
            <w:shd w:val="clear" w:color="auto" w:fill="CCECFF"/>
          </w:tcPr>
          <w:p>
            <w:pPr>
              <w:spacing w:after="0"/>
              <w:rPr>
                <w:sz w:val="15"/>
                <w:szCs w:val="15"/>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auto"/>
            </w:tcBorders>
            <w:shd w:val="clear" w:color="auto" w:fill="CCECFF"/>
          </w:tcPr>
          <w:p>
            <w:pPr>
              <w:spacing w:after="0"/>
              <w:rPr>
                <w:sz w:val="15"/>
                <w:szCs w:val="15"/>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92,891</w:t>
            </w:r>
          </w:p>
        </w:tc>
        <w:tc>
          <w:tcPr>
            <w:tcW w:w="18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auto"/>
            </w:tcBorders>
            <w:shd w:val="clear" w:color="auto" w:fill="CCECFF"/>
          </w:tcPr>
          <w:p>
            <w:pPr>
              <w:spacing w:after="0"/>
              <w:rPr>
                <w:sz w:val="15"/>
                <w:szCs w:val="15"/>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66,755</w:t>
            </w:r>
          </w:p>
        </w:tc>
        <w:tc>
          <w:tcPr>
            <w:tcW w:w="40" w:type="dxa"/>
            <w:vAlign w:val="bottom"/>
            <w:tcBorders>
              <w:bottom w:val="single" w:sz="8" w:color="CCECFF"/>
            </w:tcBorders>
            <w:shd w:val="clear" w:color="auto" w:fill="CCECFF"/>
          </w:tcPr>
          <w:p>
            <w:pPr>
              <w:spacing w:after="0"/>
              <w:rPr>
                <w:sz w:val="15"/>
                <w:szCs w:val="15"/>
                <w:color w:val="auto"/>
              </w:rPr>
            </w:pPr>
          </w:p>
        </w:tc>
      </w:tr>
      <w:tr>
        <w:trPr>
          <w:trHeight w:val="169"/>
        </w:trPr>
        <w:tc>
          <w:tcPr>
            <w:tcW w:w="38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Total investments</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1,192,613</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1,125,858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66,755</w:t>
            </w:r>
          </w:p>
        </w:tc>
        <w:tc>
          <w:tcPr>
            <w:tcW w:w="40" w:type="dxa"/>
            <w:vAlign w:val="bottom"/>
          </w:tcPr>
          <w:p>
            <w:pPr>
              <w:spacing w:after="0"/>
              <w:rPr>
                <w:sz w:val="14"/>
                <w:szCs w:val="14"/>
                <w:color w:val="auto"/>
              </w:rPr>
            </w:pPr>
          </w:p>
        </w:tc>
      </w:tr>
      <w:tr>
        <w:trPr>
          <w:trHeight w:val="169"/>
        </w:trPr>
        <w:tc>
          <w:tcPr>
            <w:tcW w:w="384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tcBorders>
              <w:top w:val="single" w:sz="8" w:color="auto"/>
              <w:bottom w:val="single" w:sz="8" w:color="auto"/>
            </w:tcBorders>
            <w:shd w:val="clear" w:color="auto" w:fill="CCECFF"/>
          </w:tcPr>
          <w:p>
            <w:pPr>
              <w:spacing w:after="0"/>
              <w:rPr>
                <w:sz w:val="14"/>
                <w:szCs w:val="14"/>
                <w:color w:val="auto"/>
              </w:rPr>
            </w:pPr>
          </w:p>
        </w:tc>
        <w:tc>
          <w:tcPr>
            <w:tcW w:w="1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50,064</w:t>
            </w:r>
          </w:p>
        </w:tc>
        <w:tc>
          <w:tcPr>
            <w:tcW w:w="200" w:type="dxa"/>
            <w:vAlign w:val="bottom"/>
            <w:tcBorders>
              <w:bottom w:val="single" w:sz="8" w:color="CCECFF"/>
            </w:tcBorders>
            <w:shd w:val="clear" w:color="auto" w:fill="CCECFF"/>
          </w:tcPr>
          <w:p>
            <w:pPr>
              <w:spacing w:after="0"/>
              <w:rPr>
                <w:sz w:val="14"/>
                <w:szCs w:val="14"/>
                <w:color w:val="auto"/>
              </w:rPr>
            </w:pPr>
          </w:p>
        </w:tc>
        <w:tc>
          <w:tcPr>
            <w:tcW w:w="280" w:type="dxa"/>
            <w:vAlign w:val="bottom"/>
            <w:tcBorders>
              <w:top w:val="single" w:sz="8" w:color="auto"/>
              <w:bottom w:val="single" w:sz="8" w:color="auto"/>
            </w:tcBorders>
            <w:shd w:val="clear" w:color="auto" w:fill="CCECFF"/>
          </w:tcPr>
          <w:p>
            <w:pPr>
              <w:spacing w:after="0"/>
              <w:rPr>
                <w:sz w:val="14"/>
                <w:szCs w:val="14"/>
                <w:color w:val="auto"/>
              </w:rPr>
            </w:pPr>
          </w:p>
        </w:tc>
        <w:tc>
          <w:tcPr>
            <w:tcW w:w="10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50,064</w:t>
            </w:r>
          </w:p>
        </w:tc>
        <w:tc>
          <w:tcPr>
            <w:tcW w:w="200" w:type="dxa"/>
            <w:vAlign w:val="bottom"/>
            <w:tcBorders>
              <w:bottom w:val="single" w:sz="8" w:color="CCECFF"/>
            </w:tcBorders>
            <w:shd w:val="clear" w:color="auto" w:fill="CCECFF"/>
          </w:tcPr>
          <w:p>
            <w:pPr>
              <w:spacing w:after="0"/>
              <w:rPr>
                <w:sz w:val="14"/>
                <w:szCs w:val="14"/>
                <w:color w:val="auto"/>
              </w:rPr>
            </w:pPr>
          </w:p>
        </w:tc>
        <w:tc>
          <w:tcPr>
            <w:tcW w:w="260" w:type="dxa"/>
            <w:vAlign w:val="bottom"/>
            <w:tcBorders>
              <w:top w:val="single" w:sz="8" w:color="auto"/>
              <w:bottom w:val="single" w:sz="8" w:color="auto"/>
            </w:tcBorders>
            <w:shd w:val="clear" w:color="auto" w:fill="CCECFF"/>
          </w:tcPr>
          <w:p>
            <w:pPr>
              <w:spacing w:after="0"/>
              <w:rPr>
                <w:sz w:val="14"/>
                <w:szCs w:val="14"/>
                <w:color w:val="auto"/>
              </w:rPr>
            </w:pPr>
          </w:p>
        </w:tc>
        <w:tc>
          <w:tcPr>
            <w:tcW w:w="10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CFF"/>
            </w:tcBorders>
            <w:shd w:val="clear" w:color="auto" w:fill="CCECFF"/>
          </w:tcPr>
          <w:p>
            <w:pPr>
              <w:spacing w:after="0"/>
              <w:rPr>
                <w:sz w:val="14"/>
                <w:szCs w:val="14"/>
                <w:color w:val="auto"/>
              </w:rPr>
            </w:pPr>
          </w:p>
        </w:tc>
        <w:tc>
          <w:tcPr>
            <w:tcW w:w="260" w:type="dxa"/>
            <w:vAlign w:val="bottom"/>
            <w:tcBorders>
              <w:top w:val="single" w:sz="8" w:color="auto"/>
              <w:bottom w:val="single" w:sz="8" w:color="auto"/>
            </w:tcBorders>
            <w:shd w:val="clear" w:color="auto" w:fill="CCECFF"/>
          </w:tcPr>
          <w:p>
            <w:pPr>
              <w:spacing w:after="0"/>
              <w:rPr>
                <w:sz w:val="14"/>
                <w:szCs w:val="14"/>
                <w:color w:val="auto"/>
              </w:rPr>
            </w:pPr>
          </w:p>
        </w:tc>
        <w:tc>
          <w:tcPr>
            <w:tcW w:w="10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top w:val="single" w:sz="8" w:color="auto"/>
              <w:bottom w:val="single" w:sz="8" w:color="auto"/>
            </w:tcBorders>
            <w:shd w:val="clear" w:color="auto" w:fill="CCECFF"/>
          </w:tcPr>
          <w:p>
            <w:pPr>
              <w:spacing w:after="0"/>
              <w:rPr>
                <w:sz w:val="14"/>
                <w:szCs w:val="14"/>
                <w:color w:val="auto"/>
              </w:rPr>
            </w:pPr>
          </w:p>
        </w:tc>
        <w:tc>
          <w:tcPr>
            <w:tcW w:w="11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CFF"/>
            </w:tcBorders>
            <w:shd w:val="clear" w:color="auto" w:fill="CCECFF"/>
          </w:tcPr>
          <w:p>
            <w:pPr>
              <w:spacing w:after="0"/>
              <w:rPr>
                <w:sz w:val="14"/>
                <w:szCs w:val="14"/>
                <w:color w:val="auto"/>
              </w:rPr>
            </w:pPr>
          </w:p>
        </w:tc>
      </w:tr>
      <w:tr>
        <w:trPr>
          <w:trHeight w:val="169"/>
        </w:trPr>
        <w:tc>
          <w:tcPr>
            <w:tcW w:w="38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Total investments and cash and cash equivalents</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1,242,676</w:t>
            </w:r>
          </w:p>
        </w:tc>
        <w:tc>
          <w:tcPr>
            <w:tcW w:w="200" w:type="dxa"/>
            <w:vAlign w:val="bottom"/>
          </w:tcPr>
          <w:p>
            <w:pPr>
              <w:spacing w:after="0"/>
              <w:rPr>
                <w:sz w:val="14"/>
                <w:szCs w:val="14"/>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50,064</w:t>
            </w:r>
          </w:p>
        </w:tc>
        <w:tc>
          <w:tcPr>
            <w:tcW w:w="200" w:type="dxa"/>
            <w:vAlign w:val="bottom"/>
          </w:tcPr>
          <w:p>
            <w:pPr>
              <w:spacing w:after="0"/>
              <w:rPr>
                <w:sz w:val="14"/>
                <w:szCs w:val="14"/>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1,125,858</w:t>
            </w:r>
          </w:p>
        </w:tc>
        <w:tc>
          <w:tcPr>
            <w:tcW w:w="1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66,755</w:t>
            </w:r>
          </w:p>
        </w:tc>
        <w:tc>
          <w:tcPr>
            <w:tcW w:w="40" w:type="dxa"/>
            <w:vAlign w:val="bottom"/>
          </w:tcPr>
          <w:p>
            <w:pPr>
              <w:spacing w:after="0"/>
              <w:rPr>
                <w:sz w:val="14"/>
                <w:szCs w:val="14"/>
                <w:color w:val="auto"/>
              </w:rPr>
            </w:pPr>
          </w:p>
        </w:tc>
      </w:tr>
      <w:tr>
        <w:trPr>
          <w:trHeight w:val="20"/>
        </w:trPr>
        <w:tc>
          <w:tcPr>
            <w:tcW w:w="38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6"/>
        </w:trPr>
        <w:tc>
          <w:tcPr>
            <w:tcW w:w="3840" w:type="dxa"/>
            <w:vAlign w:val="bottom"/>
            <w:gridSpan w:val="2"/>
            <w:shd w:val="clear" w:color="auto" w:fill="CCECFF"/>
          </w:tcPr>
          <w:p>
            <w:pPr>
              <w:ind w:left="20"/>
              <w:spacing w:after="0" w:line="156" w:lineRule="exact"/>
              <w:rPr>
                <w:sz w:val="20"/>
                <w:szCs w:val="20"/>
                <w:color w:val="auto"/>
              </w:rPr>
            </w:pPr>
            <w:r>
              <w:rPr>
                <w:rFonts w:ascii="Times New Roman" w:cs="Times New Roman" w:eastAsia="Times New Roman" w:hAnsi="Times New Roman"/>
                <w:sz w:val="14"/>
                <w:szCs w:val="14"/>
                <w:color w:val="auto"/>
              </w:rPr>
              <w:t>Credit Facility payable</w:t>
            </w:r>
          </w:p>
        </w:tc>
        <w:tc>
          <w:tcPr>
            <w:tcW w:w="220" w:type="dxa"/>
            <w:vAlign w:val="bottom"/>
            <w:tcBorders>
              <w:top w:val="single" w:sz="8" w:color="auto"/>
            </w:tcBorders>
            <w:shd w:val="clear" w:color="auto" w:fill="CCECFF"/>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249,910</w:t>
            </w:r>
          </w:p>
        </w:tc>
        <w:tc>
          <w:tcPr>
            <w:tcW w:w="200" w:type="dxa"/>
            <w:vAlign w:val="bottom"/>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0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0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0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249,910</w:t>
            </w:r>
          </w:p>
        </w:tc>
        <w:tc>
          <w:tcPr>
            <w:tcW w:w="180" w:type="dxa"/>
            <w:vAlign w:val="bottom"/>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CFF"/>
          </w:tcPr>
          <w:p>
            <w:pPr>
              <w:spacing w:after="0"/>
              <w:rPr>
                <w:sz w:val="13"/>
                <w:szCs w:val="13"/>
                <w:color w:val="auto"/>
              </w:rPr>
            </w:pPr>
          </w:p>
        </w:tc>
      </w:tr>
      <w:tr>
        <w:trPr>
          <w:trHeight w:val="175"/>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2023 Notes payable</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88,275</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88,275</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r>
      <w:tr>
        <w:trPr>
          <w:trHeight w:val="176"/>
        </w:trPr>
        <w:tc>
          <w:tcPr>
            <w:tcW w:w="3840" w:type="dxa"/>
            <w:vAlign w:val="bottom"/>
            <w:gridSpan w:val="2"/>
            <w:shd w:val="clear" w:color="auto" w:fill="CCECFF"/>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2026 Notes payable </w:t>
            </w:r>
            <w:r>
              <w:rPr>
                <w:rFonts w:ascii="Times New Roman" w:cs="Times New Roman" w:eastAsia="Times New Roman" w:hAnsi="Times New Roman"/>
                <w:sz w:val="19"/>
                <w:szCs w:val="19"/>
                <w:color w:val="auto"/>
                <w:vertAlign w:val="superscript"/>
              </w:rPr>
              <w:t>(2)</w:t>
            </w:r>
          </w:p>
        </w:tc>
        <w:tc>
          <w:tcPr>
            <w:tcW w:w="220" w:type="dxa"/>
            <w:vAlign w:val="bottom"/>
            <w:shd w:val="clear" w:color="auto" w:fill="CCECFF"/>
          </w:tcPr>
          <w:p>
            <w:pPr>
              <w:spacing w:after="0"/>
              <w:rPr>
                <w:sz w:val="15"/>
                <w:szCs w:val="15"/>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181,888</w:t>
            </w:r>
          </w:p>
        </w:tc>
        <w:tc>
          <w:tcPr>
            <w:tcW w:w="20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181,888</w:t>
            </w:r>
          </w:p>
        </w:tc>
        <w:tc>
          <w:tcPr>
            <w:tcW w:w="20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CFF"/>
          </w:tcPr>
          <w:p>
            <w:pPr>
              <w:spacing w:after="0"/>
              <w:rPr>
                <w:sz w:val="15"/>
                <w:szCs w:val="15"/>
                <w:color w:val="auto"/>
              </w:rPr>
            </w:pPr>
          </w:p>
        </w:tc>
      </w:tr>
      <w:tr>
        <w:trPr>
          <w:trHeight w:val="176"/>
        </w:trPr>
        <w:tc>
          <w:tcPr>
            <w:tcW w:w="384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4"/>
                <w:szCs w:val="14"/>
                <w:color w:val="auto"/>
              </w:rPr>
              <w:t>2031 Asset-Backed Debt</w:t>
            </w:r>
            <w:r>
              <w:rPr>
                <w:rFonts w:ascii="Times New Roman" w:cs="Times New Roman" w:eastAsia="Times New Roman" w:hAnsi="Times New Roman"/>
                <w:sz w:val="19"/>
                <w:szCs w:val="19"/>
                <w:color w:val="auto"/>
                <w:vertAlign w:val="superscript"/>
              </w:rPr>
              <w:t>(2)</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225,813</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225,813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r>
      <w:tr>
        <w:trPr>
          <w:trHeight w:val="209"/>
        </w:trPr>
        <w:tc>
          <w:tcPr>
            <w:tcW w:w="3840" w:type="dxa"/>
            <w:vAlign w:val="bottom"/>
            <w:tcBorders>
              <w:bottom w:val="single" w:sz="8" w:color="CCECFF"/>
            </w:tcBorders>
            <w:gridSpan w:val="2"/>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Total debt</w:t>
            </w:r>
          </w:p>
        </w:tc>
        <w:tc>
          <w:tcPr>
            <w:tcW w:w="220" w:type="dxa"/>
            <w:vAlign w:val="bottom"/>
            <w:tcBorders>
              <w:top w:val="single" w:sz="8" w:color="auto"/>
              <w:bottom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745,886</w:t>
            </w:r>
          </w:p>
        </w:tc>
        <w:tc>
          <w:tcPr>
            <w:tcW w:w="20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top w:val="single" w:sz="8" w:color="auto"/>
              <w:bottom w:val="single" w:sz="8" w:color="auto"/>
            </w:tcBorders>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88,275</w:t>
            </w:r>
          </w:p>
        </w:tc>
        <w:tc>
          <w:tcPr>
            <w:tcW w:w="20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top w:val="single" w:sz="8" w:color="auto"/>
              <w:bottom w:val="single" w:sz="8" w:color="auto"/>
            </w:tcBorders>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181,888</w:t>
            </w:r>
          </w:p>
        </w:tc>
        <w:tc>
          <w:tcPr>
            <w:tcW w:w="20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top w:val="single" w:sz="8" w:color="auto"/>
              <w:bottom w:val="single" w:sz="8" w:color="auto"/>
            </w:tcBorders>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475,722</w:t>
            </w:r>
          </w:p>
        </w:tc>
        <w:tc>
          <w:tcPr>
            <w:tcW w:w="18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CFF"/>
            </w:tcBorders>
            <w:shd w:val="clear" w:color="auto" w:fill="CCEC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-976630</wp:posOffset>
            </wp:positionV>
            <wp:extent cx="342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-976630</wp:posOffset>
            </wp:positionV>
            <wp:extent cx="342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-976630</wp:posOffset>
            </wp:positionV>
            <wp:extent cx="342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-976630</wp:posOffset>
            </wp:positionV>
            <wp:extent cx="2603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-976630</wp:posOffset>
            </wp:positionV>
            <wp:extent cx="2603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-736600</wp:posOffset>
            </wp:positionV>
            <wp:extent cx="342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-736600</wp:posOffset>
            </wp:positionV>
            <wp:extent cx="342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-736600</wp:posOffset>
            </wp:positionV>
            <wp:extent cx="342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-736600</wp:posOffset>
            </wp:positionV>
            <wp:extent cx="2603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-736600</wp:posOffset>
            </wp:positionV>
            <wp:extent cx="2603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-25400</wp:posOffset>
            </wp:positionV>
            <wp:extent cx="342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-7620</wp:posOffset>
            </wp:positionV>
            <wp:extent cx="342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-25400</wp:posOffset>
            </wp:positionV>
            <wp:extent cx="342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342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-25400</wp:posOffset>
            </wp:positionV>
            <wp:extent cx="342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342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2603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2603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-25400</wp:posOffset>
            </wp:positionV>
            <wp:extent cx="2603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-7620</wp:posOffset>
            </wp:positionV>
            <wp:extent cx="2603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201" w:lineRule="exact"/>
        <w:rPr>
          <w:sz w:val="20"/>
          <w:szCs w:val="20"/>
          <w:color w:val="auto"/>
        </w:rPr>
      </w:pPr>
    </w:p>
    <w:p>
      <w:pPr>
        <w:ind w:left="380" w:right="360" w:hanging="372"/>
        <w:spacing w:after="0" w:line="212" w:lineRule="auto"/>
        <w:tabs>
          <w:tab w:leader="none" w:pos="380"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 accordance with ASC Subtopic 820-10, Fair Value Measurements and Disclosures, or ASC 820-10, our equity investment in PSSL and PTSF are measured using the net asset value per share (or its equivalent) as a practical expedient for fair value, and thus have not been classified in the fair value hierarchy.</w:t>
      </w:r>
    </w:p>
    <w:p>
      <w:pPr>
        <w:spacing w:after="0" w:line="26" w:lineRule="exact"/>
        <w:rPr>
          <w:rFonts w:ascii="Times New Roman" w:cs="Times New Roman" w:eastAsia="Times New Roman" w:hAnsi="Times New Roman"/>
          <w:sz w:val="16"/>
          <w:szCs w:val="16"/>
          <w:color w:val="auto"/>
          <w:vertAlign w:val="superscript"/>
        </w:rPr>
      </w:pPr>
    </w:p>
    <w:p>
      <w:pPr>
        <w:ind w:left="380" w:right="100" w:hanging="372"/>
        <w:spacing w:after="0" w:line="202" w:lineRule="auto"/>
        <w:tabs>
          <w:tab w:leader="none" w:pos="380"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We elected not to apply the fair value option allowed by ASC 825-10 to the 2026 Notes and the 2031 Asset-Backed Debt and thus the balance reported in the Consolidated Statement of Assets and Liabilities represents the carrying value, which approximates the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Fair Value at September 30, 2021</w:t>
            </w:r>
          </w:p>
        </w:tc>
        <w:tc>
          <w:tcPr>
            <w:tcW w:w="10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28"/>
        </w:trPr>
        <w:tc>
          <w:tcPr>
            <w:tcW w:w="3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ind w:right="68"/>
              <w:spacing w:after="0" w:line="129" w:lineRule="exact"/>
              <w:rPr>
                <w:sz w:val="20"/>
                <w:szCs w:val="20"/>
                <w:color w:val="auto"/>
              </w:rPr>
            </w:pPr>
            <w:r>
              <w:rPr>
                <w:rFonts w:ascii="Times New Roman" w:cs="Times New Roman" w:eastAsia="Times New Roman" w:hAnsi="Times New Roman"/>
                <w:sz w:val="14"/>
                <w:szCs w:val="14"/>
                <w:b w:val="1"/>
                <w:bCs w:val="1"/>
                <w:color w:val="auto"/>
              </w:rPr>
              <w:t>Measured at Net</w:t>
            </w:r>
          </w:p>
        </w:tc>
        <w:tc>
          <w:tcPr>
            <w:tcW w:w="40" w:type="dxa"/>
            <w:vAlign w:val="bottom"/>
          </w:tcPr>
          <w:p>
            <w:pPr>
              <w:spacing w:after="0"/>
              <w:rPr>
                <w:sz w:val="11"/>
                <w:szCs w:val="11"/>
                <w:color w:val="auto"/>
              </w:rPr>
            </w:pPr>
          </w:p>
        </w:tc>
      </w:tr>
      <w:tr>
        <w:trPr>
          <w:trHeight w:val="203"/>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20" w:type="dxa"/>
            <w:vAlign w:val="bottom"/>
          </w:tcPr>
          <w:p>
            <w:pPr>
              <w:spacing w:after="0"/>
              <w:rPr>
                <w:sz w:val="17"/>
                <w:szCs w:val="17"/>
                <w:color w:val="auto"/>
              </w:rPr>
            </w:pPr>
          </w:p>
        </w:tc>
        <w:tc>
          <w:tcPr>
            <w:tcW w:w="11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148"/>
              <w:spacing w:after="0" w:line="203" w:lineRule="exact"/>
              <w:rPr>
                <w:sz w:val="20"/>
                <w:szCs w:val="20"/>
                <w:color w:val="auto"/>
              </w:rPr>
            </w:pPr>
            <w:r>
              <w:rPr>
                <w:rFonts w:ascii="Times New Roman" w:cs="Times New Roman" w:eastAsia="Times New Roman" w:hAnsi="Times New Roman"/>
                <w:sz w:val="14"/>
                <w:szCs w:val="14"/>
                <w:b w:val="1"/>
                <w:bCs w:val="1"/>
                <w:color w:val="auto"/>
              </w:rPr>
              <w:t xml:space="preserve">Asset Value </w:t>
            </w:r>
            <w:r>
              <w:rPr>
                <w:rFonts w:ascii="Times New Roman" w:cs="Times New Roman" w:eastAsia="Times New Roman" w:hAnsi="Times New Roman"/>
                <w:sz w:val="19"/>
                <w:szCs w:val="19"/>
                <w:b w:val="1"/>
                <w:bCs w:val="1"/>
                <w:color w:val="auto"/>
                <w:vertAlign w:val="superscript"/>
              </w:rPr>
              <w:t>(1)</w:t>
            </w:r>
          </w:p>
        </w:tc>
        <w:tc>
          <w:tcPr>
            <w:tcW w:w="40" w:type="dxa"/>
            <w:vAlign w:val="bottom"/>
          </w:tcPr>
          <w:p>
            <w:pPr>
              <w:spacing w:after="0"/>
              <w:rPr>
                <w:sz w:val="17"/>
                <w:szCs w:val="17"/>
                <w:color w:val="auto"/>
              </w:rPr>
            </w:pPr>
          </w:p>
        </w:tc>
      </w:tr>
      <w:tr>
        <w:trPr>
          <w:trHeight w:val="169"/>
        </w:trPr>
        <w:tc>
          <w:tcPr>
            <w:tcW w:w="370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40" w:type="dxa"/>
            <w:vAlign w:val="bottom"/>
            <w:shd w:val="clear" w:color="auto" w:fill="CCECFF"/>
          </w:tcPr>
          <w:p>
            <w:pPr>
              <w:spacing w:after="0"/>
              <w:rPr>
                <w:sz w:val="14"/>
                <w:szCs w:val="14"/>
                <w:color w:val="auto"/>
              </w:rPr>
            </w:pPr>
          </w:p>
        </w:tc>
        <w:tc>
          <w:tcPr>
            <w:tcW w:w="220" w:type="dxa"/>
            <w:vAlign w:val="bottom"/>
            <w:tcBorders>
              <w:top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934,418</w:t>
            </w:r>
          </w:p>
        </w:tc>
        <w:tc>
          <w:tcPr>
            <w:tcW w:w="200" w:type="dxa"/>
            <w:vAlign w:val="bottom"/>
            <w:shd w:val="clear" w:color="auto" w:fill="CCECFF"/>
          </w:tcPr>
          <w:p>
            <w:pPr>
              <w:spacing w:after="0"/>
              <w:rPr>
                <w:sz w:val="14"/>
                <w:szCs w:val="14"/>
                <w:color w:val="auto"/>
              </w:rPr>
            </w:pPr>
          </w:p>
        </w:tc>
        <w:tc>
          <w:tcPr>
            <w:tcW w:w="280" w:type="dxa"/>
            <w:vAlign w:val="bottom"/>
            <w:tcBorders>
              <w:top w:val="single" w:sz="8" w:color="auto"/>
            </w:tcBorders>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CFF"/>
          </w:tcPr>
          <w:p>
            <w:pPr>
              <w:spacing w:after="0"/>
              <w:rPr>
                <w:sz w:val="14"/>
                <w:szCs w:val="14"/>
                <w:color w:val="auto"/>
              </w:rPr>
            </w:pPr>
          </w:p>
        </w:tc>
        <w:tc>
          <w:tcPr>
            <w:tcW w:w="260" w:type="dxa"/>
            <w:vAlign w:val="bottom"/>
            <w:tcBorders>
              <w:top w:val="single" w:sz="8" w:color="auto"/>
            </w:tcBorders>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CFF"/>
          </w:tcPr>
          <w:p>
            <w:pPr>
              <w:spacing w:after="0"/>
              <w:rPr>
                <w:sz w:val="14"/>
                <w:szCs w:val="14"/>
                <w:color w:val="auto"/>
              </w:rPr>
            </w:pPr>
          </w:p>
        </w:tc>
        <w:tc>
          <w:tcPr>
            <w:tcW w:w="280" w:type="dxa"/>
            <w:vAlign w:val="bottom"/>
            <w:tcBorders>
              <w:top w:val="single" w:sz="8" w:color="auto"/>
            </w:tcBorders>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934,418</w:t>
            </w:r>
          </w:p>
        </w:tc>
        <w:tc>
          <w:tcPr>
            <w:tcW w:w="18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CFF"/>
          </w:tcPr>
          <w:p>
            <w:pPr>
              <w:spacing w:after="0"/>
              <w:rPr>
                <w:sz w:val="14"/>
                <w:szCs w:val="14"/>
                <w:color w:val="auto"/>
              </w:rPr>
            </w:pPr>
          </w:p>
        </w:tc>
      </w:tr>
      <w:tr>
        <w:trPr>
          <w:trHeight w:val="175"/>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8,949</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r>
      <w:tr>
        <w:trPr>
          <w:trHeight w:val="176"/>
        </w:trPr>
        <w:tc>
          <w:tcPr>
            <w:tcW w:w="384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220" w:type="dxa"/>
            <w:vAlign w:val="bottom"/>
            <w:tcBorders>
              <w:bottom w:val="single" w:sz="8" w:color="auto"/>
            </w:tcBorders>
            <w:shd w:val="clear" w:color="auto" w:fill="CCECFF"/>
          </w:tcPr>
          <w:p>
            <w:pPr>
              <w:spacing w:after="0"/>
              <w:rPr>
                <w:sz w:val="15"/>
                <w:szCs w:val="15"/>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138,252</w:t>
            </w:r>
          </w:p>
        </w:tc>
        <w:tc>
          <w:tcPr>
            <w:tcW w:w="200" w:type="dxa"/>
            <w:vAlign w:val="bottom"/>
            <w:tcBorders>
              <w:bottom w:val="single" w:sz="8" w:color="CCECFF"/>
            </w:tcBorders>
            <w:shd w:val="clear" w:color="auto" w:fill="CCECFF"/>
          </w:tcPr>
          <w:p>
            <w:pPr>
              <w:spacing w:after="0"/>
              <w:rPr>
                <w:sz w:val="15"/>
                <w:szCs w:val="15"/>
                <w:color w:val="auto"/>
              </w:rPr>
            </w:pPr>
          </w:p>
        </w:tc>
        <w:tc>
          <w:tcPr>
            <w:tcW w:w="280" w:type="dxa"/>
            <w:vAlign w:val="bottom"/>
            <w:tcBorders>
              <w:bottom w:val="single" w:sz="8" w:color="auto"/>
            </w:tcBorders>
            <w:shd w:val="clear" w:color="auto" w:fill="CCECFF"/>
          </w:tcPr>
          <w:p>
            <w:pPr>
              <w:spacing w:after="0"/>
              <w:rPr>
                <w:sz w:val="15"/>
                <w:szCs w:val="15"/>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auto"/>
            </w:tcBorders>
            <w:shd w:val="clear" w:color="auto" w:fill="CCECFF"/>
          </w:tcPr>
          <w:p>
            <w:pPr>
              <w:spacing w:after="0"/>
              <w:rPr>
                <w:sz w:val="15"/>
                <w:szCs w:val="15"/>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CFF"/>
            </w:tcBorders>
            <w:shd w:val="clear" w:color="auto" w:fill="CCECFF"/>
          </w:tcPr>
          <w:p>
            <w:pPr>
              <w:spacing w:after="0"/>
              <w:rPr>
                <w:sz w:val="15"/>
                <w:szCs w:val="15"/>
                <w:color w:val="auto"/>
              </w:rPr>
            </w:pPr>
          </w:p>
        </w:tc>
        <w:tc>
          <w:tcPr>
            <w:tcW w:w="280" w:type="dxa"/>
            <w:vAlign w:val="bottom"/>
            <w:tcBorders>
              <w:bottom w:val="single" w:sz="8" w:color="auto"/>
            </w:tcBorders>
            <w:shd w:val="clear" w:color="auto" w:fill="CCECFF"/>
          </w:tcPr>
          <w:p>
            <w:pPr>
              <w:spacing w:after="0"/>
              <w:rPr>
                <w:sz w:val="15"/>
                <w:szCs w:val="15"/>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77,822</w:t>
            </w:r>
          </w:p>
        </w:tc>
        <w:tc>
          <w:tcPr>
            <w:tcW w:w="18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auto"/>
            </w:tcBorders>
            <w:shd w:val="clear" w:color="auto" w:fill="CCECFF"/>
          </w:tcPr>
          <w:p>
            <w:pPr>
              <w:spacing w:after="0"/>
              <w:rPr>
                <w:sz w:val="15"/>
                <w:szCs w:val="15"/>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60,430</w:t>
            </w:r>
          </w:p>
        </w:tc>
        <w:tc>
          <w:tcPr>
            <w:tcW w:w="40" w:type="dxa"/>
            <w:vAlign w:val="bottom"/>
            <w:tcBorders>
              <w:bottom w:val="single" w:sz="8" w:color="CCECFF"/>
            </w:tcBorders>
            <w:shd w:val="clear" w:color="auto" w:fill="CCECFF"/>
          </w:tcPr>
          <w:p>
            <w:pPr>
              <w:spacing w:after="0"/>
              <w:rPr>
                <w:sz w:val="15"/>
                <w:szCs w:val="15"/>
                <w:color w:val="auto"/>
              </w:rPr>
            </w:pPr>
          </w:p>
        </w:tc>
      </w:tr>
      <w:tr>
        <w:trPr>
          <w:trHeight w:val="169"/>
        </w:trPr>
        <w:tc>
          <w:tcPr>
            <w:tcW w:w="38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Total investments</w:t>
            </w: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1,081,619</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1,021,189</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60,430</w:t>
            </w:r>
          </w:p>
        </w:tc>
        <w:tc>
          <w:tcPr>
            <w:tcW w:w="40" w:type="dxa"/>
            <w:vAlign w:val="bottom"/>
          </w:tcPr>
          <w:p>
            <w:pPr>
              <w:spacing w:after="0"/>
              <w:rPr>
                <w:sz w:val="14"/>
                <w:szCs w:val="14"/>
                <w:color w:val="auto"/>
              </w:rPr>
            </w:pPr>
          </w:p>
        </w:tc>
      </w:tr>
      <w:tr>
        <w:trPr>
          <w:trHeight w:val="169"/>
        </w:trPr>
        <w:tc>
          <w:tcPr>
            <w:tcW w:w="384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tcBorders>
              <w:bottom w:val="single" w:sz="8" w:color="auto"/>
            </w:tcBorders>
            <w:shd w:val="clear" w:color="auto" w:fill="CCECFF"/>
          </w:tcPr>
          <w:p>
            <w:pPr>
              <w:spacing w:after="0"/>
              <w:rPr>
                <w:sz w:val="14"/>
                <w:szCs w:val="14"/>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49,826</w:t>
            </w:r>
          </w:p>
        </w:tc>
        <w:tc>
          <w:tcPr>
            <w:tcW w:w="200" w:type="dxa"/>
            <w:vAlign w:val="bottom"/>
            <w:tcBorders>
              <w:bottom w:val="single" w:sz="8" w:color="CCECFF"/>
            </w:tcBorders>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49,826</w:t>
            </w:r>
          </w:p>
        </w:tc>
        <w:tc>
          <w:tcPr>
            <w:tcW w:w="200" w:type="dxa"/>
            <w:vAlign w:val="bottom"/>
            <w:tcBorders>
              <w:bottom w:val="single" w:sz="8" w:color="CCECFF"/>
            </w:tcBorders>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CFF"/>
            </w:tcBorders>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CFF"/>
            </w:tcBorders>
            <w:shd w:val="clear" w:color="auto" w:fill="CCECFF"/>
          </w:tcPr>
          <w:p>
            <w:pPr>
              <w:spacing w:after="0"/>
              <w:rPr>
                <w:sz w:val="14"/>
                <w:szCs w:val="14"/>
                <w:color w:val="auto"/>
              </w:rPr>
            </w:pPr>
          </w:p>
        </w:tc>
      </w:tr>
      <w:tr>
        <w:trPr>
          <w:trHeight w:val="169"/>
        </w:trPr>
        <w:tc>
          <w:tcPr>
            <w:tcW w:w="38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Total investments and cash and cash equivalents</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1,131,445</w:t>
            </w:r>
          </w:p>
        </w:tc>
        <w:tc>
          <w:tcPr>
            <w:tcW w:w="200" w:type="dxa"/>
            <w:vAlign w:val="bottom"/>
          </w:tcPr>
          <w:p>
            <w:pPr>
              <w:spacing w:after="0"/>
              <w:rPr>
                <w:sz w:val="14"/>
                <w:szCs w:val="14"/>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49,826</w:t>
            </w:r>
          </w:p>
        </w:tc>
        <w:tc>
          <w:tcPr>
            <w:tcW w:w="200" w:type="dxa"/>
            <w:vAlign w:val="bottom"/>
          </w:tcPr>
          <w:p>
            <w:pPr>
              <w:spacing w:after="0"/>
              <w:rPr>
                <w:sz w:val="14"/>
                <w:szCs w:val="14"/>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1,021,189</w:t>
            </w:r>
          </w:p>
        </w:tc>
        <w:tc>
          <w:tcPr>
            <w:tcW w:w="1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60,430</w:t>
            </w:r>
          </w:p>
        </w:tc>
        <w:tc>
          <w:tcPr>
            <w:tcW w:w="40" w:type="dxa"/>
            <w:vAlign w:val="bottom"/>
          </w:tcPr>
          <w:p>
            <w:pPr>
              <w:spacing w:after="0"/>
              <w:rPr>
                <w:sz w:val="14"/>
                <w:szCs w:val="14"/>
                <w:color w:val="auto"/>
              </w:rPr>
            </w:pPr>
          </w:p>
        </w:tc>
      </w:tr>
      <w:tr>
        <w:trPr>
          <w:trHeight w:val="20"/>
        </w:trPr>
        <w:tc>
          <w:tcPr>
            <w:tcW w:w="38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6"/>
        </w:trPr>
        <w:tc>
          <w:tcPr>
            <w:tcW w:w="3840" w:type="dxa"/>
            <w:vAlign w:val="bottom"/>
            <w:gridSpan w:val="2"/>
            <w:shd w:val="clear" w:color="auto" w:fill="CCECFF"/>
          </w:tcPr>
          <w:p>
            <w:pPr>
              <w:ind w:left="20"/>
              <w:spacing w:after="0" w:line="156" w:lineRule="exact"/>
              <w:rPr>
                <w:sz w:val="20"/>
                <w:szCs w:val="20"/>
                <w:color w:val="auto"/>
              </w:rPr>
            </w:pPr>
            <w:r>
              <w:rPr>
                <w:rFonts w:ascii="Times New Roman" w:cs="Times New Roman" w:eastAsia="Times New Roman" w:hAnsi="Times New Roman"/>
                <w:sz w:val="14"/>
                <w:szCs w:val="14"/>
                <w:color w:val="auto"/>
              </w:rPr>
              <w:t>Credit Facility payable</w:t>
            </w:r>
          </w:p>
        </w:tc>
        <w:tc>
          <w:tcPr>
            <w:tcW w:w="220" w:type="dxa"/>
            <w:vAlign w:val="bottom"/>
            <w:tcBorders>
              <w:top w:val="single" w:sz="8" w:color="auto"/>
            </w:tcBorders>
            <w:shd w:val="clear" w:color="auto" w:fill="CCECFF"/>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218,852</w:t>
            </w:r>
          </w:p>
        </w:tc>
        <w:tc>
          <w:tcPr>
            <w:tcW w:w="200" w:type="dxa"/>
            <w:vAlign w:val="bottom"/>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0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0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218,852</w:t>
            </w:r>
          </w:p>
        </w:tc>
        <w:tc>
          <w:tcPr>
            <w:tcW w:w="180" w:type="dxa"/>
            <w:vAlign w:val="bottom"/>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CFF"/>
          </w:tcPr>
          <w:p>
            <w:pPr>
              <w:spacing w:after="0"/>
              <w:rPr>
                <w:sz w:val="13"/>
                <w:szCs w:val="13"/>
                <w:color w:val="auto"/>
              </w:rPr>
            </w:pPr>
          </w:p>
        </w:tc>
      </w:tr>
      <w:tr>
        <w:trPr>
          <w:trHeight w:val="175"/>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2023 Notes payable</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111,114</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111,114</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r>
      <w:tr>
        <w:trPr>
          <w:trHeight w:val="175"/>
        </w:trPr>
        <w:tc>
          <w:tcPr>
            <w:tcW w:w="3840" w:type="dxa"/>
            <w:vAlign w:val="bottom"/>
            <w:gridSpan w:val="2"/>
            <w:shd w:val="clear" w:color="auto" w:fill="CCECFF"/>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2026 Notes payable </w:t>
            </w:r>
            <w:r>
              <w:rPr>
                <w:rFonts w:ascii="Times New Roman" w:cs="Times New Roman" w:eastAsia="Times New Roman" w:hAnsi="Times New Roman"/>
                <w:sz w:val="19"/>
                <w:szCs w:val="19"/>
                <w:color w:val="auto"/>
                <w:vertAlign w:val="superscript"/>
              </w:rPr>
              <w:t>(2)</w:t>
            </w:r>
          </w:p>
        </w:tc>
        <w:tc>
          <w:tcPr>
            <w:tcW w:w="220" w:type="dxa"/>
            <w:vAlign w:val="bottom"/>
            <w:shd w:val="clear" w:color="auto" w:fill="CCECFF"/>
          </w:tcPr>
          <w:p>
            <w:pPr>
              <w:spacing w:after="0"/>
              <w:rPr>
                <w:sz w:val="15"/>
                <w:szCs w:val="15"/>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97,171</w:t>
            </w:r>
          </w:p>
        </w:tc>
        <w:tc>
          <w:tcPr>
            <w:tcW w:w="20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97,171</w:t>
            </w:r>
          </w:p>
        </w:tc>
        <w:tc>
          <w:tcPr>
            <w:tcW w:w="20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CFF"/>
          </w:tcPr>
          <w:p>
            <w:pPr>
              <w:spacing w:after="0"/>
              <w:rPr>
                <w:sz w:val="15"/>
                <w:szCs w:val="15"/>
                <w:color w:val="auto"/>
              </w:rPr>
            </w:pPr>
          </w:p>
        </w:tc>
      </w:tr>
      <w:tr>
        <w:trPr>
          <w:trHeight w:val="175"/>
        </w:trPr>
        <w:tc>
          <w:tcPr>
            <w:tcW w:w="384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4"/>
                <w:szCs w:val="14"/>
                <w:color w:val="auto"/>
              </w:rPr>
              <w:t>2031 Asset-Backed Debt</w:t>
            </w:r>
            <w:r>
              <w:rPr>
                <w:rFonts w:ascii="Times New Roman" w:cs="Times New Roman" w:eastAsia="Times New Roman" w:hAnsi="Times New Roman"/>
                <w:sz w:val="19"/>
                <w:szCs w:val="19"/>
                <w:color w:val="auto"/>
                <w:vertAlign w:val="superscript"/>
              </w:rPr>
              <w:t>(2)</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225,497</w:t>
            </w: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225,497</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r>
      <w:tr>
        <w:trPr>
          <w:trHeight w:val="209"/>
        </w:trPr>
        <w:tc>
          <w:tcPr>
            <w:tcW w:w="3840" w:type="dxa"/>
            <w:vAlign w:val="bottom"/>
            <w:tcBorders>
              <w:bottom w:val="single" w:sz="8" w:color="CCECFF"/>
            </w:tcBorders>
            <w:gridSpan w:val="2"/>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Total debt</w:t>
            </w:r>
          </w:p>
        </w:tc>
        <w:tc>
          <w:tcPr>
            <w:tcW w:w="220" w:type="dxa"/>
            <w:vAlign w:val="bottom"/>
            <w:tcBorders>
              <w:bottom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652,633</w:t>
            </w:r>
          </w:p>
        </w:tc>
        <w:tc>
          <w:tcPr>
            <w:tcW w:w="20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auto"/>
            </w:tcBorders>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111,114</w:t>
            </w:r>
          </w:p>
        </w:tc>
        <w:tc>
          <w:tcPr>
            <w:tcW w:w="20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97,171</w:t>
            </w:r>
          </w:p>
        </w:tc>
        <w:tc>
          <w:tcPr>
            <w:tcW w:w="20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auto"/>
            </w:tcBorders>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444,349</w:t>
            </w:r>
          </w:p>
        </w:tc>
        <w:tc>
          <w:tcPr>
            <w:tcW w:w="18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CFF"/>
            </w:tcBorders>
            <w:shd w:val="clear" w:color="auto" w:fill="CCEC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-976630</wp:posOffset>
            </wp:positionV>
            <wp:extent cx="342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-976630</wp:posOffset>
            </wp:positionV>
            <wp:extent cx="342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-976630</wp:posOffset>
            </wp:positionV>
            <wp:extent cx="3429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-976630</wp:posOffset>
            </wp:positionV>
            <wp:extent cx="2603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-976630</wp:posOffset>
            </wp:positionV>
            <wp:extent cx="2603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-736600</wp:posOffset>
            </wp:positionV>
            <wp:extent cx="3429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-736600</wp:posOffset>
            </wp:positionV>
            <wp:extent cx="3429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-736600</wp:posOffset>
            </wp:positionV>
            <wp:extent cx="3429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-736600</wp:posOffset>
            </wp:positionV>
            <wp:extent cx="2603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-736600</wp:posOffset>
            </wp:positionV>
            <wp:extent cx="2603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-24765</wp:posOffset>
            </wp:positionV>
            <wp:extent cx="3429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-7620</wp:posOffset>
            </wp:positionV>
            <wp:extent cx="3429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-24765</wp:posOffset>
            </wp:positionV>
            <wp:extent cx="3429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3429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-24765</wp:posOffset>
            </wp:positionV>
            <wp:extent cx="3429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3429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2603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2603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-24765</wp:posOffset>
            </wp:positionV>
            <wp:extent cx="2603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-7620</wp:posOffset>
            </wp:positionV>
            <wp:extent cx="2603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201" w:lineRule="exact"/>
        <w:rPr>
          <w:sz w:val="20"/>
          <w:szCs w:val="20"/>
          <w:color w:val="auto"/>
        </w:rPr>
      </w:pPr>
    </w:p>
    <w:p>
      <w:pPr>
        <w:ind w:left="380" w:right="80" w:hanging="372"/>
        <w:spacing w:after="0" w:line="212" w:lineRule="auto"/>
        <w:tabs>
          <w:tab w:leader="none" w:pos="380"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 accordance with ASC Subtopic 820-10, Fair Value Measurements and Disclosures, or ASC 820-10, our equity investment in PSSL is measured using the net asset value per share (or its equivalent) as a practical expedient for fair value, and thus has not been classified in the fair value hierarchy.</w:t>
      </w:r>
    </w:p>
    <w:p>
      <w:pPr>
        <w:spacing w:after="0" w:line="26" w:lineRule="exact"/>
        <w:rPr>
          <w:rFonts w:ascii="Times New Roman" w:cs="Times New Roman" w:eastAsia="Times New Roman" w:hAnsi="Times New Roman"/>
          <w:sz w:val="16"/>
          <w:szCs w:val="16"/>
          <w:color w:val="auto"/>
          <w:vertAlign w:val="superscript"/>
        </w:rPr>
      </w:pPr>
    </w:p>
    <w:p>
      <w:pPr>
        <w:ind w:left="380" w:right="420" w:hanging="372"/>
        <w:spacing w:after="0" w:line="212" w:lineRule="auto"/>
        <w:tabs>
          <w:tab w:leader="none" w:pos="380"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We elected not to apply the fair value option allowed by ASC 825-10 to the 2031 Asset-Backed Debt and thus the balance reported in the Consolidated Statement of Assets and Liabilities represents the carrying value, which approximates the fair value.</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tables below show a reconciliation of the beginning and ending balances for fair valued investments measured using significant unobservable inputs (Level 3) ($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6"/>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Six months ended March 31, 2022</w:t>
            </w:r>
          </w:p>
        </w:tc>
        <w:tc>
          <w:tcPr>
            <w:tcW w:w="10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Second lien,</w:t>
            </w: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subordinated</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First Lien</w:t>
            </w:r>
          </w:p>
        </w:tc>
        <w:tc>
          <w:tcPr>
            <w:tcW w:w="1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debt and equity</w:t>
            </w:r>
          </w:p>
        </w:tc>
        <w:tc>
          <w:tcPr>
            <w:tcW w:w="300" w:type="dxa"/>
            <w:vAlign w:val="bottom"/>
          </w:tcPr>
          <w:p>
            <w:pPr>
              <w:spacing w:after="0"/>
              <w:rPr>
                <w:sz w:val="12"/>
                <w:szCs w:val="12"/>
                <w:color w:val="auto"/>
              </w:rPr>
            </w:pPr>
          </w:p>
        </w:tc>
        <w:tc>
          <w:tcPr>
            <w:tcW w:w="114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87"/>
        </w:trPr>
        <w:tc>
          <w:tcPr>
            <w:tcW w:w="516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3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6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240" w:type="dxa"/>
            <w:vAlign w:val="bottom"/>
            <w:tcBorders>
              <w:top w:val="single" w:sz="8" w:color="auto"/>
            </w:tcBorders>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934,418</w:t>
            </w:r>
          </w:p>
        </w:tc>
        <w:tc>
          <w:tcPr>
            <w:tcW w:w="220" w:type="dxa"/>
            <w:vAlign w:val="bottom"/>
            <w:shd w:val="clear" w:color="auto" w:fill="CCECFF"/>
          </w:tcPr>
          <w:p>
            <w:pPr>
              <w:spacing w:after="0"/>
              <w:rPr>
                <w:sz w:val="14"/>
                <w:szCs w:val="14"/>
                <w:color w:val="auto"/>
              </w:rPr>
            </w:pPr>
          </w:p>
        </w:tc>
        <w:tc>
          <w:tcPr>
            <w:tcW w:w="1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86,771</w:t>
            </w:r>
          </w:p>
        </w:tc>
        <w:tc>
          <w:tcPr>
            <w:tcW w:w="220" w:type="dxa"/>
            <w:vAlign w:val="bottom"/>
            <w:shd w:val="clear" w:color="auto" w:fill="CCECFF"/>
          </w:tcPr>
          <w:p>
            <w:pPr>
              <w:spacing w:after="0"/>
              <w:rPr>
                <w:sz w:val="14"/>
                <w:szCs w:val="14"/>
                <w:color w:val="auto"/>
              </w:rPr>
            </w:pPr>
          </w:p>
        </w:tc>
        <w:tc>
          <w:tcPr>
            <w:tcW w:w="300" w:type="dxa"/>
            <w:vAlign w:val="bottom"/>
            <w:tcBorders>
              <w:top w:val="single" w:sz="8" w:color="auto"/>
            </w:tcBorders>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1,021,189</w:t>
            </w: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1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realized losses</w:t>
            </w: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(13,118 )</w:t>
            </w:r>
          </w:p>
        </w:tc>
        <w:tc>
          <w:tcPr>
            <w:tcW w:w="30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(12,681 )</w:t>
            </w:r>
          </w:p>
        </w:tc>
        <w:tc>
          <w:tcPr>
            <w:tcW w:w="0" w:type="dxa"/>
            <w:vAlign w:val="bottom"/>
          </w:tcPr>
          <w:p>
            <w:pPr>
              <w:spacing w:after="0"/>
              <w:rPr>
                <w:sz w:val="1"/>
                <w:szCs w:val="1"/>
                <w:color w:val="auto"/>
              </w:rPr>
            </w:pPr>
          </w:p>
        </w:tc>
      </w:tr>
      <w:tr>
        <w:trPr>
          <w:trHeight w:val="175"/>
        </w:trPr>
        <w:tc>
          <w:tcPr>
            <w:tcW w:w="516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Net change in unrealized depreciation</w:t>
            </w:r>
          </w:p>
        </w:tc>
        <w:tc>
          <w:tcPr>
            <w:tcW w:w="124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40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4"/>
                <w:szCs w:val="14"/>
                <w:color w:val="auto"/>
              </w:rPr>
              <w:t>(609 )</w:t>
            </w:r>
          </w:p>
        </w:tc>
        <w:tc>
          <w:tcPr>
            <w:tcW w:w="140" w:type="dxa"/>
            <w:vAlign w:val="bottom"/>
            <w:shd w:val="clear" w:color="auto" w:fill="CCECFF"/>
          </w:tcPr>
          <w:p>
            <w:pPr>
              <w:spacing w:after="0"/>
              <w:rPr>
                <w:sz w:val="15"/>
                <w:szCs w:val="15"/>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17,098</w:t>
            </w:r>
          </w:p>
        </w:tc>
        <w:tc>
          <w:tcPr>
            <w:tcW w:w="22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16,489</w:t>
            </w: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Purchases, PIK interest, net discount accretion and non-cash exchanges</w:t>
            </w: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419,465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19,468</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438,933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6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Sales, repayments and non-cash exchanges</w:t>
            </w:r>
          </w:p>
        </w:tc>
        <w:tc>
          <w:tcPr>
            <w:tcW w:w="124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40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4"/>
                <w:szCs w:val="14"/>
                <w:color w:val="auto"/>
              </w:rPr>
              <w:t>(321,779 )</w:t>
            </w:r>
          </w:p>
        </w:tc>
        <w:tc>
          <w:tcPr>
            <w:tcW w:w="140" w:type="dxa"/>
            <w:vAlign w:val="bottom"/>
            <w:shd w:val="clear" w:color="auto" w:fill="CCECFF"/>
          </w:tcPr>
          <w:p>
            <w:pPr>
              <w:spacing w:after="0"/>
              <w:rPr>
                <w:sz w:val="15"/>
                <w:szCs w:val="15"/>
                <w:color w:val="auto"/>
              </w:rPr>
            </w:pPr>
          </w:p>
        </w:tc>
        <w:tc>
          <w:tcPr>
            <w:tcW w:w="14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4"/>
                <w:szCs w:val="14"/>
                <w:color w:val="auto"/>
              </w:rPr>
              <w:t>(16,293 )</w:t>
            </w:r>
          </w:p>
        </w:tc>
        <w:tc>
          <w:tcPr>
            <w:tcW w:w="300" w:type="dxa"/>
            <w:vAlign w:val="bottom"/>
            <w:shd w:val="clear" w:color="auto" w:fill="CCECFF"/>
          </w:tcPr>
          <w:p>
            <w:pPr>
              <w:spacing w:after="0"/>
              <w:rPr>
                <w:sz w:val="15"/>
                <w:szCs w:val="15"/>
                <w:color w:val="auto"/>
              </w:rPr>
            </w:pPr>
          </w:p>
        </w:tc>
        <w:tc>
          <w:tcPr>
            <w:tcW w:w="11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(338,072 )</w:t>
            </w:r>
          </w:p>
        </w:tc>
        <w:tc>
          <w:tcPr>
            <w:tcW w:w="0" w:type="dxa"/>
            <w:vAlign w:val="bottom"/>
          </w:tcPr>
          <w:p>
            <w:pPr>
              <w:spacing w:after="0"/>
              <w:rPr>
                <w:sz w:val="1"/>
                <w:szCs w:val="1"/>
                <w:color w:val="auto"/>
              </w:rPr>
            </w:pPr>
          </w:p>
        </w:tc>
      </w:tr>
      <w:tr>
        <w:trPr>
          <w:trHeight w:val="175"/>
        </w:trPr>
        <w:tc>
          <w:tcPr>
            <w:tcW w:w="51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Transfers in and/or out of Level 3</w:t>
            </w: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51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400" w:type="dxa"/>
            <w:vAlign w:val="bottom"/>
            <w:tcBorders>
              <w:bottom w:val="single" w:sz="8" w:color="CCECFF"/>
            </w:tcBorders>
            <w:gridSpan w:val="2"/>
            <w:shd w:val="clear" w:color="auto" w:fill="CCECFF"/>
          </w:tcPr>
          <w:p>
            <w:pPr>
              <w:spacing w:after="0"/>
              <w:rPr>
                <w:sz w:val="18"/>
                <w:szCs w:val="18"/>
                <w:color w:val="auto"/>
              </w:rPr>
            </w:pPr>
          </w:p>
        </w:tc>
        <w:tc>
          <w:tcPr>
            <w:tcW w:w="240" w:type="dxa"/>
            <w:vAlign w:val="bottom"/>
            <w:tcBorders>
              <w:top w:val="single" w:sz="8" w:color="auto"/>
              <w:bottom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1,031,932</w:t>
            </w:r>
          </w:p>
        </w:tc>
        <w:tc>
          <w:tcPr>
            <w:tcW w:w="220" w:type="dxa"/>
            <w:vAlign w:val="bottom"/>
            <w:tcBorders>
              <w:bottom w:val="single" w:sz="8" w:color="CCECFF"/>
            </w:tcBorders>
            <w:shd w:val="clear" w:color="auto" w:fill="CCECFF"/>
          </w:tcPr>
          <w:p>
            <w:pPr>
              <w:spacing w:after="0"/>
              <w:rPr>
                <w:sz w:val="18"/>
                <w:szCs w:val="18"/>
                <w:color w:val="auto"/>
              </w:rPr>
            </w:pPr>
          </w:p>
        </w:tc>
        <w:tc>
          <w:tcPr>
            <w:tcW w:w="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93,926</w:t>
            </w:r>
          </w:p>
        </w:tc>
        <w:tc>
          <w:tcPr>
            <w:tcW w:w="22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top w:val="single" w:sz="8" w:color="auto"/>
              <w:bottom w:val="single" w:sz="8" w:color="auto"/>
            </w:tcBorders>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1,125,858</w:t>
            </w:r>
          </w:p>
        </w:tc>
        <w:tc>
          <w:tcPr>
            <w:tcW w:w="6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516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color w:val="auto"/>
              </w:rPr>
              <w:t>Net change in unrealized depreciation reported within the net change in unrealized</w:t>
            </w:r>
          </w:p>
        </w:tc>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on investments in our Consolidated Statements of Operations</w:t>
            </w:r>
          </w:p>
        </w:tc>
        <w:tc>
          <w:tcPr>
            <w:tcW w:w="1640" w:type="dxa"/>
            <w:vAlign w:val="bottom"/>
            <w:gridSpan w:val="3"/>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2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16,874</w:t>
            </w:r>
          </w:p>
        </w:tc>
        <w:tc>
          <w:tcPr>
            <w:tcW w:w="220" w:type="dxa"/>
            <w:vAlign w:val="bottom"/>
          </w:tcPr>
          <w:p>
            <w:pPr>
              <w:spacing w:after="0"/>
              <w:rPr>
                <w:sz w:val="14"/>
                <w:szCs w:val="14"/>
                <w:color w:val="auto"/>
              </w:rPr>
            </w:pPr>
          </w:p>
        </w:tc>
        <w:tc>
          <w:tcPr>
            <w:tcW w:w="3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17,385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160" w:type="dxa"/>
            <w:vAlign w:val="bottom"/>
          </w:tcPr>
          <w:p>
            <w:pPr>
              <w:ind w:left="120"/>
              <w:spacing w:after="0" w:line="125" w:lineRule="exact"/>
              <w:rPr>
                <w:sz w:val="20"/>
                <w:szCs w:val="20"/>
                <w:color w:val="auto"/>
              </w:rPr>
            </w:pPr>
            <w:r>
              <w:rPr>
                <w:rFonts w:ascii="Times New Roman" w:cs="Times New Roman" w:eastAsia="Times New Roman" w:hAnsi="Times New Roman"/>
                <w:sz w:val="14"/>
                <w:szCs w:val="14"/>
                <w:color w:val="auto"/>
              </w:rPr>
              <w:t>attributable to our Level 3 assets still held at the reporting date.</w:t>
            </w:r>
          </w:p>
        </w:tc>
        <w:tc>
          <w:tcPr>
            <w:tcW w:w="1640" w:type="dxa"/>
            <w:vAlign w:val="bottom"/>
            <w:gridSpan w:val="3"/>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40" w:type="dxa"/>
            <w:vAlign w:val="bottom"/>
            <w:vMerge w:val="restart"/>
          </w:tcPr>
          <w:p>
            <w:pPr>
              <w:jc w:val="right"/>
              <w:ind w:right="628"/>
              <w:spacing w:after="0"/>
              <w:rPr>
                <w:sz w:val="20"/>
                <w:szCs w:val="20"/>
                <w:color w:val="auto"/>
              </w:rPr>
            </w:pPr>
            <w:r>
              <w:rPr>
                <w:rFonts w:ascii="Times New Roman" w:cs="Times New Roman" w:eastAsia="Times New Roman" w:hAnsi="Times New Roman"/>
                <w:sz w:val="14"/>
                <w:szCs w:val="14"/>
                <w:color w:val="auto"/>
              </w:rPr>
              <w:t>31</w:t>
            </w: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516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1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-659130</wp:posOffset>
            </wp:positionV>
            <wp:extent cx="5143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-641985</wp:posOffset>
            </wp:positionV>
            <wp:extent cx="5143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-659130</wp:posOffset>
            </wp:positionV>
            <wp:extent cx="431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-641985</wp:posOffset>
            </wp:positionV>
            <wp:extent cx="431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-659130</wp:posOffset>
            </wp:positionV>
            <wp:extent cx="431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-641985</wp:posOffset>
            </wp:positionV>
            <wp:extent cx="431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Six months ended March 31, 2021</w:t>
            </w:r>
          </w:p>
        </w:tc>
        <w:tc>
          <w:tcPr>
            <w:tcW w:w="10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6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Second lien,</w:t>
            </w: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subordinated</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40" w:type="dxa"/>
            <w:vAlign w:val="bottom"/>
          </w:tcPr>
          <w:p>
            <w:pPr>
              <w:spacing w:after="0"/>
              <w:rPr>
                <w:sz w:val="12"/>
                <w:szCs w:val="12"/>
                <w:color w:val="auto"/>
              </w:rPr>
            </w:pPr>
          </w:p>
        </w:tc>
        <w:tc>
          <w:tcPr>
            <w:tcW w:w="138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First Lien</w:t>
            </w:r>
          </w:p>
        </w:tc>
        <w:tc>
          <w:tcPr>
            <w:tcW w:w="160" w:type="dxa"/>
            <w:vAlign w:val="bottom"/>
          </w:tcPr>
          <w:p>
            <w:pPr>
              <w:spacing w:after="0"/>
              <w:rPr>
                <w:sz w:val="12"/>
                <w:szCs w:val="12"/>
                <w:color w:val="auto"/>
              </w:rPr>
            </w:pPr>
          </w:p>
        </w:tc>
        <w:tc>
          <w:tcPr>
            <w:tcW w:w="14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debt and equity</w:t>
            </w:r>
          </w:p>
        </w:tc>
        <w:tc>
          <w:tcPr>
            <w:tcW w:w="320" w:type="dxa"/>
            <w:vAlign w:val="bottom"/>
          </w:tcPr>
          <w:p>
            <w:pPr>
              <w:spacing w:after="0"/>
              <w:rPr>
                <w:sz w:val="12"/>
                <w:szCs w:val="12"/>
                <w:color w:val="auto"/>
              </w:rPr>
            </w:pPr>
          </w:p>
        </w:tc>
        <w:tc>
          <w:tcPr>
            <w:tcW w:w="11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87"/>
        </w:trPr>
        <w:tc>
          <w:tcPr>
            <w:tcW w:w="66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3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44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6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968,616</w:t>
            </w:r>
          </w:p>
        </w:tc>
        <w:tc>
          <w:tcPr>
            <w:tcW w:w="240" w:type="dxa"/>
            <w:vAlign w:val="bottom"/>
            <w:shd w:val="clear" w:color="auto" w:fill="CCECFF"/>
          </w:tcPr>
          <w:p>
            <w:pPr>
              <w:spacing w:after="0"/>
              <w:rPr>
                <w:sz w:val="14"/>
                <w:szCs w:val="14"/>
                <w:color w:val="auto"/>
              </w:rPr>
            </w:pPr>
          </w:p>
        </w:tc>
        <w:tc>
          <w:tcPr>
            <w:tcW w:w="1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78,402</w:t>
            </w:r>
          </w:p>
        </w:tc>
        <w:tc>
          <w:tcPr>
            <w:tcW w:w="200" w:type="dxa"/>
            <w:vAlign w:val="bottom"/>
            <w:shd w:val="clear" w:color="auto" w:fill="CCECFF"/>
          </w:tcPr>
          <w:p>
            <w:pPr>
              <w:spacing w:after="0"/>
              <w:rPr>
                <w:sz w:val="14"/>
                <w:szCs w:val="14"/>
                <w:color w:val="auto"/>
              </w:rPr>
            </w:pPr>
          </w:p>
        </w:tc>
        <w:tc>
          <w:tcPr>
            <w:tcW w:w="320" w:type="dxa"/>
            <w:vAlign w:val="bottom"/>
            <w:tcBorders>
              <w:top w:val="single" w:sz="8" w:color="auto"/>
            </w:tcBorders>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1,047,018</w:t>
            </w: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Net realized losses</w:t>
            </w:r>
          </w:p>
        </w:tc>
        <w:tc>
          <w:tcPr>
            <w:tcW w:w="24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(413 )</w:t>
            </w:r>
          </w:p>
        </w:tc>
        <w:tc>
          <w:tcPr>
            <w:tcW w:w="16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(1,027 )</w:t>
            </w:r>
          </w:p>
        </w:tc>
        <w:tc>
          <w:tcPr>
            <w:tcW w:w="3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(1,440 )</w:t>
            </w:r>
          </w:p>
        </w:tc>
        <w:tc>
          <w:tcPr>
            <w:tcW w:w="0" w:type="dxa"/>
            <w:vAlign w:val="bottom"/>
          </w:tcPr>
          <w:p>
            <w:pPr>
              <w:spacing w:after="0"/>
              <w:rPr>
                <w:sz w:val="1"/>
                <w:szCs w:val="1"/>
                <w:color w:val="auto"/>
              </w:rPr>
            </w:pPr>
          </w:p>
        </w:tc>
      </w:tr>
      <w:tr>
        <w:trPr>
          <w:trHeight w:val="175"/>
        </w:trPr>
        <w:tc>
          <w:tcPr>
            <w:tcW w:w="6600" w:type="dxa"/>
            <w:vAlign w:val="bottom"/>
            <w:gridSpan w:val="2"/>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Net change in unrealized depreciation</w:t>
            </w:r>
          </w:p>
        </w:tc>
        <w:tc>
          <w:tcPr>
            <w:tcW w:w="240" w:type="dxa"/>
            <w:vAlign w:val="bottom"/>
            <w:shd w:val="clear" w:color="auto" w:fill="CCECFF"/>
          </w:tcPr>
          <w:p>
            <w:pPr>
              <w:spacing w:after="0"/>
              <w:rPr>
                <w:sz w:val="15"/>
                <w:szCs w:val="15"/>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10,248</w:t>
            </w:r>
          </w:p>
        </w:tc>
        <w:tc>
          <w:tcPr>
            <w:tcW w:w="24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19,336</w:t>
            </w:r>
          </w:p>
        </w:tc>
        <w:tc>
          <w:tcPr>
            <w:tcW w:w="20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29,584</w:t>
            </w: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Purchases, PIK interest, net discount accretion and non-cash exchanges</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217,674</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12,466</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230,140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0" w:type="dxa"/>
            <w:vAlign w:val="bottom"/>
            <w:gridSpan w:val="2"/>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Sales, repayments and non-cash exchanges</w:t>
            </w:r>
          </w:p>
        </w:tc>
        <w:tc>
          <w:tcPr>
            <w:tcW w:w="240" w:type="dxa"/>
            <w:vAlign w:val="bottom"/>
            <w:shd w:val="clear" w:color="auto" w:fill="CCECFF"/>
          </w:tcPr>
          <w:p>
            <w:pPr>
              <w:spacing w:after="0"/>
              <w:rPr>
                <w:sz w:val="15"/>
                <w:szCs w:val="15"/>
                <w:color w:val="auto"/>
              </w:rPr>
            </w:pPr>
          </w:p>
        </w:tc>
        <w:tc>
          <w:tcPr>
            <w:tcW w:w="13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(280,157 )</w:t>
            </w:r>
          </w:p>
        </w:tc>
        <w:tc>
          <w:tcPr>
            <w:tcW w:w="160" w:type="dxa"/>
            <w:vAlign w:val="bottom"/>
            <w:shd w:val="clear" w:color="auto" w:fill="CCECFF"/>
          </w:tcPr>
          <w:p>
            <w:pPr>
              <w:spacing w:after="0"/>
              <w:rPr>
                <w:sz w:val="15"/>
                <w:szCs w:val="15"/>
                <w:color w:val="auto"/>
              </w:rPr>
            </w:pPr>
          </w:p>
        </w:tc>
        <w:tc>
          <w:tcPr>
            <w:tcW w:w="1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4"/>
                <w:szCs w:val="14"/>
                <w:color w:val="auto"/>
              </w:rPr>
              <w:t>(1,513 )</w:t>
            </w:r>
          </w:p>
        </w:tc>
        <w:tc>
          <w:tcPr>
            <w:tcW w:w="320" w:type="dxa"/>
            <w:vAlign w:val="bottom"/>
            <w:shd w:val="clear" w:color="auto" w:fill="CCECFF"/>
          </w:tcPr>
          <w:p>
            <w:pPr>
              <w:spacing w:after="0"/>
              <w:rPr>
                <w:sz w:val="15"/>
                <w:szCs w:val="15"/>
                <w:color w:val="auto"/>
              </w:rPr>
            </w:pPr>
          </w:p>
        </w:tc>
        <w:tc>
          <w:tcPr>
            <w:tcW w:w="11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(281,670 )</w:t>
            </w:r>
          </w:p>
        </w:tc>
        <w:tc>
          <w:tcPr>
            <w:tcW w:w="0" w:type="dxa"/>
            <w:vAlign w:val="bottom"/>
          </w:tcPr>
          <w:p>
            <w:pPr>
              <w:spacing w:after="0"/>
              <w:rPr>
                <w:sz w:val="1"/>
                <w:szCs w:val="1"/>
                <w:color w:val="auto"/>
              </w:rPr>
            </w:pPr>
          </w:p>
        </w:tc>
      </w:tr>
      <w:tr>
        <w:trPr>
          <w:trHeight w:val="176"/>
        </w:trPr>
        <w:tc>
          <w:tcPr>
            <w:tcW w:w="66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Transfers in and/or out of Level 3</w:t>
            </w:r>
          </w:p>
        </w:tc>
        <w:tc>
          <w:tcPr>
            <w:tcW w:w="240" w:type="dxa"/>
            <w:vAlign w:val="bottom"/>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660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240" w:type="dxa"/>
            <w:vAlign w:val="bottom"/>
            <w:tcBorders>
              <w:top w:val="single" w:sz="8" w:color="auto"/>
              <w:bottom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915,968</w:t>
            </w:r>
          </w:p>
        </w:tc>
        <w:tc>
          <w:tcPr>
            <w:tcW w:w="240" w:type="dxa"/>
            <w:vAlign w:val="bottom"/>
            <w:tcBorders>
              <w:bottom w:val="single" w:sz="8" w:color="CCECFF"/>
            </w:tcBorders>
            <w:shd w:val="clear" w:color="auto" w:fill="CCECFF"/>
          </w:tcPr>
          <w:p>
            <w:pPr>
              <w:spacing w:after="0"/>
              <w:rPr>
                <w:sz w:val="18"/>
                <w:szCs w:val="18"/>
                <w:color w:val="auto"/>
              </w:rPr>
            </w:pPr>
          </w:p>
        </w:tc>
        <w:tc>
          <w:tcPr>
            <w:tcW w:w="1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107,664</w:t>
            </w:r>
          </w:p>
        </w:tc>
        <w:tc>
          <w:tcPr>
            <w:tcW w:w="20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top w:val="single" w:sz="8" w:color="auto"/>
              <w:bottom w:val="single" w:sz="8" w:color="auto"/>
            </w:tcBorders>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1,023,632</w:t>
            </w:r>
          </w:p>
        </w:tc>
        <w:tc>
          <w:tcPr>
            <w:tcW w:w="6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660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3"/>
                <w:szCs w:val="13"/>
                <w:color w:val="auto"/>
              </w:rPr>
              <w:t>Net change in unrealized depreciation reported within the net change in unrealized</w:t>
            </w: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66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depreciation on investments in our Consolidated Statements of Operations</w:t>
            </w:r>
          </w:p>
        </w:tc>
        <w:tc>
          <w:tcPr>
            <w:tcW w:w="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8,579</w:t>
            </w:r>
          </w:p>
        </w:tc>
        <w:tc>
          <w:tcPr>
            <w:tcW w:w="24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19,402</w:t>
            </w:r>
          </w:p>
        </w:tc>
        <w:tc>
          <w:tcPr>
            <w:tcW w:w="200" w:type="dxa"/>
            <w:vAlign w:val="bottom"/>
          </w:tcPr>
          <w:p>
            <w:pPr>
              <w:spacing w:after="0"/>
              <w:rPr>
                <w:sz w:val="14"/>
                <w:szCs w:val="14"/>
                <w:color w:val="auto"/>
              </w:rPr>
            </w:pPr>
          </w:p>
        </w:tc>
        <w:tc>
          <w:tcPr>
            <w:tcW w:w="3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27,981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0" w:type="dxa"/>
            <w:vAlign w:val="bottom"/>
            <w:gridSpan w:val="2"/>
          </w:tcPr>
          <w:p>
            <w:pPr>
              <w:ind w:left="120"/>
              <w:spacing w:after="0" w:line="125" w:lineRule="exact"/>
              <w:rPr>
                <w:sz w:val="20"/>
                <w:szCs w:val="20"/>
                <w:color w:val="auto"/>
              </w:rPr>
            </w:pPr>
            <w:r>
              <w:rPr>
                <w:rFonts w:ascii="Times New Roman" w:cs="Times New Roman" w:eastAsia="Times New Roman" w:hAnsi="Times New Roman"/>
                <w:sz w:val="14"/>
                <w:szCs w:val="14"/>
                <w:color w:val="auto"/>
              </w:rPr>
              <w:t>attributable to our Level 3 assets still held at the reporting date.</w:t>
            </w:r>
          </w:p>
        </w:tc>
        <w:tc>
          <w:tcPr>
            <w:tcW w:w="240" w:type="dxa"/>
            <w:vAlign w:val="bottom"/>
            <w:tcBorders>
              <w:bottom w:val="single" w:sz="8" w:color="auto"/>
            </w:tcBorders>
            <w:vMerge w:val="continue"/>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-334010</wp:posOffset>
            </wp:positionV>
            <wp:extent cx="5143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-316865</wp:posOffset>
            </wp:positionV>
            <wp:extent cx="5143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-334010</wp:posOffset>
            </wp:positionV>
            <wp:extent cx="431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-316865</wp:posOffset>
            </wp:positionV>
            <wp:extent cx="431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-334010</wp:posOffset>
            </wp:positionV>
            <wp:extent cx="4318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-316865</wp:posOffset>
            </wp:positionV>
            <wp:extent cx="431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33" w:lineRule="exact"/>
        <w:rPr>
          <w:sz w:val="20"/>
          <w:szCs w:val="20"/>
          <w:color w:val="auto"/>
        </w:rPr>
      </w:pPr>
    </w:p>
    <w:p>
      <w:pPr>
        <w:ind w:right="340" w:firstLine="449"/>
        <w:spacing w:after="0" w:line="282" w:lineRule="auto"/>
        <w:rPr>
          <w:sz w:val="20"/>
          <w:szCs w:val="20"/>
          <w:color w:val="auto"/>
        </w:rPr>
      </w:pPr>
      <w:r>
        <w:rPr>
          <w:rFonts w:ascii="Times New Roman" w:cs="Times New Roman" w:eastAsia="Times New Roman" w:hAnsi="Times New Roman"/>
          <w:sz w:val="14"/>
          <w:szCs w:val="14"/>
          <w:color w:val="auto"/>
        </w:rPr>
        <w:t>The table below shows a reconciliation of the beginning and ending balances for liabilities recognized at fair value and measured using significant unobservable inputs (Level 3)($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Long-Term Credit Facility</w:t>
            </w:r>
          </w:p>
        </w:tc>
        <w:tc>
          <w:tcPr>
            <w:tcW w:w="380" w:type="dxa"/>
            <w:vAlign w:val="bottom"/>
          </w:tcPr>
          <w:p>
            <w:pPr>
              <w:spacing w:after="0"/>
              <w:rPr>
                <w:sz w:val="16"/>
                <w:szCs w:val="16"/>
                <w:color w:val="auto"/>
              </w:rPr>
            </w:pPr>
          </w:p>
        </w:tc>
        <w:tc>
          <w:tcPr>
            <w:tcW w:w="308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0" w:type="dxa"/>
            <w:vAlign w:val="bottom"/>
          </w:tcPr>
          <w:p>
            <w:pPr>
              <w:spacing w:after="0"/>
              <w:rPr>
                <w:sz w:val="1"/>
                <w:szCs w:val="1"/>
                <w:color w:val="auto"/>
              </w:rPr>
            </w:pPr>
          </w:p>
        </w:tc>
      </w:tr>
      <w:tr>
        <w:trPr>
          <w:trHeight w:val="169"/>
        </w:trPr>
        <w:tc>
          <w:tcPr>
            <w:tcW w:w="7780" w:type="dxa"/>
            <w:vAlign w:val="bottom"/>
            <w:gridSpan w:val="2"/>
            <w:vMerge w:val="continue"/>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0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Beginning Balance (cost – $219,400 and $308,599, respectively)</w:t>
            </w:r>
          </w:p>
        </w:tc>
        <w:tc>
          <w:tcPr>
            <w:tcW w:w="180" w:type="dxa"/>
            <w:vAlign w:val="bottom"/>
            <w:shd w:val="clear" w:color="auto" w:fill="CCECFF"/>
          </w:tcPr>
          <w:p>
            <w:pPr>
              <w:spacing w:after="0"/>
              <w:rPr>
                <w:sz w:val="14"/>
                <w:szCs w:val="14"/>
                <w:color w:val="auto"/>
              </w:rPr>
            </w:pPr>
          </w:p>
        </w:tc>
        <w:tc>
          <w:tcPr>
            <w:tcW w:w="380" w:type="dxa"/>
            <w:vAlign w:val="bottom"/>
            <w:tcBorders>
              <w:top w:val="single" w:sz="8" w:color="auto"/>
            </w:tcBorders>
            <w:shd w:val="clear" w:color="auto" w:fill="CCEC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218,852</w:t>
            </w:r>
          </w:p>
        </w:tc>
        <w:tc>
          <w:tcPr>
            <w:tcW w:w="240" w:type="dxa"/>
            <w:vAlign w:val="bottom"/>
            <w:shd w:val="clear" w:color="auto" w:fill="CCECFF"/>
          </w:tcPr>
          <w:p>
            <w:pPr>
              <w:spacing w:after="0"/>
              <w:rPr>
                <w:sz w:val="14"/>
                <w:szCs w:val="14"/>
                <w:color w:val="auto"/>
              </w:rPr>
            </w:pPr>
          </w:p>
        </w:tc>
        <w:tc>
          <w:tcPr>
            <w:tcW w:w="360" w:type="dxa"/>
            <w:vAlign w:val="bottom"/>
            <w:tcBorders>
              <w:top w:val="single" w:sz="8" w:color="auto"/>
            </w:tcBorders>
            <w:shd w:val="clear" w:color="auto" w:fill="CCEC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299,047</w:t>
            </w: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Net change in unrealized (depreciation) appreciation included in earnings</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gridSpan w:val="2"/>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Borrowings</w:t>
            </w:r>
          </w:p>
        </w:tc>
        <w:tc>
          <w:tcPr>
            <w:tcW w:w="380" w:type="dxa"/>
            <w:vAlign w:val="bottom"/>
            <w:shd w:val="clear" w:color="auto" w:fill="CCECFF"/>
          </w:tcPr>
          <w:p>
            <w:pPr>
              <w:spacing w:after="0"/>
              <w:rPr>
                <w:sz w:val="15"/>
                <w:szCs w:val="15"/>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137,254</w:t>
            </w:r>
          </w:p>
        </w:tc>
        <w:tc>
          <w:tcPr>
            <w:tcW w:w="24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113,500</w:t>
            </w: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Repayments</w:t>
            </w:r>
          </w:p>
        </w:tc>
        <w:tc>
          <w:tcPr>
            <w:tcW w:w="380" w:type="dxa"/>
            <w:vAlign w:val="bottom"/>
          </w:tcPr>
          <w:p>
            <w:pPr>
              <w:spacing w:after="0"/>
              <w:rPr>
                <w:sz w:val="15"/>
                <w:szCs w:val="15"/>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(107,000 )</w:t>
            </w:r>
          </w:p>
        </w:tc>
        <w:tc>
          <w:tcPr>
            <w:tcW w:w="36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(275,199 )</w:t>
            </w:r>
          </w:p>
        </w:tc>
        <w:tc>
          <w:tcPr>
            <w:tcW w:w="0" w:type="dxa"/>
            <w:vAlign w:val="bottom"/>
          </w:tcPr>
          <w:p>
            <w:pPr>
              <w:spacing w:after="0"/>
              <w:rPr>
                <w:sz w:val="1"/>
                <w:szCs w:val="1"/>
                <w:color w:val="auto"/>
              </w:rPr>
            </w:pPr>
          </w:p>
        </w:tc>
      </w:tr>
      <w:tr>
        <w:trPr>
          <w:trHeight w:val="176"/>
        </w:trPr>
        <w:tc>
          <w:tcPr>
            <w:tcW w:w="7780" w:type="dxa"/>
            <w:vAlign w:val="bottom"/>
            <w:gridSpan w:val="2"/>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Transfers in and/or out of Level 3</w:t>
            </w:r>
          </w:p>
        </w:tc>
        <w:tc>
          <w:tcPr>
            <w:tcW w:w="380" w:type="dxa"/>
            <w:vAlign w:val="bottom"/>
            <w:shd w:val="clear" w:color="auto" w:fill="CCECFF"/>
          </w:tcPr>
          <w:p>
            <w:pPr>
              <w:spacing w:after="0"/>
              <w:rPr>
                <w:sz w:val="15"/>
                <w:szCs w:val="15"/>
                <w:color w:val="auto"/>
              </w:rPr>
            </w:pPr>
          </w:p>
        </w:tc>
        <w:tc>
          <w:tcPr>
            <w:tcW w:w="14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CFF"/>
          </w:tcPr>
          <w:p>
            <w:pPr>
              <w:spacing w:after="0"/>
              <w:rPr>
                <w:sz w:val="15"/>
                <w:szCs w:val="15"/>
                <w:color w:val="auto"/>
              </w:rPr>
            </w:pPr>
          </w:p>
        </w:tc>
        <w:tc>
          <w:tcPr>
            <w:tcW w:w="12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7780" w:type="dxa"/>
            <w:vAlign w:val="bottom"/>
            <w:tcBorders>
              <w:top w:val="single" w:sz="8" w:color="CCEC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Ending Balance (cost – $249,654 and $146,900, respectively)</w:t>
            </w:r>
          </w:p>
        </w:tc>
        <w:tc>
          <w:tcPr>
            <w:tcW w:w="38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249,910</w:t>
            </w:r>
          </w:p>
        </w:tc>
        <w:tc>
          <w:tcPr>
            <w:tcW w:w="240" w:type="dxa"/>
            <w:vAlign w:val="bottom"/>
            <w:tcBorders>
              <w:top w:val="single" w:sz="8" w:color="CCECFF"/>
            </w:tcBorders>
          </w:tcPr>
          <w:p>
            <w:pPr>
              <w:spacing w:after="0"/>
              <w:rPr>
                <w:sz w:val="14"/>
                <w:szCs w:val="14"/>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146,206</w:t>
            </w:r>
          </w:p>
        </w:tc>
        <w:tc>
          <w:tcPr>
            <w:tcW w:w="60" w:type="dxa"/>
            <w:vAlign w:val="bottom"/>
            <w:tcBorders>
              <w:top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-144780</wp:posOffset>
            </wp:positionV>
            <wp:extent cx="431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-144780</wp:posOffset>
            </wp:positionV>
            <wp:extent cx="431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33"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4"/>
          <w:szCs w:val="14"/>
          <w:color w:val="auto"/>
        </w:rPr>
        <w:t>As of March 31, 2022, we had outstanding non-U.S. dollar borrowings on our Credit Facility. Net change in fair value from currency translation on outstanding borrowings is listed below ($ in thousands):</w:t>
      </w:r>
    </w:p>
    <w:tbl>
      <w:tblPr>
        <w:tblLayout w:type="fixed"/>
        <w:tblInd w:w="0" w:type="dxa"/>
        <w:tblCellMar>
          <w:top w:w="0" w:type="dxa"/>
          <w:left w:w="0" w:type="dxa"/>
          <w:bottom w:w="0" w:type="dxa"/>
          <w:right w:w="0" w:type="dxa"/>
        </w:tblCellMar>
      </w:tblPr>
      <w:tr>
        <w:trPr>
          <w:trHeight w:val="134"/>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68"/>
              <w:spacing w:after="0" w:line="134"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Borrowing Cost</w:t>
            </w:r>
          </w:p>
        </w:tc>
        <w:tc>
          <w:tcPr>
            <w:tcW w:w="200" w:type="dxa"/>
            <w:vAlign w:val="bottom"/>
          </w:tcPr>
          <w:p>
            <w:pPr>
              <w:spacing w:after="0"/>
              <w:rPr>
                <w:sz w:val="11"/>
                <w:szCs w:val="11"/>
                <w:color w:val="auto"/>
              </w:rPr>
            </w:pPr>
          </w:p>
        </w:tc>
        <w:tc>
          <w:tcPr>
            <w:tcW w:w="13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Current Value</w:t>
            </w:r>
          </w:p>
        </w:tc>
        <w:tc>
          <w:tcPr>
            <w:tcW w:w="200" w:type="dxa"/>
            <w:vAlign w:val="bottom"/>
          </w:tcPr>
          <w:p>
            <w:pPr>
              <w:spacing w:after="0"/>
              <w:rPr>
                <w:sz w:val="11"/>
                <w:szCs w:val="11"/>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Reset Date</w:t>
            </w:r>
          </w:p>
        </w:tc>
        <w:tc>
          <w:tcPr>
            <w:tcW w:w="140" w:type="dxa"/>
            <w:vAlign w:val="bottom"/>
          </w:tcPr>
          <w:p>
            <w:pPr>
              <w:spacing w:after="0"/>
              <w:rPr>
                <w:sz w:val="11"/>
                <w:szCs w:val="11"/>
                <w:color w:val="auto"/>
              </w:rPr>
            </w:pPr>
          </w:p>
        </w:tc>
        <w:tc>
          <w:tcPr>
            <w:tcW w:w="130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Change in Fair</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70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Borrowed</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Australian Dollar</w:t>
            </w:r>
          </w:p>
        </w:tc>
        <w:tc>
          <w:tcPr>
            <w:tcW w:w="160" w:type="dxa"/>
            <w:vAlign w:val="bottom"/>
            <w:shd w:val="clear" w:color="auto" w:fill="CCECFF"/>
          </w:tcPr>
          <w:p>
            <w:pPr>
              <w:spacing w:after="0"/>
              <w:rPr>
                <w:sz w:val="14"/>
                <w:szCs w:val="14"/>
                <w:color w:val="auto"/>
              </w:rPr>
            </w:pPr>
          </w:p>
        </w:tc>
        <w:tc>
          <w:tcPr>
            <w:tcW w:w="220" w:type="dxa"/>
            <w:vAlign w:val="bottom"/>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00" w:type="dxa"/>
            <w:vAlign w:val="bottom"/>
            <w:shd w:val="clear" w:color="auto" w:fill="CCECFF"/>
          </w:tcPr>
          <w:p>
            <w:pPr>
              <w:spacing w:after="0"/>
              <w:rPr>
                <w:sz w:val="14"/>
                <w:szCs w:val="14"/>
                <w:color w:val="auto"/>
              </w:rPr>
            </w:pP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7,254</w:t>
            </w:r>
          </w:p>
        </w:tc>
        <w:tc>
          <w:tcPr>
            <w:tcW w:w="200" w:type="dxa"/>
            <w:vAlign w:val="bottom"/>
            <w:shd w:val="clear" w:color="auto" w:fill="CCECFF"/>
          </w:tcPr>
          <w:p>
            <w:pPr>
              <w:spacing w:after="0"/>
              <w:rPr>
                <w:sz w:val="14"/>
                <w:szCs w:val="14"/>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7,510</w:t>
            </w:r>
          </w:p>
        </w:tc>
        <w:tc>
          <w:tcPr>
            <w:tcW w:w="200" w:type="dxa"/>
            <w:vAlign w:val="bottom"/>
            <w:shd w:val="clear" w:color="auto" w:fill="CCECFF"/>
          </w:tcPr>
          <w:p>
            <w:pPr>
              <w:spacing w:after="0"/>
              <w:rPr>
                <w:sz w:val="14"/>
                <w:szCs w:val="14"/>
                <w:color w:val="auto"/>
              </w:rPr>
            </w:pPr>
          </w:p>
        </w:tc>
        <w:tc>
          <w:tcPr>
            <w:tcW w:w="1340" w:type="dxa"/>
            <w:vAlign w:val="bottom"/>
            <w:shd w:val="clear" w:color="auto" w:fill="CCECFF"/>
          </w:tcPr>
          <w:p>
            <w:pPr>
              <w:jc w:val="right"/>
              <w:ind w:right="348"/>
              <w:spacing w:after="0"/>
              <w:rPr>
                <w:sz w:val="20"/>
                <w:szCs w:val="20"/>
                <w:color w:val="auto"/>
              </w:rPr>
            </w:pPr>
            <w:r>
              <w:rPr>
                <w:rFonts w:ascii="Times New Roman" w:cs="Times New Roman" w:eastAsia="Times New Roman" w:hAnsi="Times New Roman"/>
                <w:sz w:val="14"/>
                <w:szCs w:val="14"/>
                <w:color w:val="auto"/>
              </w:rPr>
              <w:t>4/1/2022</w:t>
            </w:r>
          </w:p>
        </w:tc>
        <w:tc>
          <w:tcPr>
            <w:tcW w:w="140" w:type="dxa"/>
            <w:vAlign w:val="bottom"/>
            <w:shd w:val="clear" w:color="auto" w:fill="CCECFF"/>
          </w:tcPr>
          <w:p>
            <w:pPr>
              <w:spacing w:after="0"/>
              <w:rPr>
                <w:sz w:val="14"/>
                <w:szCs w:val="14"/>
                <w:color w:val="auto"/>
              </w:rPr>
            </w:pP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As of September 30, 2021 we did not have any outstanding non-U.S. dollar borrowings on the Credit Facility.</w:t>
      </w:r>
    </w:p>
    <w:p>
      <w:pPr>
        <w:spacing w:after="0" w:line="177" w:lineRule="exact"/>
        <w:rPr>
          <w:sz w:val="20"/>
          <w:szCs w:val="20"/>
          <w:color w:val="auto"/>
        </w:rPr>
      </w:pPr>
    </w:p>
    <w:p>
      <w:pPr>
        <w:ind w:right="20" w:firstLine="449"/>
        <w:spacing w:after="0" w:line="251" w:lineRule="auto"/>
        <w:rPr>
          <w:sz w:val="20"/>
          <w:szCs w:val="20"/>
          <w:color w:val="auto"/>
        </w:rPr>
      </w:pPr>
      <w:r>
        <w:rPr>
          <w:rFonts w:ascii="Times New Roman" w:cs="Times New Roman" w:eastAsia="Times New Roman" w:hAnsi="Times New Roman"/>
          <w:sz w:val="14"/>
          <w:szCs w:val="14"/>
          <w:color w:val="auto"/>
        </w:rPr>
        <w:t>Generally, 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our Credit Facility and the 2023 Notes. We elected to use the fair value option for our Credit Facility and the 2023 Notes to align the measurement attributes of both our assets and liabilities while mitigating volatility in earnings from using different measurement attributes. Due to that election and in accordance with GAAP, we did not incur any expenses relating to amendment costs on the Credit Facility during both the three months ended March 31, 2022 and 2021.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including our 2026 Notes and the 2031 Asset-Backed Debt.</w:t>
      </w:r>
    </w:p>
    <w:p>
      <w:pPr>
        <w:spacing w:after="0" w:line="300"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4"/>
          <w:szCs w:val="14"/>
          <w:color w:val="auto"/>
        </w:rPr>
        <w:t>For the three and six months ended March 31, 2022, the Credit Facility and the 2023 Notes had a net change in unrealized (appreciation) depreciation of $(2.4) million and $1.2 million, respectively. For the three and six months ended March 31, 2021, the Credit Facility and the 2023 Notes had a net change in unrealized appreciation of $10.5 million and $14.5 million, respectively. As of March 31, 2022 and September 30, 2021, the net unrealized depreciation on the Credit Facility and the 2023 Notes totaled $8.5 million and $7.2 million, respectively. We use a nationally recognized independent valuation service to measure the fair value of the Credit Facility in a manner consistent with the valuation process that our board of directors uses to value our investments. Our 2023 Notes trade on the TASE and we use the closing price on the exchange to determine the fair value.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TRANSACTIONS WITH AFFILIATED COMPANIES</w:t>
      </w:r>
    </w:p>
    <w:p>
      <w:pPr>
        <w:spacing w:after="0" w:line="179" w:lineRule="exact"/>
        <w:rPr>
          <w:sz w:val="20"/>
          <w:szCs w:val="20"/>
          <w:color w:val="auto"/>
        </w:rPr>
      </w:pPr>
    </w:p>
    <w:p>
      <w:pPr>
        <w:jc w:val="both"/>
        <w:ind w:right="360" w:firstLine="449"/>
        <w:spacing w:after="0" w:line="261" w:lineRule="auto"/>
        <w:rPr>
          <w:sz w:val="20"/>
          <w:szCs w:val="20"/>
          <w:color w:val="auto"/>
        </w:rPr>
      </w:pPr>
      <w:r>
        <w:rPr>
          <w:rFonts w:ascii="Times New Roman" w:cs="Times New Roman" w:eastAsia="Times New Roman" w:hAnsi="Times New Roman"/>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generally when we own more than 25% of its voting securities. Transactions related to our funded investments with both controlled and non-controlled affiliates for the six months ended March 31, 2022 were as follows ($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Sale of/</w:t>
            </w:r>
          </w:p>
        </w:tc>
        <w:tc>
          <w:tcPr>
            <w:tcW w:w="8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Change in</w:t>
            </w:r>
          </w:p>
        </w:tc>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Investment</w:t>
            </w:r>
          </w:p>
        </w:tc>
        <w:tc>
          <w:tcPr>
            <w:tcW w:w="8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3"/>
                <w:szCs w:val="13"/>
                <w:color w:val="auto"/>
              </w:rPr>
            </w:pPr>
          </w:p>
        </w:tc>
        <w:tc>
          <w:tcPr>
            <w:tcW w:w="1000" w:type="dxa"/>
            <w:vAlign w:val="bottom"/>
          </w:tcPr>
          <w:p>
            <w:pPr>
              <w:jc w:val="right"/>
              <w:ind w:right="268"/>
              <w:spacing w:after="0" w:line="160" w:lineRule="exact"/>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Distribution</w:t>
            </w:r>
          </w:p>
        </w:tc>
        <w:tc>
          <w:tcPr>
            <w:tcW w:w="8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60" w:type="dxa"/>
            <w:vAlign w:val="bottom"/>
          </w:tcPr>
          <w:p>
            <w:pPr>
              <w:spacing w:after="0"/>
              <w:rPr>
                <w:sz w:val="13"/>
                <w:szCs w:val="13"/>
                <w:color w:val="auto"/>
              </w:rPr>
            </w:pPr>
          </w:p>
        </w:tc>
        <w:tc>
          <w:tcPr>
            <w:tcW w:w="1120" w:type="dxa"/>
            <w:vAlign w:val="bottom"/>
          </w:tcPr>
          <w:p>
            <w:pPr>
              <w:jc w:val="right"/>
              <w:ind w:right="88"/>
              <w:spacing w:after="0" w:line="160" w:lineRule="exact"/>
              <w:rPr>
                <w:sz w:val="20"/>
                <w:szCs w:val="20"/>
                <w:color w:val="auto"/>
              </w:rPr>
            </w:pPr>
            <w:r>
              <w:rPr>
                <w:rFonts w:ascii="Times New Roman" w:cs="Times New Roman" w:eastAsia="Times New Roman" w:hAnsi="Times New Roman"/>
                <w:sz w:val="14"/>
                <w:szCs w:val="14"/>
                <w:b w:val="1"/>
                <w:bCs w:val="1"/>
                <w:color w:val="auto"/>
              </w:rPr>
              <w:t>Fair Value at</w:t>
            </w:r>
          </w:p>
        </w:tc>
        <w:tc>
          <w:tcPr>
            <w:tcW w:w="8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60" w:type="dxa"/>
            <w:vAlign w:val="bottom"/>
          </w:tcPr>
          <w:p>
            <w:pPr>
              <w:spacing w:after="0"/>
              <w:rPr>
                <w:sz w:val="13"/>
                <w:szCs w:val="13"/>
                <w:color w:val="auto"/>
              </w:rPr>
            </w:pP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3"/>
                <w:szCs w:val="13"/>
                <w:color w:val="auto"/>
              </w:rPr>
            </w:pPr>
          </w:p>
        </w:tc>
        <w:tc>
          <w:tcPr>
            <w:tcW w:w="1060" w:type="dxa"/>
            <w:vAlign w:val="bottom"/>
          </w:tcPr>
          <w:p>
            <w:pPr>
              <w:jc w:val="right"/>
              <w:ind w:right="68"/>
              <w:spacing w:after="0" w:line="160" w:lineRule="exact"/>
              <w:rPr>
                <w:sz w:val="20"/>
                <w:szCs w:val="20"/>
                <w:color w:val="auto"/>
              </w:rPr>
            </w:pPr>
            <w:r>
              <w:rPr>
                <w:rFonts w:ascii="Times New Roman" w:cs="Times New Roman" w:eastAsia="Times New Roman" w:hAnsi="Times New Roman"/>
                <w:sz w:val="14"/>
                <w:szCs w:val="14"/>
                <w:b w:val="1"/>
                <w:bCs w:val="1"/>
                <w:color w:val="auto"/>
              </w:rPr>
              <w:t>Net Realized</w:t>
            </w:r>
          </w:p>
        </w:tc>
        <w:tc>
          <w:tcPr>
            <w:tcW w:w="0" w:type="dxa"/>
            <w:vAlign w:val="bottom"/>
          </w:tcPr>
          <w:p>
            <w:pPr>
              <w:spacing w:after="0"/>
              <w:rPr>
                <w:sz w:val="1"/>
                <w:szCs w:val="1"/>
                <w:color w:val="auto"/>
              </w:rPr>
            </w:pPr>
          </w:p>
        </w:tc>
      </w:tr>
      <w:tr>
        <w:trPr>
          <w:trHeight w:val="189"/>
        </w:trPr>
        <w:tc>
          <w:tcPr>
            <w:tcW w:w="2300" w:type="dxa"/>
            <w:vAlign w:val="bottom"/>
            <w:vMerge w:val="continue"/>
          </w:tcPr>
          <w:p>
            <w:pPr>
              <w:spacing w:after="0"/>
              <w:rPr>
                <w:sz w:val="16"/>
                <w:szCs w:val="16"/>
                <w:color w:val="auto"/>
              </w:rPr>
            </w:pPr>
          </w:p>
        </w:tc>
        <w:tc>
          <w:tcPr>
            <w:tcW w:w="11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from Affiliates</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6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0" w:type="dxa"/>
            <w:vAlign w:val="bottom"/>
          </w:tcPr>
          <w:p>
            <w:pPr>
              <w:spacing w:after="0"/>
              <w:rPr>
                <w:sz w:val="1"/>
                <w:szCs w:val="1"/>
                <w:color w:val="auto"/>
              </w:rPr>
            </w:pPr>
          </w:p>
        </w:tc>
      </w:tr>
      <w:tr>
        <w:trPr>
          <w:trHeight w:val="169"/>
        </w:trPr>
        <w:tc>
          <w:tcPr>
            <w:tcW w:w="230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Non-Controlled Affiliates</w:t>
            </w:r>
          </w:p>
        </w:tc>
        <w:tc>
          <w:tcPr>
            <w:tcW w:w="80" w:type="dxa"/>
            <w:vAlign w:val="bottom"/>
            <w:shd w:val="clear" w:color="auto" w:fill="CCECFF"/>
          </w:tcPr>
          <w:p>
            <w:pPr>
              <w:spacing w:after="0"/>
              <w:rPr>
                <w:sz w:val="14"/>
                <w:szCs w:val="14"/>
                <w:color w:val="auto"/>
              </w:rPr>
            </w:pPr>
          </w:p>
        </w:tc>
        <w:tc>
          <w:tcPr>
            <w:tcW w:w="1080" w:type="dxa"/>
            <w:vAlign w:val="bottom"/>
            <w:tcBorders>
              <w:top w:val="single" w:sz="8" w:color="auto"/>
            </w:tcBorders>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000" w:type="dxa"/>
            <w:vAlign w:val="bottom"/>
            <w:tcBorders>
              <w:top w:val="single" w:sz="8" w:color="auto"/>
            </w:tcBorders>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080" w:type="dxa"/>
            <w:vAlign w:val="bottom"/>
            <w:tcBorders>
              <w:top w:val="single" w:sz="8" w:color="auto"/>
            </w:tcBorders>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100" w:type="dxa"/>
            <w:vAlign w:val="bottom"/>
            <w:tcBorders>
              <w:top w:val="single" w:sz="8" w:color="auto"/>
            </w:tcBorders>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120" w:type="dxa"/>
            <w:vAlign w:val="bottom"/>
            <w:tcBorders>
              <w:top w:val="single" w:sz="8" w:color="auto"/>
            </w:tcBorders>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060" w:type="dxa"/>
            <w:vAlign w:val="bottom"/>
            <w:tcBorders>
              <w:top w:val="single" w:sz="8" w:color="auto"/>
            </w:tcBorders>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840" w:type="dxa"/>
            <w:vAlign w:val="bottom"/>
            <w:tcBorders>
              <w:top w:val="single" w:sz="8" w:color="auto"/>
            </w:tcBorders>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060" w:type="dxa"/>
            <w:vAlign w:val="bottom"/>
            <w:tcBorders>
              <w:top w:val="single" w:sz="8" w:color="auto"/>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DBI Holding, LLC</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$7,433</w:t>
            </w: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$(22,380)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$14,947</w:t>
            </w:r>
          </w:p>
        </w:tc>
        <w:tc>
          <w:tcPr>
            <w:tcW w:w="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$(22,380)</w:t>
            </w:r>
          </w:p>
        </w:tc>
        <w:tc>
          <w:tcPr>
            <w:tcW w:w="0" w:type="dxa"/>
            <w:vAlign w:val="bottom"/>
          </w:tcPr>
          <w:p>
            <w:pPr>
              <w:spacing w:after="0"/>
              <w:rPr>
                <w:sz w:val="1"/>
                <w:szCs w:val="1"/>
                <w:color w:val="auto"/>
              </w:rPr>
            </w:pPr>
          </w:p>
        </w:tc>
      </w:tr>
      <w:tr>
        <w:trPr>
          <w:trHeight w:val="139"/>
        </w:trPr>
        <w:tc>
          <w:tcPr>
            <w:tcW w:w="2300" w:type="dxa"/>
            <w:vAlign w:val="bottom"/>
            <w:shd w:val="clear" w:color="auto" w:fill="CCECFF"/>
          </w:tcPr>
          <w:p>
            <w:pPr>
              <w:ind w:left="20"/>
              <w:spacing w:after="0" w:line="139" w:lineRule="exact"/>
              <w:rPr>
                <w:sz w:val="20"/>
                <w:szCs w:val="20"/>
                <w:color w:val="auto"/>
              </w:rPr>
            </w:pPr>
            <w:r>
              <w:rPr>
                <w:rFonts w:ascii="Times New Roman" w:cs="Times New Roman" w:eastAsia="Times New Roman" w:hAnsi="Times New Roman"/>
                <w:sz w:val="14"/>
                <w:szCs w:val="14"/>
                <w:color w:val="auto"/>
              </w:rPr>
              <w:t>Country Fresh Holding</w:t>
            </w:r>
          </w:p>
        </w:tc>
        <w:tc>
          <w:tcPr>
            <w:tcW w:w="80" w:type="dxa"/>
            <w:vAlign w:val="bottom"/>
            <w:vMerge w:val="restart"/>
            <w:shd w:val="clear" w:color="auto" w:fill="CCECFF"/>
          </w:tcPr>
          <w:p>
            <w:pPr>
              <w:spacing w:after="0"/>
              <w:rPr>
                <w:sz w:val="12"/>
                <w:szCs w:val="12"/>
                <w:color w:val="auto"/>
              </w:rPr>
            </w:pPr>
          </w:p>
        </w:tc>
        <w:tc>
          <w:tcPr>
            <w:tcW w:w="10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CFF"/>
          </w:tcPr>
          <w:p>
            <w:pPr>
              <w:spacing w:after="0"/>
              <w:rPr>
                <w:sz w:val="12"/>
                <w:szCs w:val="12"/>
                <w:color w:val="auto"/>
              </w:rPr>
            </w:pPr>
          </w:p>
        </w:tc>
        <w:tc>
          <w:tcPr>
            <w:tcW w:w="10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CFF"/>
          </w:tcPr>
          <w:p>
            <w:pPr>
              <w:spacing w:after="0"/>
              <w:rPr>
                <w:sz w:val="12"/>
                <w:szCs w:val="12"/>
                <w:color w:val="auto"/>
              </w:rPr>
            </w:pPr>
          </w:p>
        </w:tc>
        <w:tc>
          <w:tcPr>
            <w:tcW w:w="10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CFF"/>
          </w:tcPr>
          <w:p>
            <w:pPr>
              <w:spacing w:after="0"/>
              <w:rPr>
                <w:sz w:val="12"/>
                <w:szCs w:val="12"/>
                <w:color w:val="auto"/>
              </w:rPr>
            </w:pPr>
          </w:p>
        </w:tc>
        <w:tc>
          <w:tcPr>
            <w:tcW w:w="11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CFF"/>
          </w:tcPr>
          <w:p>
            <w:pPr>
              <w:spacing w:after="0"/>
              <w:rPr>
                <w:sz w:val="12"/>
                <w:szCs w:val="12"/>
                <w:color w:val="auto"/>
              </w:rPr>
            </w:pPr>
          </w:p>
        </w:tc>
        <w:tc>
          <w:tcPr>
            <w:tcW w:w="11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CFF"/>
          </w:tcPr>
          <w:p>
            <w:pPr>
              <w:spacing w:after="0"/>
              <w:rPr>
                <w:sz w:val="12"/>
                <w:szCs w:val="12"/>
                <w:color w:val="auto"/>
              </w:rPr>
            </w:pPr>
          </w:p>
        </w:tc>
        <w:tc>
          <w:tcPr>
            <w:tcW w:w="10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CFF"/>
          </w:tcPr>
          <w:p>
            <w:pPr>
              <w:spacing w:after="0"/>
              <w:rPr>
                <w:sz w:val="12"/>
                <w:szCs w:val="12"/>
                <w:color w:val="auto"/>
              </w:rPr>
            </w:pPr>
          </w:p>
        </w:tc>
        <w:tc>
          <w:tcPr>
            <w:tcW w:w="8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CFF"/>
          </w:tcPr>
          <w:p>
            <w:pPr>
              <w:spacing w:after="0"/>
              <w:rPr>
                <w:sz w:val="12"/>
                <w:szCs w:val="12"/>
                <w:color w:val="auto"/>
              </w:rPr>
            </w:pPr>
          </w:p>
        </w:tc>
        <w:tc>
          <w:tcPr>
            <w:tcW w:w="10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85"/>
        </w:trPr>
        <w:tc>
          <w:tcPr>
            <w:tcW w:w="2300" w:type="dxa"/>
            <w:vAlign w:val="bottom"/>
            <w:tcBorders>
              <w:bottom w:val="single" w:sz="8" w:color="CCECFF"/>
            </w:tcBorders>
            <w:shd w:val="clear" w:color="auto" w:fill="CCECFF"/>
          </w:tcPr>
          <w:p>
            <w:pPr>
              <w:ind w:left="280"/>
              <w:spacing w:after="0"/>
              <w:rPr>
                <w:sz w:val="20"/>
                <w:szCs w:val="20"/>
                <w:color w:val="auto"/>
              </w:rPr>
            </w:pPr>
            <w:r>
              <w:rPr>
                <w:rFonts w:ascii="Times New Roman" w:cs="Times New Roman" w:eastAsia="Times New Roman" w:hAnsi="Times New Roman"/>
                <w:sz w:val="14"/>
                <w:szCs w:val="14"/>
                <w:color w:val="auto"/>
              </w:rPr>
              <w:t>Company Inc.</w:t>
            </w:r>
          </w:p>
        </w:tc>
        <w:tc>
          <w:tcPr>
            <w:tcW w:w="80" w:type="dxa"/>
            <w:vAlign w:val="bottom"/>
            <w:tcBorders>
              <w:bottom w:val="single" w:sz="8" w:color="CCECFF"/>
            </w:tcBorders>
            <w:vMerge w:val="continue"/>
            <w:shd w:val="clear" w:color="auto" w:fill="CCECFF"/>
          </w:tcPr>
          <w:p>
            <w:pPr>
              <w:spacing w:after="0"/>
              <w:rPr>
                <w:sz w:val="16"/>
                <w:szCs w:val="16"/>
                <w:color w:val="auto"/>
              </w:rPr>
            </w:pPr>
          </w:p>
        </w:tc>
        <w:tc>
          <w:tcPr>
            <w:tcW w:w="1080" w:type="dxa"/>
            <w:vAlign w:val="bottom"/>
            <w:tcBorders>
              <w:bottom w:val="single" w:sz="8" w:color="auto"/>
            </w:tcBorders>
            <w:vMerge w:val="continue"/>
            <w:shd w:val="clear" w:color="auto" w:fill="CCECFF"/>
          </w:tcPr>
          <w:p>
            <w:pPr>
              <w:spacing w:after="0"/>
              <w:rPr>
                <w:sz w:val="16"/>
                <w:szCs w:val="16"/>
                <w:color w:val="auto"/>
              </w:rPr>
            </w:pPr>
          </w:p>
        </w:tc>
        <w:tc>
          <w:tcPr>
            <w:tcW w:w="80" w:type="dxa"/>
            <w:vAlign w:val="bottom"/>
            <w:tcBorders>
              <w:bottom w:val="single" w:sz="8" w:color="CCECFF"/>
            </w:tcBorders>
            <w:shd w:val="clear" w:color="auto" w:fill="CCECFF"/>
          </w:tcPr>
          <w:p>
            <w:pPr>
              <w:spacing w:after="0"/>
              <w:rPr>
                <w:sz w:val="16"/>
                <w:szCs w:val="16"/>
                <w:color w:val="auto"/>
              </w:rPr>
            </w:pPr>
          </w:p>
        </w:tc>
        <w:tc>
          <w:tcPr>
            <w:tcW w:w="1000" w:type="dxa"/>
            <w:vAlign w:val="bottom"/>
            <w:tcBorders>
              <w:bottom w:val="single" w:sz="8" w:color="auto"/>
            </w:tcBorders>
            <w:vMerge w:val="continue"/>
            <w:shd w:val="clear" w:color="auto" w:fill="CCECFF"/>
          </w:tcPr>
          <w:p>
            <w:pPr>
              <w:spacing w:after="0"/>
              <w:rPr>
                <w:sz w:val="16"/>
                <w:szCs w:val="16"/>
                <w:color w:val="auto"/>
              </w:rPr>
            </w:pPr>
          </w:p>
        </w:tc>
        <w:tc>
          <w:tcPr>
            <w:tcW w:w="80" w:type="dxa"/>
            <w:vAlign w:val="bottom"/>
            <w:tcBorders>
              <w:bottom w:val="single" w:sz="8" w:color="CCECFF"/>
            </w:tcBorders>
            <w:shd w:val="clear" w:color="auto" w:fill="CCECFF"/>
          </w:tcPr>
          <w:p>
            <w:pPr>
              <w:spacing w:after="0"/>
              <w:rPr>
                <w:sz w:val="16"/>
                <w:szCs w:val="16"/>
                <w:color w:val="auto"/>
              </w:rPr>
            </w:pPr>
          </w:p>
        </w:tc>
        <w:tc>
          <w:tcPr>
            <w:tcW w:w="1080" w:type="dxa"/>
            <w:vAlign w:val="bottom"/>
            <w:tcBorders>
              <w:bottom w:val="single" w:sz="8" w:color="auto"/>
            </w:tcBorders>
            <w:vMerge w:val="continue"/>
            <w:shd w:val="clear" w:color="auto" w:fill="CCECFF"/>
          </w:tcPr>
          <w:p>
            <w:pPr>
              <w:spacing w:after="0"/>
              <w:rPr>
                <w:sz w:val="16"/>
                <w:szCs w:val="16"/>
                <w:color w:val="auto"/>
              </w:rPr>
            </w:pPr>
          </w:p>
        </w:tc>
        <w:tc>
          <w:tcPr>
            <w:tcW w:w="80" w:type="dxa"/>
            <w:vAlign w:val="bottom"/>
            <w:tcBorders>
              <w:bottom w:val="single" w:sz="8" w:color="CCECFF"/>
            </w:tcBorders>
            <w:shd w:val="clear" w:color="auto" w:fill="CCECFF"/>
          </w:tcPr>
          <w:p>
            <w:pPr>
              <w:spacing w:after="0"/>
              <w:rPr>
                <w:sz w:val="16"/>
                <w:szCs w:val="16"/>
                <w:color w:val="auto"/>
              </w:rPr>
            </w:pPr>
          </w:p>
        </w:tc>
        <w:tc>
          <w:tcPr>
            <w:tcW w:w="1100" w:type="dxa"/>
            <w:vAlign w:val="bottom"/>
            <w:tcBorders>
              <w:bottom w:val="single" w:sz="8" w:color="auto"/>
            </w:tcBorders>
            <w:vMerge w:val="continue"/>
            <w:shd w:val="clear" w:color="auto" w:fill="CCECFF"/>
          </w:tcPr>
          <w:p>
            <w:pPr>
              <w:spacing w:after="0"/>
              <w:rPr>
                <w:sz w:val="16"/>
                <w:szCs w:val="16"/>
                <w:color w:val="auto"/>
              </w:rPr>
            </w:pPr>
          </w:p>
        </w:tc>
        <w:tc>
          <w:tcPr>
            <w:tcW w:w="60" w:type="dxa"/>
            <w:vAlign w:val="bottom"/>
            <w:tcBorders>
              <w:bottom w:val="single" w:sz="8" w:color="CCECFF"/>
            </w:tcBorders>
            <w:shd w:val="clear" w:color="auto" w:fill="CCECFF"/>
          </w:tcPr>
          <w:p>
            <w:pPr>
              <w:spacing w:after="0"/>
              <w:rPr>
                <w:sz w:val="16"/>
                <w:szCs w:val="16"/>
                <w:color w:val="auto"/>
              </w:rPr>
            </w:pPr>
          </w:p>
        </w:tc>
        <w:tc>
          <w:tcPr>
            <w:tcW w:w="1120" w:type="dxa"/>
            <w:vAlign w:val="bottom"/>
            <w:tcBorders>
              <w:bottom w:val="single" w:sz="8" w:color="auto"/>
            </w:tcBorders>
            <w:vMerge w:val="continue"/>
            <w:shd w:val="clear" w:color="auto" w:fill="CCECFF"/>
          </w:tcPr>
          <w:p>
            <w:pPr>
              <w:spacing w:after="0"/>
              <w:rPr>
                <w:sz w:val="16"/>
                <w:szCs w:val="16"/>
                <w:color w:val="auto"/>
              </w:rPr>
            </w:pPr>
          </w:p>
        </w:tc>
        <w:tc>
          <w:tcPr>
            <w:tcW w:w="80" w:type="dxa"/>
            <w:vAlign w:val="bottom"/>
            <w:tcBorders>
              <w:bottom w:val="single" w:sz="8" w:color="CCECFF"/>
            </w:tcBorders>
            <w:shd w:val="clear" w:color="auto" w:fill="CCECFF"/>
          </w:tcPr>
          <w:p>
            <w:pPr>
              <w:spacing w:after="0"/>
              <w:rPr>
                <w:sz w:val="16"/>
                <w:szCs w:val="16"/>
                <w:color w:val="auto"/>
              </w:rPr>
            </w:pPr>
          </w:p>
        </w:tc>
        <w:tc>
          <w:tcPr>
            <w:tcW w:w="1060" w:type="dxa"/>
            <w:vAlign w:val="bottom"/>
            <w:tcBorders>
              <w:bottom w:val="single" w:sz="8" w:color="auto"/>
            </w:tcBorders>
            <w:vMerge w:val="continue"/>
            <w:shd w:val="clear" w:color="auto" w:fill="CCECFF"/>
          </w:tcPr>
          <w:p>
            <w:pPr>
              <w:spacing w:after="0"/>
              <w:rPr>
                <w:sz w:val="16"/>
                <w:szCs w:val="16"/>
                <w:color w:val="auto"/>
              </w:rPr>
            </w:pPr>
          </w:p>
        </w:tc>
        <w:tc>
          <w:tcPr>
            <w:tcW w:w="60" w:type="dxa"/>
            <w:vAlign w:val="bottom"/>
            <w:tcBorders>
              <w:bottom w:val="single" w:sz="8" w:color="CCECFF"/>
            </w:tcBorders>
            <w:shd w:val="clear" w:color="auto" w:fill="CCECFF"/>
          </w:tcPr>
          <w:p>
            <w:pPr>
              <w:spacing w:after="0"/>
              <w:rPr>
                <w:sz w:val="16"/>
                <w:szCs w:val="16"/>
                <w:color w:val="auto"/>
              </w:rPr>
            </w:pPr>
          </w:p>
        </w:tc>
        <w:tc>
          <w:tcPr>
            <w:tcW w:w="840" w:type="dxa"/>
            <w:vAlign w:val="bottom"/>
            <w:tcBorders>
              <w:bottom w:val="single" w:sz="8" w:color="auto"/>
            </w:tcBorders>
            <w:vMerge w:val="continue"/>
            <w:shd w:val="clear" w:color="auto" w:fill="CCECFF"/>
          </w:tcPr>
          <w:p>
            <w:pPr>
              <w:spacing w:after="0"/>
              <w:rPr>
                <w:sz w:val="16"/>
                <w:szCs w:val="16"/>
                <w:color w:val="auto"/>
              </w:rPr>
            </w:pPr>
          </w:p>
        </w:tc>
        <w:tc>
          <w:tcPr>
            <w:tcW w:w="80" w:type="dxa"/>
            <w:vAlign w:val="bottom"/>
            <w:tcBorders>
              <w:bottom w:val="single" w:sz="8" w:color="CCECFF"/>
            </w:tcBorders>
            <w:vMerge w:val="continue"/>
            <w:shd w:val="clear" w:color="auto" w:fill="CCECFF"/>
          </w:tcPr>
          <w:p>
            <w:pPr>
              <w:spacing w:after="0"/>
              <w:rPr>
                <w:sz w:val="16"/>
                <w:szCs w:val="16"/>
                <w:color w:val="auto"/>
              </w:rPr>
            </w:pPr>
          </w:p>
        </w:tc>
        <w:tc>
          <w:tcPr>
            <w:tcW w:w="1060" w:type="dxa"/>
            <w:vAlign w:val="bottom"/>
            <w:tcBorders>
              <w:bottom w:val="single" w:sz="8" w:color="auto"/>
            </w:tcBorders>
            <w:vMerge w:val="continue"/>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300" w:type="dxa"/>
            <w:vAlign w:val="bottom"/>
          </w:tcPr>
          <w:p>
            <w:pPr>
              <w:ind w:left="60"/>
              <w:spacing w:after="0" w:line="133" w:lineRule="exact"/>
              <w:rPr>
                <w:sz w:val="20"/>
                <w:szCs w:val="20"/>
                <w:color w:val="auto"/>
              </w:rPr>
            </w:pPr>
            <w:r>
              <w:rPr>
                <w:rFonts w:ascii="Times New Roman" w:cs="Times New Roman" w:eastAsia="Times New Roman" w:hAnsi="Times New Roman"/>
                <w:sz w:val="14"/>
                <w:szCs w:val="14"/>
                <w:color w:val="auto"/>
              </w:rPr>
              <w:t>Total Non-Controlled</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$7,433</w:t>
            </w:r>
          </w:p>
        </w:tc>
        <w:tc>
          <w:tcPr>
            <w:tcW w:w="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$(22,380)</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$14,947</w:t>
            </w:r>
          </w:p>
        </w:tc>
        <w:tc>
          <w:tcPr>
            <w:tcW w:w="6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$(22,315)</w:t>
            </w:r>
          </w:p>
        </w:tc>
        <w:tc>
          <w:tcPr>
            <w:tcW w:w="0" w:type="dxa"/>
            <w:vAlign w:val="bottom"/>
          </w:tcPr>
          <w:p>
            <w:pPr>
              <w:spacing w:after="0"/>
              <w:rPr>
                <w:sz w:val="1"/>
                <w:szCs w:val="1"/>
                <w:color w:val="auto"/>
              </w:rPr>
            </w:pPr>
          </w:p>
        </w:tc>
      </w:tr>
      <w:tr>
        <w:trPr>
          <w:trHeight w:val="144"/>
        </w:trPr>
        <w:tc>
          <w:tcPr>
            <w:tcW w:w="2300" w:type="dxa"/>
            <w:vAlign w:val="bottom"/>
          </w:tcPr>
          <w:p>
            <w:pPr>
              <w:ind w:left="120"/>
              <w:spacing w:after="0" w:line="125" w:lineRule="exact"/>
              <w:rPr>
                <w:sz w:val="20"/>
                <w:szCs w:val="20"/>
                <w:color w:val="auto"/>
              </w:rPr>
            </w:pPr>
            <w:r>
              <w:rPr>
                <w:rFonts w:ascii="Times New Roman" w:cs="Times New Roman" w:eastAsia="Times New Roman" w:hAnsi="Times New Roman"/>
                <w:sz w:val="14"/>
                <w:szCs w:val="14"/>
                <w:color w:val="auto"/>
              </w:rPr>
              <w:t>Affiliates</w:t>
            </w: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30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Controlled Affiliates</w:t>
            </w:r>
          </w:p>
        </w:tc>
        <w:tc>
          <w:tcPr>
            <w:tcW w:w="80" w:type="dxa"/>
            <w:vAlign w:val="bottom"/>
            <w:shd w:val="clear" w:color="auto" w:fill="CCECFF"/>
          </w:tcPr>
          <w:p>
            <w:pPr>
              <w:spacing w:after="0"/>
              <w:rPr>
                <w:sz w:val="13"/>
                <w:szCs w:val="13"/>
                <w:color w:val="auto"/>
              </w:rPr>
            </w:pPr>
          </w:p>
        </w:tc>
        <w:tc>
          <w:tcPr>
            <w:tcW w:w="10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0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10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0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0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Marketplace Events, LLC</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$31,649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$2,132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$33,891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PennantPark Senior Secured</w:t>
            </w:r>
          </w:p>
        </w:tc>
        <w:tc>
          <w:tcPr>
            <w:tcW w:w="80" w:type="dxa"/>
            <w:vAlign w:val="bottom"/>
            <w:shd w:val="clear" w:color="auto" w:fill="CCECFF"/>
          </w:tcPr>
          <w:p>
            <w:pPr>
              <w:spacing w:after="0"/>
              <w:rPr>
                <w:sz w:val="15"/>
                <w:szCs w:val="15"/>
                <w:color w:val="auto"/>
              </w:rPr>
            </w:pPr>
          </w:p>
        </w:tc>
        <w:tc>
          <w:tcPr>
            <w:tcW w:w="108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108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1100" w:type="dxa"/>
            <w:vAlign w:val="bottom"/>
            <w:shd w:val="clear" w:color="auto" w:fill="CCECFF"/>
          </w:tcPr>
          <w:p>
            <w:pPr>
              <w:spacing w:after="0"/>
              <w:rPr>
                <w:sz w:val="15"/>
                <w:szCs w:val="15"/>
                <w:color w:val="auto"/>
              </w:rPr>
            </w:pPr>
          </w:p>
        </w:tc>
        <w:tc>
          <w:tcPr>
            <w:tcW w:w="60" w:type="dxa"/>
            <w:vAlign w:val="bottom"/>
            <w:shd w:val="clear" w:color="auto" w:fill="CCECFF"/>
          </w:tcPr>
          <w:p>
            <w:pPr>
              <w:spacing w:after="0"/>
              <w:rPr>
                <w:sz w:val="15"/>
                <w:szCs w:val="15"/>
                <w:color w:val="auto"/>
              </w:rPr>
            </w:pPr>
          </w:p>
        </w:tc>
        <w:tc>
          <w:tcPr>
            <w:tcW w:w="112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1060" w:type="dxa"/>
            <w:vAlign w:val="bottom"/>
            <w:shd w:val="clear" w:color="auto" w:fill="CCECFF"/>
          </w:tcPr>
          <w:p>
            <w:pPr>
              <w:spacing w:after="0"/>
              <w:rPr>
                <w:sz w:val="15"/>
                <w:szCs w:val="15"/>
                <w:color w:val="auto"/>
              </w:rPr>
            </w:pPr>
          </w:p>
        </w:tc>
        <w:tc>
          <w:tcPr>
            <w:tcW w:w="6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10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300" w:type="dxa"/>
            <w:vAlign w:val="bottom"/>
            <w:shd w:val="clear" w:color="auto" w:fill="CCECFF"/>
          </w:tcPr>
          <w:p>
            <w:pPr>
              <w:ind w:left="120"/>
              <w:spacing w:after="0" w:line="139" w:lineRule="exact"/>
              <w:rPr>
                <w:sz w:val="20"/>
                <w:szCs w:val="20"/>
                <w:color w:val="auto"/>
              </w:rPr>
            </w:pPr>
            <w:r>
              <w:rPr>
                <w:rFonts w:ascii="Times New Roman" w:cs="Times New Roman" w:eastAsia="Times New Roman" w:hAnsi="Times New Roman"/>
                <w:sz w:val="14"/>
                <w:szCs w:val="14"/>
                <w:color w:val="auto"/>
              </w:rPr>
              <w:t>Loan Fund I LLC *</w:t>
            </w:r>
          </w:p>
        </w:tc>
        <w:tc>
          <w:tcPr>
            <w:tcW w:w="80" w:type="dxa"/>
            <w:vAlign w:val="bottom"/>
            <w:vMerge w:val="restart"/>
            <w:shd w:val="clear" w:color="auto" w:fill="CCECFF"/>
          </w:tcPr>
          <w:p>
            <w:pPr>
              <w:spacing w:after="0"/>
              <w:rPr>
                <w:sz w:val="12"/>
                <w:szCs w:val="12"/>
                <w:color w:val="auto"/>
              </w:rPr>
            </w:pPr>
          </w:p>
        </w:tc>
        <w:tc>
          <w:tcPr>
            <w:tcW w:w="10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185,731</w:t>
            </w:r>
          </w:p>
        </w:tc>
        <w:tc>
          <w:tcPr>
            <w:tcW w:w="80" w:type="dxa"/>
            <w:vAlign w:val="bottom"/>
            <w:vMerge w:val="restart"/>
            <w:shd w:val="clear" w:color="auto" w:fill="CCECFF"/>
          </w:tcPr>
          <w:p>
            <w:pPr>
              <w:spacing w:after="0"/>
              <w:rPr>
                <w:sz w:val="12"/>
                <w:szCs w:val="12"/>
                <w:color w:val="auto"/>
              </w:rPr>
            </w:pPr>
          </w:p>
        </w:tc>
        <w:tc>
          <w:tcPr>
            <w:tcW w:w="10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42,000</w:t>
            </w:r>
          </w:p>
        </w:tc>
        <w:tc>
          <w:tcPr>
            <w:tcW w:w="80" w:type="dxa"/>
            <w:vAlign w:val="bottom"/>
            <w:shd w:val="clear" w:color="auto" w:fill="CCECFF"/>
          </w:tcPr>
          <w:p>
            <w:pPr>
              <w:spacing w:after="0"/>
              <w:rPr>
                <w:sz w:val="12"/>
                <w:szCs w:val="12"/>
                <w:color w:val="auto"/>
              </w:rPr>
            </w:pPr>
          </w:p>
        </w:tc>
        <w:tc>
          <w:tcPr>
            <w:tcW w:w="10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CFF"/>
          </w:tcPr>
          <w:p>
            <w:pPr>
              <w:jc w:val="right"/>
              <w:spacing w:after="0" w:line="139" w:lineRule="exact"/>
              <w:rPr>
                <w:sz w:val="20"/>
                <w:szCs w:val="20"/>
                <w:color w:val="auto"/>
              </w:rPr>
            </w:pPr>
            <w:r>
              <w:rPr>
                <w:rFonts w:ascii="Times New Roman" w:cs="Times New Roman" w:eastAsia="Times New Roman" w:hAnsi="Times New Roman"/>
                <w:sz w:val="14"/>
                <w:szCs w:val="14"/>
                <w:color w:val="auto"/>
              </w:rPr>
              <w:t>(2,051</w:t>
            </w:r>
          </w:p>
        </w:tc>
        <w:tc>
          <w:tcPr>
            <w:tcW w:w="60" w:type="dxa"/>
            <w:vAlign w:val="bottom"/>
            <w:vMerge w:val="restart"/>
            <w:shd w:val="clear" w:color="auto" w:fill="CCECFF"/>
          </w:tcPr>
          <w:p>
            <w:pPr>
              <w:spacing w:after="0"/>
              <w:rPr>
                <w:sz w:val="12"/>
                <w:szCs w:val="12"/>
                <w:color w:val="auto"/>
              </w:rPr>
            </w:pPr>
          </w:p>
        </w:tc>
        <w:tc>
          <w:tcPr>
            <w:tcW w:w="11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225,680</w:t>
            </w:r>
          </w:p>
        </w:tc>
        <w:tc>
          <w:tcPr>
            <w:tcW w:w="80" w:type="dxa"/>
            <w:vAlign w:val="bottom"/>
            <w:vMerge w:val="restart"/>
            <w:shd w:val="clear" w:color="auto" w:fill="CCECFF"/>
          </w:tcPr>
          <w:p>
            <w:pPr>
              <w:spacing w:after="0"/>
              <w:rPr>
                <w:sz w:val="12"/>
                <w:szCs w:val="12"/>
                <w:color w:val="auto"/>
              </w:rPr>
            </w:pPr>
          </w:p>
        </w:tc>
        <w:tc>
          <w:tcPr>
            <w:tcW w:w="10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6,296</w:t>
            </w:r>
          </w:p>
        </w:tc>
        <w:tc>
          <w:tcPr>
            <w:tcW w:w="60" w:type="dxa"/>
            <w:vAlign w:val="bottom"/>
            <w:vMerge w:val="restart"/>
            <w:shd w:val="clear" w:color="auto" w:fill="CCECFF"/>
          </w:tcPr>
          <w:p>
            <w:pPr>
              <w:spacing w:after="0"/>
              <w:rPr>
                <w:sz w:val="12"/>
                <w:szCs w:val="12"/>
                <w:color w:val="auto"/>
              </w:rPr>
            </w:pPr>
          </w:p>
        </w:tc>
        <w:tc>
          <w:tcPr>
            <w:tcW w:w="8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6,738</w:t>
            </w:r>
          </w:p>
        </w:tc>
        <w:tc>
          <w:tcPr>
            <w:tcW w:w="80" w:type="dxa"/>
            <w:vAlign w:val="bottom"/>
            <w:shd w:val="clear" w:color="auto" w:fill="CCECFF"/>
          </w:tcPr>
          <w:p>
            <w:pPr>
              <w:spacing w:after="0"/>
              <w:rPr>
                <w:sz w:val="12"/>
                <w:szCs w:val="12"/>
                <w:color w:val="auto"/>
              </w:rPr>
            </w:pPr>
          </w:p>
        </w:tc>
        <w:tc>
          <w:tcPr>
            <w:tcW w:w="10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2300" w:type="dxa"/>
            <w:vAlign w:val="bottom"/>
            <w:tcBorders>
              <w:bottom w:val="single" w:sz="8" w:color="CCECFF"/>
            </w:tcBorders>
            <w:shd w:val="clear" w:color="auto" w:fill="CCECFF"/>
          </w:tcPr>
          <w:p>
            <w:pPr>
              <w:spacing w:after="0"/>
              <w:rPr>
                <w:sz w:val="16"/>
                <w:szCs w:val="16"/>
                <w:color w:val="auto"/>
              </w:rPr>
            </w:pPr>
          </w:p>
        </w:tc>
        <w:tc>
          <w:tcPr>
            <w:tcW w:w="80" w:type="dxa"/>
            <w:vAlign w:val="bottom"/>
            <w:tcBorders>
              <w:bottom w:val="single" w:sz="8" w:color="CCECFF"/>
            </w:tcBorders>
            <w:vMerge w:val="continue"/>
            <w:shd w:val="clear" w:color="auto" w:fill="CCECFF"/>
          </w:tcPr>
          <w:p>
            <w:pPr>
              <w:spacing w:after="0"/>
              <w:rPr>
                <w:sz w:val="16"/>
                <w:szCs w:val="16"/>
                <w:color w:val="auto"/>
              </w:rPr>
            </w:pPr>
          </w:p>
        </w:tc>
        <w:tc>
          <w:tcPr>
            <w:tcW w:w="1080" w:type="dxa"/>
            <w:vAlign w:val="bottom"/>
            <w:tcBorders>
              <w:bottom w:val="single" w:sz="8" w:color="auto"/>
            </w:tcBorders>
            <w:vMerge w:val="continue"/>
            <w:shd w:val="clear" w:color="auto" w:fill="CCECFF"/>
          </w:tcPr>
          <w:p>
            <w:pPr>
              <w:spacing w:after="0"/>
              <w:rPr>
                <w:sz w:val="16"/>
                <w:szCs w:val="16"/>
                <w:color w:val="auto"/>
              </w:rPr>
            </w:pPr>
          </w:p>
        </w:tc>
        <w:tc>
          <w:tcPr>
            <w:tcW w:w="80" w:type="dxa"/>
            <w:vAlign w:val="bottom"/>
            <w:tcBorders>
              <w:bottom w:val="single" w:sz="8" w:color="CCECFF"/>
            </w:tcBorders>
            <w:vMerge w:val="continue"/>
            <w:shd w:val="clear" w:color="auto" w:fill="CCECFF"/>
          </w:tcPr>
          <w:p>
            <w:pPr>
              <w:spacing w:after="0"/>
              <w:rPr>
                <w:sz w:val="16"/>
                <w:szCs w:val="16"/>
                <w:color w:val="auto"/>
              </w:rPr>
            </w:pPr>
          </w:p>
        </w:tc>
        <w:tc>
          <w:tcPr>
            <w:tcW w:w="1000" w:type="dxa"/>
            <w:vAlign w:val="bottom"/>
            <w:tcBorders>
              <w:bottom w:val="single" w:sz="8" w:color="auto"/>
            </w:tcBorders>
            <w:vMerge w:val="continue"/>
            <w:shd w:val="clear" w:color="auto" w:fill="CCECFF"/>
          </w:tcPr>
          <w:p>
            <w:pPr>
              <w:spacing w:after="0"/>
              <w:rPr>
                <w:sz w:val="16"/>
                <w:szCs w:val="16"/>
                <w:color w:val="auto"/>
              </w:rPr>
            </w:pPr>
          </w:p>
        </w:tc>
        <w:tc>
          <w:tcPr>
            <w:tcW w:w="80" w:type="dxa"/>
            <w:vAlign w:val="bottom"/>
            <w:tcBorders>
              <w:bottom w:val="single" w:sz="8" w:color="CCECFF"/>
            </w:tcBorders>
            <w:shd w:val="clear" w:color="auto" w:fill="CCECFF"/>
          </w:tcPr>
          <w:p>
            <w:pPr>
              <w:spacing w:after="0"/>
              <w:rPr>
                <w:sz w:val="16"/>
                <w:szCs w:val="16"/>
                <w:color w:val="auto"/>
              </w:rPr>
            </w:pPr>
          </w:p>
        </w:tc>
        <w:tc>
          <w:tcPr>
            <w:tcW w:w="1080" w:type="dxa"/>
            <w:vAlign w:val="bottom"/>
            <w:tcBorders>
              <w:bottom w:val="single" w:sz="8" w:color="auto"/>
            </w:tcBorders>
            <w:vMerge w:val="continue"/>
            <w:shd w:val="clear" w:color="auto" w:fill="CCECFF"/>
          </w:tcPr>
          <w:p>
            <w:pPr>
              <w:spacing w:after="0"/>
              <w:rPr>
                <w:sz w:val="16"/>
                <w:szCs w:val="16"/>
                <w:color w:val="auto"/>
              </w:rPr>
            </w:pPr>
          </w:p>
        </w:tc>
        <w:tc>
          <w:tcPr>
            <w:tcW w:w="80" w:type="dxa"/>
            <w:vAlign w:val="bottom"/>
            <w:tcBorders>
              <w:bottom w:val="single" w:sz="8" w:color="CCECFF"/>
            </w:tcBorders>
            <w:shd w:val="clear" w:color="auto" w:fill="CCECFF"/>
          </w:tcPr>
          <w:p>
            <w:pPr>
              <w:spacing w:after="0"/>
              <w:rPr>
                <w:sz w:val="16"/>
                <w:szCs w:val="16"/>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CFF"/>
            </w:tcBorders>
            <w:vMerge w:val="continue"/>
            <w:shd w:val="clear" w:color="auto" w:fill="CCECFF"/>
          </w:tcPr>
          <w:p>
            <w:pPr>
              <w:spacing w:after="0"/>
              <w:rPr>
                <w:sz w:val="16"/>
                <w:szCs w:val="16"/>
                <w:color w:val="auto"/>
              </w:rPr>
            </w:pPr>
          </w:p>
        </w:tc>
        <w:tc>
          <w:tcPr>
            <w:tcW w:w="1120" w:type="dxa"/>
            <w:vAlign w:val="bottom"/>
            <w:tcBorders>
              <w:bottom w:val="single" w:sz="8" w:color="auto"/>
            </w:tcBorders>
            <w:vMerge w:val="continue"/>
            <w:shd w:val="clear" w:color="auto" w:fill="CCECFF"/>
          </w:tcPr>
          <w:p>
            <w:pPr>
              <w:spacing w:after="0"/>
              <w:rPr>
                <w:sz w:val="16"/>
                <w:szCs w:val="16"/>
                <w:color w:val="auto"/>
              </w:rPr>
            </w:pPr>
          </w:p>
        </w:tc>
        <w:tc>
          <w:tcPr>
            <w:tcW w:w="80" w:type="dxa"/>
            <w:vAlign w:val="bottom"/>
            <w:tcBorders>
              <w:bottom w:val="single" w:sz="8" w:color="CCECFF"/>
            </w:tcBorders>
            <w:vMerge w:val="continue"/>
            <w:shd w:val="clear" w:color="auto" w:fill="CCECFF"/>
          </w:tcPr>
          <w:p>
            <w:pPr>
              <w:spacing w:after="0"/>
              <w:rPr>
                <w:sz w:val="16"/>
                <w:szCs w:val="16"/>
                <w:color w:val="auto"/>
              </w:rPr>
            </w:pPr>
          </w:p>
        </w:tc>
        <w:tc>
          <w:tcPr>
            <w:tcW w:w="1060" w:type="dxa"/>
            <w:vAlign w:val="bottom"/>
            <w:tcBorders>
              <w:bottom w:val="single" w:sz="8" w:color="auto"/>
            </w:tcBorders>
            <w:vMerge w:val="continue"/>
            <w:shd w:val="clear" w:color="auto" w:fill="CCECFF"/>
          </w:tcPr>
          <w:p>
            <w:pPr>
              <w:spacing w:after="0"/>
              <w:rPr>
                <w:sz w:val="16"/>
                <w:szCs w:val="16"/>
                <w:color w:val="auto"/>
              </w:rPr>
            </w:pPr>
          </w:p>
        </w:tc>
        <w:tc>
          <w:tcPr>
            <w:tcW w:w="60" w:type="dxa"/>
            <w:vAlign w:val="bottom"/>
            <w:tcBorders>
              <w:bottom w:val="single" w:sz="8" w:color="CCECFF"/>
            </w:tcBorders>
            <w:vMerge w:val="continue"/>
            <w:shd w:val="clear" w:color="auto" w:fill="CCECFF"/>
          </w:tcPr>
          <w:p>
            <w:pPr>
              <w:spacing w:after="0"/>
              <w:rPr>
                <w:sz w:val="16"/>
                <w:szCs w:val="16"/>
                <w:color w:val="auto"/>
              </w:rPr>
            </w:pPr>
          </w:p>
        </w:tc>
        <w:tc>
          <w:tcPr>
            <w:tcW w:w="840" w:type="dxa"/>
            <w:vAlign w:val="bottom"/>
            <w:tcBorders>
              <w:bottom w:val="single" w:sz="8" w:color="auto"/>
            </w:tcBorders>
            <w:vMerge w:val="continue"/>
            <w:shd w:val="clear" w:color="auto" w:fill="CCECFF"/>
          </w:tcPr>
          <w:p>
            <w:pPr>
              <w:spacing w:after="0"/>
              <w:rPr>
                <w:sz w:val="16"/>
                <w:szCs w:val="16"/>
                <w:color w:val="auto"/>
              </w:rPr>
            </w:pPr>
          </w:p>
        </w:tc>
        <w:tc>
          <w:tcPr>
            <w:tcW w:w="80" w:type="dxa"/>
            <w:vAlign w:val="bottom"/>
            <w:tcBorders>
              <w:bottom w:val="single" w:sz="8" w:color="CCECFF"/>
            </w:tcBorders>
            <w:shd w:val="clear" w:color="auto" w:fill="CCECFF"/>
          </w:tcPr>
          <w:p>
            <w:pPr>
              <w:spacing w:after="0"/>
              <w:rPr>
                <w:sz w:val="16"/>
                <w:szCs w:val="16"/>
                <w:color w:val="auto"/>
              </w:rPr>
            </w:pPr>
          </w:p>
        </w:tc>
        <w:tc>
          <w:tcPr>
            <w:tcW w:w="1060" w:type="dxa"/>
            <w:vAlign w:val="bottom"/>
            <w:tcBorders>
              <w:bottom w:val="single" w:sz="8" w:color="auto"/>
            </w:tcBorders>
            <w:vMerge w:val="continue"/>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Controlled Affiliates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$217,380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$42,110</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$259,571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$6,405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$6,738</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300" w:type="dxa"/>
            <w:vAlign w:val="bottom"/>
            <w:vMerge w:val="restart"/>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Total Controlled and</w:t>
            </w: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300" w:type="dxa"/>
            <w:vAlign w:val="bottom"/>
            <w:vMerge w:val="continue"/>
          </w:tcPr>
          <w:p>
            <w:pPr>
              <w:spacing w:after="0"/>
              <w:rPr>
                <w:sz w:val="10"/>
                <w:szCs w:val="10"/>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$224,813</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$42,110</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$(22,380)</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$15,029</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$259,571</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$6,517</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$6,738</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$(22,315)</w:t>
            </w:r>
          </w:p>
        </w:tc>
        <w:tc>
          <w:tcPr>
            <w:tcW w:w="0" w:type="dxa"/>
            <w:vAlign w:val="bottom"/>
          </w:tcPr>
          <w:p>
            <w:pPr>
              <w:spacing w:after="0"/>
              <w:rPr>
                <w:sz w:val="1"/>
                <w:szCs w:val="1"/>
                <w:color w:val="auto"/>
              </w:rPr>
            </w:pPr>
          </w:p>
        </w:tc>
      </w:tr>
      <w:tr>
        <w:trPr>
          <w:trHeight w:val="146"/>
        </w:trPr>
        <w:tc>
          <w:tcPr>
            <w:tcW w:w="2300" w:type="dxa"/>
            <w:vAlign w:val="bottom"/>
          </w:tcPr>
          <w:p>
            <w:pPr>
              <w:ind w:left="120"/>
              <w:spacing w:after="0" w:line="127" w:lineRule="exact"/>
              <w:rPr>
                <w:sz w:val="20"/>
                <w:szCs w:val="20"/>
                <w:color w:val="auto"/>
              </w:rPr>
            </w:pPr>
            <w:r>
              <w:rPr>
                <w:rFonts w:ascii="Times New Roman" w:cs="Times New Roman" w:eastAsia="Times New Roman" w:hAnsi="Times New Roman"/>
                <w:sz w:val="14"/>
                <w:szCs w:val="14"/>
                <w:b w:val="1"/>
                <w:bCs w:val="1"/>
                <w:color w:val="auto"/>
              </w:rPr>
              <w:t>Non-Controlled Affiliates</w:t>
            </w:r>
          </w:p>
        </w:tc>
        <w:tc>
          <w:tcPr>
            <w:tcW w:w="116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-1105535</wp:posOffset>
            </wp:positionV>
            <wp:extent cx="5143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-1105535</wp:posOffset>
            </wp:positionV>
            <wp:extent cx="4318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-1105535</wp:posOffset>
            </wp:positionV>
            <wp:extent cx="4318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-1105535</wp:posOffset>
            </wp:positionV>
            <wp:extent cx="4318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-1105535</wp:posOffset>
            </wp:positionV>
            <wp:extent cx="4318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-1105535</wp:posOffset>
            </wp:positionV>
            <wp:extent cx="4318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-1105535</wp:posOffset>
            </wp:positionV>
            <wp:extent cx="4318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-350520</wp:posOffset>
            </wp:positionV>
            <wp:extent cx="5143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-350520</wp:posOffset>
            </wp:positionV>
            <wp:extent cx="431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-350520</wp:posOffset>
            </wp:positionV>
            <wp:extent cx="4318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-350520</wp:posOffset>
            </wp:positionV>
            <wp:extent cx="4318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-350520</wp:posOffset>
            </wp:positionV>
            <wp:extent cx="4318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-350520</wp:posOffset>
            </wp:positionV>
            <wp:extent cx="431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-350520</wp:posOffset>
            </wp:positionV>
            <wp:extent cx="4318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ind w:right="120" w:firstLine="8"/>
        <w:spacing w:after="0" w:line="245" w:lineRule="auto"/>
        <w:tabs>
          <w:tab w:leader="none" w:pos="81" w:val="left"/>
        </w:tabs>
        <w:numPr>
          <w:ilvl w:val="0"/>
          <w:numId w:val="14"/>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2"/>
          <w:szCs w:val="12"/>
          <w:color w:val="auto"/>
        </w:rPr>
        <w:t>We and Kemper are the members of PSSL, a joint venture formed as a Delaware limited liability company that is not consolidated by us for financial reporting purposes. The members of PSSL make investments in PSSL in the form of first lien secured debt and equity interests, and all portfolio and other material decisions regarding PSSL must be submitted to PSSL’s board of directors or investment committee, both of which are comprised of two members appointed by each of us and Kemper. Because management of PSSL is shared equally between us and Kemper, we do not believe we control PSSL for purposes of the 1940 Act or otherwise.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CHANGE IN NET ASSETS FROM OPERATIONS PER COMMON SHARE</w:t>
      </w:r>
    </w:p>
    <w:p>
      <w:pPr>
        <w:spacing w:after="0" w:line="165" w:lineRule="exact"/>
        <w:rPr>
          <w:sz w:val="20"/>
          <w:szCs w:val="20"/>
          <w:color w:val="auto"/>
        </w:rPr>
      </w:pPr>
    </w:p>
    <w:p>
      <w:pPr>
        <w:ind w:left="600" w:right="2420" w:hanging="143"/>
        <w:spacing w:after="0" w:line="282" w:lineRule="auto"/>
        <w:rPr>
          <w:sz w:val="20"/>
          <w:szCs w:val="20"/>
          <w:color w:val="auto"/>
        </w:rPr>
      </w:pPr>
      <w:r>
        <w:rPr>
          <w:rFonts w:ascii="Times New Roman" w:cs="Times New Roman" w:eastAsia="Times New Roman" w:hAnsi="Times New Roman"/>
          <w:sz w:val="14"/>
          <w:szCs w:val="14"/>
          <w:color w:val="auto"/>
        </w:rPr>
        <w:t>The following information sets forth the computation of basic and diluted per share net increase (decrease) in net assets resulting from operations ($ in thousands, except per share data):</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60" w:type="dxa"/>
            <w:vAlign w:val="bottom"/>
          </w:tcPr>
          <w:p>
            <w:pPr>
              <w:spacing w:after="0"/>
              <w:rPr>
                <w:sz w:val="16"/>
                <w:szCs w:val="16"/>
                <w:color w:val="auto"/>
              </w:rPr>
            </w:pPr>
          </w:p>
        </w:tc>
      </w:tr>
      <w:tr>
        <w:trPr>
          <w:trHeight w:val="169"/>
        </w:trPr>
        <w:tc>
          <w:tcPr>
            <w:tcW w:w="50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169"/>
        </w:trPr>
        <w:tc>
          <w:tcPr>
            <w:tcW w:w="5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Numerator for net increase in net assets resulting from operations</w:t>
            </w:r>
          </w:p>
        </w:tc>
        <w:tc>
          <w:tcPr>
            <w:tcW w:w="320" w:type="dxa"/>
            <w:vAlign w:val="bottom"/>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7,246</w:t>
            </w:r>
          </w:p>
        </w:tc>
        <w:tc>
          <w:tcPr>
            <w:tcW w:w="200" w:type="dxa"/>
            <w:vAlign w:val="bottom"/>
            <w:shd w:val="clear" w:color="auto" w:fill="CCECFF"/>
          </w:tcPr>
          <w:p>
            <w:pPr>
              <w:spacing w:after="0"/>
              <w:rPr>
                <w:sz w:val="14"/>
                <w:szCs w:val="14"/>
                <w:color w:val="auto"/>
              </w:rPr>
            </w:pPr>
          </w:p>
        </w:tc>
        <w:tc>
          <w:tcPr>
            <w:tcW w:w="320" w:type="dxa"/>
            <w:vAlign w:val="bottom"/>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11,673</w:t>
            </w:r>
          </w:p>
        </w:tc>
        <w:tc>
          <w:tcPr>
            <w:tcW w:w="200" w:type="dxa"/>
            <w:vAlign w:val="bottom"/>
            <w:shd w:val="clear" w:color="auto" w:fill="CCECFF"/>
          </w:tcPr>
          <w:p>
            <w:pPr>
              <w:spacing w:after="0"/>
              <w:rPr>
                <w:sz w:val="14"/>
                <w:szCs w:val="14"/>
                <w:color w:val="auto"/>
              </w:rPr>
            </w:pPr>
          </w:p>
        </w:tc>
        <w:tc>
          <w:tcPr>
            <w:tcW w:w="320" w:type="dxa"/>
            <w:vAlign w:val="bottom"/>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21,679</w:t>
            </w:r>
          </w:p>
        </w:tc>
        <w:tc>
          <w:tcPr>
            <w:tcW w:w="200" w:type="dxa"/>
            <w:vAlign w:val="bottom"/>
            <w:shd w:val="clear" w:color="auto" w:fill="CCECFF"/>
          </w:tcPr>
          <w:p>
            <w:pPr>
              <w:spacing w:after="0"/>
              <w:rPr>
                <w:sz w:val="14"/>
                <w:szCs w:val="14"/>
                <w:color w:val="auto"/>
              </w:rPr>
            </w:pPr>
          </w:p>
        </w:tc>
        <w:tc>
          <w:tcPr>
            <w:tcW w:w="320" w:type="dxa"/>
            <w:vAlign w:val="bottom"/>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37,804</w:t>
            </w:r>
          </w:p>
        </w:tc>
        <w:tc>
          <w:tcPr>
            <w:tcW w:w="60" w:type="dxa"/>
            <w:vAlign w:val="bottom"/>
            <w:shd w:val="clear" w:color="auto" w:fill="CCECFF"/>
          </w:tcPr>
          <w:p>
            <w:pPr>
              <w:spacing w:after="0"/>
              <w:rPr>
                <w:sz w:val="14"/>
                <w:szCs w:val="14"/>
                <w:color w:val="auto"/>
              </w:rPr>
            </w:pPr>
          </w:p>
        </w:tc>
      </w:tr>
      <w:tr>
        <w:trPr>
          <w:trHeight w:val="175"/>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Denominator for basic and diluted weighted average shares</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39,533,349</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38,772,074</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4"/>
                <w:szCs w:val="14"/>
                <w:color w:val="auto"/>
              </w:rPr>
              <w:t>39,244,132</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alibri" w:cs="Calibri" w:eastAsia="Calibri" w:hAnsi="Calibri"/>
                <w:sz w:val="14"/>
                <w:szCs w:val="14"/>
                <w:color w:val="auto"/>
              </w:rPr>
              <w:t>38,772,074</w:t>
            </w:r>
          </w:p>
        </w:tc>
        <w:tc>
          <w:tcPr>
            <w:tcW w:w="60" w:type="dxa"/>
            <w:vAlign w:val="bottom"/>
          </w:tcPr>
          <w:p>
            <w:pPr>
              <w:spacing w:after="0"/>
              <w:rPr>
                <w:sz w:val="15"/>
                <w:szCs w:val="15"/>
                <w:color w:val="auto"/>
              </w:rPr>
            </w:pPr>
          </w:p>
        </w:tc>
      </w:tr>
      <w:tr>
        <w:trPr>
          <w:trHeight w:val="175"/>
        </w:trPr>
        <w:tc>
          <w:tcPr>
            <w:tcW w:w="5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Basic and diluted net increase in net assets per share resulting from operations</w:t>
            </w:r>
          </w:p>
        </w:tc>
        <w:tc>
          <w:tcPr>
            <w:tcW w:w="320" w:type="dxa"/>
            <w:vAlign w:val="bottom"/>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520" w:type="dxa"/>
            <w:vAlign w:val="bottom"/>
            <w:gridSpan w:val="2"/>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520" w:type="dxa"/>
            <w:vAlign w:val="bottom"/>
            <w:gridSpan w:val="2"/>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0.55</w:t>
            </w:r>
          </w:p>
        </w:tc>
        <w:tc>
          <w:tcPr>
            <w:tcW w:w="520" w:type="dxa"/>
            <w:vAlign w:val="bottom"/>
            <w:gridSpan w:val="2"/>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0.98</w:t>
            </w:r>
          </w:p>
        </w:tc>
        <w:tc>
          <w:tcPr>
            <w:tcW w:w="60" w:type="dxa"/>
            <w:vAlign w:val="bottom"/>
            <w:shd w:val="clear" w:color="auto" w:fill="CCECFF"/>
          </w:tcPr>
          <w:p>
            <w:pPr>
              <w:spacing w:after="0"/>
              <w:rPr>
                <w:sz w:val="15"/>
                <w:szCs w:val="15"/>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CASH AND CASH EQUIVALENTS</w:t>
      </w:r>
    </w:p>
    <w:p>
      <w:pPr>
        <w:spacing w:after="0" w:line="179" w:lineRule="exact"/>
        <w:rPr>
          <w:sz w:val="20"/>
          <w:szCs w:val="20"/>
          <w:color w:val="auto"/>
        </w:rPr>
      </w:pPr>
    </w:p>
    <w:p>
      <w:pPr>
        <w:ind w:right="100" w:firstLine="449"/>
        <w:spacing w:after="0" w:line="250" w:lineRule="auto"/>
        <w:rPr>
          <w:sz w:val="20"/>
          <w:szCs w:val="20"/>
          <w:color w:val="auto"/>
        </w:rPr>
      </w:pPr>
      <w:r>
        <w:rPr>
          <w:rFonts w:ascii="Times New Roman" w:cs="Times New Roman" w:eastAsia="Times New Roman" w:hAnsi="Times New Roman"/>
          <w:sz w:val="14"/>
          <w:szCs w:val="14"/>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March 31, 2022 and September 30, 2021, cash and cash equivalents consisted of money market funds in the amounts of $50.1 million and $49.8 million at fair value, respectively.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9. FINANCIAL HIGHLIGHTS</w:t>
            </w: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67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Below are the financial highlights ($ in thousands, except per share data):</w:t>
            </w: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780" w:type="dxa"/>
            <w:vAlign w:val="bottom"/>
          </w:tcPr>
          <w:p>
            <w:pPr>
              <w:spacing w:after="0"/>
              <w:rPr>
                <w:sz w:val="24"/>
                <w:szCs w:val="2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94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1160" w:type="dxa"/>
            <w:vAlign w:val="bottom"/>
            <w:vMerge w:val="restart"/>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6780" w:type="dxa"/>
            <w:vAlign w:val="bottom"/>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1180" w:type="dxa"/>
            <w:vAlign w:val="bottom"/>
            <w:shd w:val="clear" w:color="auto" w:fill="CCECFF"/>
          </w:tcPr>
          <w:p>
            <w:pPr>
              <w:spacing w:after="0"/>
              <w:rPr>
                <w:sz w:val="14"/>
                <w:szCs w:val="14"/>
                <w:color w:val="auto"/>
              </w:rPr>
            </w:pPr>
          </w:p>
        </w:tc>
        <w:tc>
          <w:tcPr>
            <w:tcW w:w="760" w:type="dxa"/>
            <w:vAlign w:val="bottom"/>
            <w:shd w:val="clear" w:color="auto" w:fill="CCECFF"/>
          </w:tcPr>
          <w:p>
            <w:pPr>
              <w:spacing w:after="0"/>
              <w:rPr>
                <w:sz w:val="14"/>
                <w:szCs w:val="14"/>
                <w:color w:val="auto"/>
              </w:rPr>
            </w:pPr>
          </w:p>
        </w:tc>
        <w:tc>
          <w:tcPr>
            <w:tcW w:w="420" w:type="dxa"/>
            <w:vAlign w:val="bottom"/>
            <w:shd w:val="clear" w:color="auto" w:fill="CCECFF"/>
          </w:tcPr>
          <w:p>
            <w:pPr>
              <w:spacing w:after="0"/>
              <w:rPr>
                <w:sz w:val="14"/>
                <w:szCs w:val="14"/>
                <w:color w:val="auto"/>
              </w:rPr>
            </w:pPr>
          </w:p>
        </w:tc>
        <w:tc>
          <w:tcPr>
            <w:tcW w:w="760" w:type="dxa"/>
            <w:vAlign w:val="bottom"/>
            <w:shd w:val="clear" w:color="auto" w:fill="CCECFF"/>
          </w:tcPr>
          <w:p>
            <w:pPr>
              <w:spacing w:after="0"/>
              <w:rPr>
                <w:sz w:val="14"/>
                <w:szCs w:val="14"/>
                <w:color w:val="auto"/>
              </w:rPr>
            </w:pPr>
          </w:p>
        </w:tc>
        <w:tc>
          <w:tcPr>
            <w:tcW w:w="11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asset value, beginning of period</w:t>
            </w:r>
          </w:p>
        </w:tc>
        <w:tc>
          <w:tcPr>
            <w:tcW w:w="1180" w:type="dxa"/>
            <w:vAlign w:val="bottom"/>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420" w:type="dxa"/>
            <w:vAlign w:val="bottom"/>
          </w:tcPr>
          <w:p>
            <w:pPr>
              <w:spacing w:after="0"/>
              <w:rPr>
                <w:sz w:val="15"/>
                <w:szCs w:val="15"/>
                <w:color w:val="auto"/>
              </w:rPr>
            </w:pPr>
          </w:p>
        </w:tc>
        <w:tc>
          <w:tcPr>
            <w:tcW w:w="76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80" w:type="dxa"/>
            <w:vAlign w:val="bottom"/>
            <w:shd w:val="clear" w:color="auto" w:fill="CCECFF"/>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Net investment income </w:t>
            </w:r>
            <w:r>
              <w:rPr>
                <w:rFonts w:ascii="Times New Roman" w:cs="Times New Roman" w:eastAsia="Times New Roman" w:hAnsi="Times New Roman"/>
                <w:sz w:val="19"/>
                <w:szCs w:val="19"/>
                <w:color w:val="auto"/>
                <w:vertAlign w:val="superscript"/>
              </w:rPr>
              <w:t>(1)</w:t>
            </w:r>
          </w:p>
        </w:tc>
        <w:tc>
          <w:tcPr>
            <w:tcW w:w="1180" w:type="dxa"/>
            <w:vAlign w:val="bottom"/>
            <w:shd w:val="clear" w:color="auto" w:fill="CCECFF"/>
          </w:tcPr>
          <w:p>
            <w:pPr>
              <w:spacing w:after="0"/>
              <w:rPr>
                <w:sz w:val="15"/>
                <w:szCs w:val="15"/>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0.61</w:t>
            </w:r>
          </w:p>
        </w:tc>
        <w:tc>
          <w:tcPr>
            <w:tcW w:w="420" w:type="dxa"/>
            <w:vAlign w:val="bottom"/>
            <w:shd w:val="clear" w:color="auto" w:fill="CCECFF"/>
          </w:tcPr>
          <w:p>
            <w:pPr>
              <w:spacing w:after="0"/>
              <w:rPr>
                <w:sz w:val="15"/>
                <w:szCs w:val="15"/>
                <w:color w:val="auto"/>
              </w:rPr>
            </w:pPr>
          </w:p>
        </w:tc>
        <w:tc>
          <w:tcPr>
            <w:tcW w:w="760" w:type="dxa"/>
            <w:vAlign w:val="bottom"/>
            <w:shd w:val="clear" w:color="auto" w:fill="CCECFF"/>
          </w:tcPr>
          <w:p>
            <w:pPr>
              <w:spacing w:after="0"/>
              <w:rPr>
                <w:sz w:val="15"/>
                <w:szCs w:val="15"/>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0.52</w:t>
            </w:r>
          </w:p>
        </w:tc>
        <w:tc>
          <w:tcPr>
            <w:tcW w:w="1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8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Net change in realized and unrealized (loss) gain </w:t>
            </w:r>
            <w:r>
              <w:rPr>
                <w:rFonts w:ascii="Times New Roman" w:cs="Times New Roman" w:eastAsia="Times New Roman" w:hAnsi="Times New Roman"/>
                <w:sz w:val="19"/>
                <w:szCs w:val="19"/>
                <w:color w:val="auto"/>
                <w:vertAlign w:val="superscript"/>
              </w:rPr>
              <w:t>(1)</w:t>
            </w:r>
          </w:p>
        </w:tc>
        <w:tc>
          <w:tcPr>
            <w:tcW w:w="1180" w:type="dxa"/>
            <w:vAlign w:val="bottom"/>
          </w:tcPr>
          <w:p>
            <w:pPr>
              <w:spacing w:after="0"/>
              <w:rPr>
                <w:sz w:val="15"/>
                <w:szCs w:val="15"/>
                <w:color w:val="auto"/>
              </w:rPr>
            </w:pPr>
          </w:p>
        </w:tc>
        <w:tc>
          <w:tcPr>
            <w:tcW w:w="118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color w:val="auto"/>
              </w:rPr>
              <w:t>(0.06 )</w:t>
            </w:r>
          </w:p>
        </w:tc>
        <w:tc>
          <w:tcPr>
            <w:tcW w:w="7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0.46</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780" w:type="dxa"/>
            <w:vAlign w:val="bottom"/>
            <w:shd w:val="clear" w:color="auto" w:fill="CCECFF"/>
          </w:tcPr>
          <w:p>
            <w:pPr>
              <w:ind w:left="20"/>
              <w:spacing w:after="0" w:line="169" w:lineRule="exact"/>
              <w:rPr>
                <w:sz w:val="20"/>
                <w:szCs w:val="20"/>
                <w:color w:val="auto"/>
              </w:rPr>
            </w:pPr>
            <w:r>
              <w:rPr>
                <w:rFonts w:ascii="Times New Roman" w:cs="Times New Roman" w:eastAsia="Times New Roman" w:hAnsi="Times New Roman"/>
                <w:sz w:val="14"/>
                <w:szCs w:val="14"/>
                <w:color w:val="auto"/>
              </w:rPr>
              <w:t xml:space="preserve">Net increase in net assets resulting from operations </w:t>
            </w:r>
            <w:r>
              <w:rPr>
                <w:rFonts w:ascii="Times New Roman" w:cs="Times New Roman" w:eastAsia="Times New Roman" w:hAnsi="Times New Roman"/>
                <w:sz w:val="19"/>
                <w:szCs w:val="19"/>
                <w:color w:val="auto"/>
                <w:vertAlign w:val="superscript"/>
              </w:rPr>
              <w:t>(1)</w:t>
            </w:r>
          </w:p>
        </w:tc>
        <w:tc>
          <w:tcPr>
            <w:tcW w:w="1180" w:type="dxa"/>
            <w:vAlign w:val="bottom"/>
            <w:tcBorders>
              <w:top w:val="single" w:sz="8" w:color="auto"/>
            </w:tcBorders>
            <w:shd w:val="clear" w:color="auto" w:fill="CCECFF"/>
          </w:tcPr>
          <w:p>
            <w:pPr>
              <w:spacing w:after="0"/>
              <w:rPr>
                <w:sz w:val="14"/>
                <w:szCs w:val="14"/>
                <w:color w:val="auto"/>
              </w:rPr>
            </w:pPr>
          </w:p>
        </w:tc>
        <w:tc>
          <w:tcPr>
            <w:tcW w:w="7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0.55</w:t>
            </w:r>
          </w:p>
        </w:tc>
        <w:tc>
          <w:tcPr>
            <w:tcW w:w="420" w:type="dxa"/>
            <w:vAlign w:val="bottom"/>
            <w:shd w:val="clear" w:color="auto" w:fill="CCECFF"/>
          </w:tcPr>
          <w:p>
            <w:pPr>
              <w:spacing w:after="0"/>
              <w:rPr>
                <w:sz w:val="14"/>
                <w:szCs w:val="14"/>
                <w:color w:val="auto"/>
              </w:rPr>
            </w:pPr>
          </w:p>
        </w:tc>
        <w:tc>
          <w:tcPr>
            <w:tcW w:w="760" w:type="dxa"/>
            <w:vAlign w:val="bottom"/>
            <w:tcBorders>
              <w:top w:val="single" w:sz="8" w:color="auto"/>
            </w:tcBorders>
            <w:shd w:val="clear" w:color="auto" w:fill="CCECFF"/>
          </w:tcPr>
          <w:p>
            <w:pPr>
              <w:spacing w:after="0"/>
              <w:rPr>
                <w:sz w:val="14"/>
                <w:szCs w:val="14"/>
                <w:color w:val="auto"/>
              </w:rPr>
            </w:pPr>
          </w:p>
        </w:tc>
        <w:tc>
          <w:tcPr>
            <w:tcW w:w="11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0.98</w:t>
            </w:r>
          </w:p>
        </w:tc>
        <w:tc>
          <w:tcPr>
            <w:tcW w:w="1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8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Distributions to stockholders </w:t>
            </w:r>
            <w:r>
              <w:rPr>
                <w:rFonts w:ascii="Times New Roman" w:cs="Times New Roman" w:eastAsia="Times New Roman" w:hAnsi="Times New Roman"/>
                <w:sz w:val="19"/>
                <w:szCs w:val="19"/>
                <w:color w:val="auto"/>
                <w:vertAlign w:val="superscript"/>
              </w:rPr>
              <w:t>(1), (2)</w:t>
            </w:r>
          </w:p>
        </w:tc>
        <w:tc>
          <w:tcPr>
            <w:tcW w:w="1180" w:type="dxa"/>
            <w:vAlign w:val="bottom"/>
          </w:tcPr>
          <w:p>
            <w:pPr>
              <w:spacing w:after="0"/>
              <w:rPr>
                <w:sz w:val="15"/>
                <w:szCs w:val="15"/>
                <w:color w:val="auto"/>
              </w:rPr>
            </w:pPr>
          </w:p>
        </w:tc>
        <w:tc>
          <w:tcPr>
            <w:tcW w:w="118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color w:val="auto"/>
              </w:rPr>
              <w:t>(0.57 )</w:t>
            </w:r>
          </w:p>
        </w:tc>
        <w:tc>
          <w:tcPr>
            <w:tcW w:w="760" w:type="dxa"/>
            <w:vAlign w:val="bottom"/>
          </w:tcPr>
          <w:p>
            <w:pPr>
              <w:spacing w:after="0"/>
              <w:rPr>
                <w:sz w:val="15"/>
                <w:szCs w:val="15"/>
                <w:color w:val="auto"/>
              </w:rPr>
            </w:pPr>
          </w:p>
        </w:tc>
        <w:tc>
          <w:tcPr>
            <w:tcW w:w="1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(0.57 )</w:t>
            </w:r>
          </w:p>
        </w:tc>
        <w:tc>
          <w:tcPr>
            <w:tcW w:w="0" w:type="dxa"/>
            <w:vAlign w:val="bottom"/>
          </w:tcPr>
          <w:p>
            <w:pPr>
              <w:spacing w:after="0"/>
              <w:rPr>
                <w:sz w:val="1"/>
                <w:szCs w:val="1"/>
                <w:color w:val="auto"/>
              </w:rPr>
            </w:pPr>
          </w:p>
        </w:tc>
      </w:tr>
      <w:tr>
        <w:trPr>
          <w:trHeight w:val="176"/>
        </w:trPr>
        <w:tc>
          <w:tcPr>
            <w:tcW w:w="6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180" w:type="dxa"/>
            <w:vAlign w:val="bottom"/>
            <w:shd w:val="clear" w:color="auto" w:fill="CCECFF"/>
          </w:tcPr>
          <w:p>
            <w:pPr>
              <w:spacing w:after="0"/>
              <w:rPr>
                <w:sz w:val="15"/>
                <w:szCs w:val="15"/>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420" w:type="dxa"/>
            <w:vAlign w:val="bottom"/>
            <w:shd w:val="clear" w:color="auto" w:fill="CCECFF"/>
          </w:tcPr>
          <w:p>
            <w:pPr>
              <w:spacing w:after="0"/>
              <w:rPr>
                <w:sz w:val="15"/>
                <w:szCs w:val="15"/>
                <w:color w:val="auto"/>
              </w:rPr>
            </w:pPr>
          </w:p>
        </w:tc>
        <w:tc>
          <w:tcPr>
            <w:tcW w:w="760" w:type="dxa"/>
            <w:vAlign w:val="bottom"/>
            <w:shd w:val="clear" w:color="auto" w:fill="CCECFF"/>
          </w:tcPr>
          <w:p>
            <w:pPr>
              <w:spacing w:after="0"/>
              <w:rPr>
                <w:sz w:val="15"/>
                <w:szCs w:val="15"/>
                <w:color w:val="auto"/>
              </w:rPr>
            </w:pPr>
          </w:p>
        </w:tc>
        <w:tc>
          <w:tcPr>
            <w:tcW w:w="1340" w:type="dxa"/>
            <w:vAlign w:val="bottom"/>
            <w:gridSpan w:val="2"/>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6780" w:type="dxa"/>
            <w:vAlign w:val="bottom"/>
            <w:tcBorders>
              <w:top w:val="single" w:sz="8" w:color="CCECFF"/>
            </w:tcBorders>
          </w:tcPr>
          <w:p>
            <w:pPr>
              <w:ind w:left="20"/>
              <w:spacing w:after="0"/>
              <w:rPr>
                <w:sz w:val="20"/>
                <w:szCs w:val="20"/>
                <w:color w:val="auto"/>
              </w:rPr>
            </w:pPr>
            <w:r>
              <w:rPr>
                <w:rFonts w:ascii="Times New Roman" w:cs="Times New Roman" w:eastAsia="Times New Roman" w:hAnsi="Times New Roman"/>
                <w:sz w:val="14"/>
                <w:szCs w:val="14"/>
                <w:color w:val="auto"/>
              </w:rPr>
              <w:t>Net asset value, end of period</w:t>
            </w:r>
          </w:p>
        </w:tc>
        <w:tc>
          <w:tcPr>
            <w:tcW w:w="1180" w:type="dxa"/>
            <w:vAlign w:val="bottom"/>
            <w:tcBorders>
              <w:top w:val="single" w:sz="8" w:color="auto"/>
              <w:bottom w:val="single" w:sz="8" w:color="auto"/>
            </w:tcBorders>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420" w:type="dxa"/>
            <w:vAlign w:val="bottom"/>
            <w:tcBorders>
              <w:top w:val="single" w:sz="8" w:color="CCECFF"/>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12.71</w:t>
            </w:r>
          </w:p>
        </w:tc>
        <w:tc>
          <w:tcPr>
            <w:tcW w:w="180" w:type="dxa"/>
            <w:vAlign w:val="bottom"/>
            <w:tcBorders>
              <w:top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80" w:type="dxa"/>
            <w:vAlign w:val="bottom"/>
            <w:tcBorders>
              <w:bottom w:val="single" w:sz="8" w:color="CCECFF"/>
            </w:tcBorders>
            <w:shd w:val="clear" w:color="auto" w:fill="CCECFF"/>
          </w:tcPr>
          <w:p>
            <w:pPr>
              <w:ind w:left="20"/>
              <w:spacing w:after="0" w:line="156" w:lineRule="exact"/>
              <w:rPr>
                <w:sz w:val="20"/>
                <w:szCs w:val="20"/>
                <w:color w:val="auto"/>
              </w:rPr>
            </w:pPr>
            <w:r>
              <w:rPr>
                <w:rFonts w:ascii="Times New Roman" w:cs="Times New Roman" w:eastAsia="Times New Roman" w:hAnsi="Times New Roman"/>
                <w:sz w:val="14"/>
                <w:szCs w:val="14"/>
                <w:color w:val="auto"/>
              </w:rPr>
              <w:t>Per share market value, end of period</w:t>
            </w:r>
          </w:p>
        </w:tc>
        <w:tc>
          <w:tcPr>
            <w:tcW w:w="1180" w:type="dxa"/>
            <w:vAlign w:val="bottom"/>
            <w:tcBorders>
              <w:bottom w:val="single" w:sz="8" w:color="auto"/>
            </w:tcBorders>
            <w:shd w:val="clear" w:color="auto" w:fill="CCECFF"/>
          </w:tcPr>
          <w:p>
            <w:pPr>
              <w:jc w:val="right"/>
              <w:ind w:right="1008"/>
              <w:spacing w:after="0" w:line="156"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13.51</w:t>
            </w:r>
          </w:p>
        </w:tc>
        <w:tc>
          <w:tcPr>
            <w:tcW w:w="420" w:type="dxa"/>
            <w:vAlign w:val="bottom"/>
            <w:tcBorders>
              <w:bottom w:val="single" w:sz="8" w:color="CCECFF"/>
            </w:tcBorders>
            <w:shd w:val="clear" w:color="auto" w:fill="CCECFF"/>
          </w:tcPr>
          <w:p>
            <w:pPr>
              <w:spacing w:after="0"/>
              <w:rPr>
                <w:sz w:val="17"/>
                <w:szCs w:val="17"/>
                <w:color w:val="auto"/>
              </w:rPr>
            </w:pPr>
          </w:p>
        </w:tc>
        <w:tc>
          <w:tcPr>
            <w:tcW w:w="760" w:type="dxa"/>
            <w:vAlign w:val="bottom"/>
            <w:tcBorders>
              <w:bottom w:val="single" w:sz="8" w:color="auto"/>
            </w:tcBorders>
            <w:shd w:val="clear" w:color="auto" w:fill="CCECFF"/>
          </w:tcPr>
          <w:p>
            <w:pPr>
              <w:jc w:val="right"/>
              <w:ind w:right="5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11.88</w:t>
            </w:r>
          </w:p>
        </w:tc>
        <w:tc>
          <w:tcPr>
            <w:tcW w:w="18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78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 xml:space="preserve">Total return </w:t>
            </w:r>
            <w:r>
              <w:rPr>
                <w:rFonts w:ascii="Times New Roman" w:cs="Times New Roman" w:eastAsia="Times New Roman" w:hAnsi="Times New Roman"/>
                <w:sz w:val="18"/>
                <w:szCs w:val="18"/>
                <w:color w:val="auto"/>
                <w:vertAlign w:val="superscript"/>
              </w:rPr>
              <w:t>*(3)</w:t>
            </w:r>
          </w:p>
        </w:tc>
        <w:tc>
          <w:tcPr>
            <w:tcW w:w="1180" w:type="dxa"/>
            <w:vAlign w:val="bottom"/>
          </w:tcPr>
          <w:p>
            <w:pPr>
              <w:spacing w:after="0"/>
              <w:rPr>
                <w:sz w:val="13"/>
                <w:szCs w:val="13"/>
                <w:color w:val="auto"/>
              </w:rPr>
            </w:pPr>
          </w:p>
        </w:tc>
        <w:tc>
          <w:tcPr>
            <w:tcW w:w="1180" w:type="dxa"/>
            <w:vAlign w:val="bottom"/>
            <w:gridSpan w:val="2"/>
          </w:tcPr>
          <w:p>
            <w:pPr>
              <w:jc w:val="right"/>
              <w:ind w:right="208"/>
              <w:spacing w:after="0" w:line="156" w:lineRule="exact"/>
              <w:rPr>
                <w:sz w:val="20"/>
                <w:szCs w:val="20"/>
                <w:color w:val="auto"/>
              </w:rPr>
            </w:pPr>
            <w:r>
              <w:rPr>
                <w:rFonts w:ascii="Times New Roman" w:cs="Times New Roman" w:eastAsia="Times New Roman" w:hAnsi="Times New Roman"/>
                <w:sz w:val="14"/>
                <w:szCs w:val="14"/>
                <w:color w:val="auto"/>
              </w:rPr>
              <w:t>10.30 %</w:t>
            </w:r>
          </w:p>
        </w:tc>
        <w:tc>
          <w:tcPr>
            <w:tcW w:w="760" w:type="dxa"/>
            <w:vAlign w:val="bottom"/>
          </w:tcPr>
          <w:p>
            <w:pPr>
              <w:spacing w:after="0"/>
              <w:rPr>
                <w:sz w:val="13"/>
                <w:szCs w:val="13"/>
                <w:color w:val="auto"/>
              </w:rPr>
            </w:pPr>
          </w:p>
        </w:tc>
        <w:tc>
          <w:tcPr>
            <w:tcW w:w="134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auto"/>
              </w:rPr>
              <w:t>47.92 %</w:t>
            </w:r>
          </w:p>
        </w:tc>
        <w:tc>
          <w:tcPr>
            <w:tcW w:w="0" w:type="dxa"/>
            <w:vAlign w:val="bottom"/>
          </w:tcPr>
          <w:p>
            <w:pPr>
              <w:spacing w:after="0"/>
              <w:rPr>
                <w:sz w:val="1"/>
                <w:szCs w:val="1"/>
                <w:color w:val="auto"/>
              </w:rPr>
            </w:pPr>
          </w:p>
        </w:tc>
      </w:tr>
      <w:tr>
        <w:trPr>
          <w:trHeight w:val="175"/>
        </w:trPr>
        <w:tc>
          <w:tcPr>
            <w:tcW w:w="67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Shares outstanding at end of period</w:t>
            </w:r>
          </w:p>
        </w:tc>
        <w:tc>
          <w:tcPr>
            <w:tcW w:w="1180" w:type="dxa"/>
            <w:vAlign w:val="bottom"/>
            <w:tcBorders>
              <w:bottom w:val="single" w:sz="8" w:color="auto"/>
            </w:tcBorders>
            <w:shd w:val="clear" w:color="auto" w:fill="CCECFF"/>
          </w:tcPr>
          <w:p>
            <w:pPr>
              <w:spacing w:after="0"/>
              <w:rPr>
                <w:sz w:val="15"/>
                <w:szCs w:val="15"/>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41,209,566</w:t>
            </w:r>
          </w:p>
        </w:tc>
        <w:tc>
          <w:tcPr>
            <w:tcW w:w="420" w:type="dxa"/>
            <w:vAlign w:val="bottom"/>
            <w:tcBorders>
              <w:bottom w:val="single" w:sz="8" w:color="CCECFF"/>
            </w:tcBorders>
            <w:shd w:val="clear" w:color="auto" w:fill="CCECFF"/>
          </w:tcPr>
          <w:p>
            <w:pPr>
              <w:spacing w:after="0"/>
              <w:rPr>
                <w:sz w:val="15"/>
                <w:szCs w:val="15"/>
                <w:color w:val="auto"/>
              </w:rPr>
            </w:pPr>
          </w:p>
        </w:tc>
        <w:tc>
          <w:tcPr>
            <w:tcW w:w="760" w:type="dxa"/>
            <w:vAlign w:val="bottom"/>
            <w:tcBorders>
              <w:bottom w:val="single" w:sz="8" w:color="auto"/>
            </w:tcBorders>
            <w:shd w:val="clear" w:color="auto" w:fill="CCECFF"/>
          </w:tcPr>
          <w:p>
            <w:pPr>
              <w:spacing w:after="0"/>
              <w:rPr>
                <w:sz w:val="15"/>
                <w:szCs w:val="15"/>
                <w:color w:val="auto"/>
              </w:rPr>
            </w:pPr>
          </w:p>
        </w:tc>
        <w:tc>
          <w:tcPr>
            <w:tcW w:w="1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38,772,074</w:t>
            </w:r>
          </w:p>
        </w:tc>
        <w:tc>
          <w:tcPr>
            <w:tcW w:w="18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780" w:type="dxa"/>
            <w:vAlign w:val="bottom"/>
          </w:tcPr>
          <w:p>
            <w:pPr>
              <w:ind w:left="20"/>
              <w:spacing w:after="0" w:line="169" w:lineRule="exact"/>
              <w:rPr>
                <w:sz w:val="20"/>
                <w:szCs w:val="20"/>
                <w:color w:val="auto"/>
              </w:rPr>
            </w:pPr>
            <w:r>
              <w:rPr>
                <w:rFonts w:ascii="Times New Roman" w:cs="Times New Roman" w:eastAsia="Times New Roman" w:hAnsi="Times New Roman"/>
                <w:sz w:val="14"/>
                <w:szCs w:val="14"/>
                <w:b w:val="1"/>
                <w:bCs w:val="1"/>
                <w:color w:val="auto"/>
              </w:rPr>
              <w:t>Ratios</w:t>
            </w:r>
            <w:r>
              <w:rPr>
                <w:rFonts w:ascii="Times New Roman" w:cs="Times New Roman" w:eastAsia="Times New Roman" w:hAnsi="Times New Roman"/>
                <w:sz w:val="19"/>
                <w:szCs w:val="19"/>
                <w:b w:val="1"/>
                <w:bCs w:val="1"/>
                <w:color w:val="auto"/>
                <w:vertAlign w:val="superscript"/>
              </w:rPr>
              <w:t>**</w:t>
            </w:r>
            <w:r>
              <w:rPr>
                <w:rFonts w:ascii="Times New Roman" w:cs="Times New Roman" w:eastAsia="Times New Roman" w:hAnsi="Times New Roman"/>
                <w:sz w:val="14"/>
                <w:szCs w:val="14"/>
                <w:b w:val="1"/>
                <w:bCs w:val="1"/>
                <w:color w:val="auto"/>
              </w:rPr>
              <w:t xml:space="preserve"> / Supplemental Data:</w:t>
            </w: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80" w:type="dxa"/>
            <w:vAlign w:val="bottom"/>
            <w:shd w:val="clear" w:color="auto" w:fill="CCECFF"/>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Ratio of operating expenses to average net assets </w:t>
            </w:r>
            <w:r>
              <w:rPr>
                <w:rFonts w:ascii="Times New Roman" w:cs="Times New Roman" w:eastAsia="Times New Roman" w:hAnsi="Times New Roman"/>
                <w:sz w:val="19"/>
                <w:szCs w:val="19"/>
                <w:color w:val="auto"/>
                <w:vertAlign w:val="superscript"/>
              </w:rPr>
              <w:t>(4)</w:t>
            </w:r>
          </w:p>
        </w:tc>
        <w:tc>
          <w:tcPr>
            <w:tcW w:w="1180" w:type="dxa"/>
            <w:vAlign w:val="bottom"/>
            <w:shd w:val="clear" w:color="auto" w:fill="CCECFF"/>
          </w:tcPr>
          <w:p>
            <w:pPr>
              <w:spacing w:after="0"/>
              <w:rPr>
                <w:sz w:val="15"/>
                <w:szCs w:val="15"/>
                <w:color w:val="auto"/>
              </w:rPr>
            </w:pPr>
          </w:p>
        </w:tc>
        <w:tc>
          <w:tcPr>
            <w:tcW w:w="1180" w:type="dxa"/>
            <w:vAlign w:val="bottom"/>
            <w:gridSpan w:val="2"/>
            <w:shd w:val="clear" w:color="auto" w:fill="CCECFF"/>
          </w:tcPr>
          <w:p>
            <w:pPr>
              <w:jc w:val="right"/>
              <w:ind w:right="208"/>
              <w:spacing w:after="0"/>
              <w:rPr>
                <w:sz w:val="20"/>
                <w:szCs w:val="20"/>
                <w:color w:val="auto"/>
              </w:rPr>
            </w:pPr>
            <w:r>
              <w:rPr>
                <w:rFonts w:ascii="Times New Roman" w:cs="Times New Roman" w:eastAsia="Times New Roman" w:hAnsi="Times New Roman"/>
                <w:sz w:val="14"/>
                <w:szCs w:val="14"/>
                <w:color w:val="auto"/>
              </w:rPr>
              <w:t>5.44 %</w:t>
            </w:r>
          </w:p>
        </w:tc>
        <w:tc>
          <w:tcPr>
            <w:tcW w:w="760" w:type="dxa"/>
            <w:vAlign w:val="bottom"/>
            <w:shd w:val="clear" w:color="auto" w:fill="CCECFF"/>
          </w:tcPr>
          <w:p>
            <w:pPr>
              <w:spacing w:after="0"/>
              <w:rPr>
                <w:sz w:val="15"/>
                <w:szCs w:val="15"/>
                <w:color w:val="auto"/>
              </w:rPr>
            </w:pPr>
          </w:p>
        </w:tc>
        <w:tc>
          <w:tcPr>
            <w:tcW w:w="13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4.12 %</w:t>
            </w:r>
          </w:p>
        </w:tc>
        <w:tc>
          <w:tcPr>
            <w:tcW w:w="0" w:type="dxa"/>
            <w:vAlign w:val="bottom"/>
          </w:tcPr>
          <w:p>
            <w:pPr>
              <w:spacing w:after="0"/>
              <w:rPr>
                <w:sz w:val="1"/>
                <w:szCs w:val="1"/>
                <w:color w:val="auto"/>
              </w:rPr>
            </w:pPr>
          </w:p>
        </w:tc>
      </w:tr>
      <w:tr>
        <w:trPr>
          <w:trHeight w:val="175"/>
        </w:trPr>
        <w:tc>
          <w:tcPr>
            <w:tcW w:w="678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Ratio of debt related expenses to average net assets </w:t>
            </w:r>
            <w:r>
              <w:rPr>
                <w:rFonts w:ascii="Times New Roman" w:cs="Times New Roman" w:eastAsia="Times New Roman" w:hAnsi="Times New Roman"/>
                <w:sz w:val="19"/>
                <w:szCs w:val="19"/>
                <w:color w:val="auto"/>
                <w:vertAlign w:val="superscript"/>
              </w:rPr>
              <w:t>(5)</w:t>
            </w:r>
          </w:p>
        </w:tc>
        <w:tc>
          <w:tcPr>
            <w:tcW w:w="1180" w:type="dxa"/>
            <w:vAlign w:val="bottom"/>
          </w:tcPr>
          <w:p>
            <w:pPr>
              <w:spacing w:after="0"/>
              <w:rPr>
                <w:sz w:val="15"/>
                <w:szCs w:val="15"/>
                <w:color w:val="auto"/>
              </w:rPr>
            </w:pPr>
          </w:p>
        </w:tc>
        <w:tc>
          <w:tcPr>
            <w:tcW w:w="118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5.37 %</w:t>
            </w:r>
          </w:p>
        </w:tc>
        <w:tc>
          <w:tcPr>
            <w:tcW w:w="76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4.16 %</w:t>
            </w:r>
          </w:p>
        </w:tc>
        <w:tc>
          <w:tcPr>
            <w:tcW w:w="0" w:type="dxa"/>
            <w:vAlign w:val="bottom"/>
          </w:tcPr>
          <w:p>
            <w:pPr>
              <w:spacing w:after="0"/>
              <w:rPr>
                <w:sz w:val="1"/>
                <w:szCs w:val="1"/>
                <w:color w:val="auto"/>
              </w:rPr>
            </w:pPr>
          </w:p>
        </w:tc>
      </w:tr>
      <w:tr>
        <w:trPr>
          <w:trHeight w:val="169"/>
        </w:trPr>
        <w:tc>
          <w:tcPr>
            <w:tcW w:w="6780" w:type="dxa"/>
            <w:vAlign w:val="bottom"/>
            <w:shd w:val="clear" w:color="auto" w:fill="CCECFF"/>
          </w:tcPr>
          <w:p>
            <w:pPr>
              <w:ind w:left="20"/>
              <w:spacing w:after="0" w:line="169" w:lineRule="exact"/>
              <w:rPr>
                <w:sz w:val="20"/>
                <w:szCs w:val="20"/>
                <w:color w:val="auto"/>
              </w:rPr>
            </w:pPr>
            <w:r>
              <w:rPr>
                <w:rFonts w:ascii="Times New Roman" w:cs="Times New Roman" w:eastAsia="Times New Roman" w:hAnsi="Times New Roman"/>
                <w:sz w:val="14"/>
                <w:szCs w:val="14"/>
                <w:color w:val="auto"/>
              </w:rPr>
              <w:t xml:space="preserve">Ratio of total expenses to average net assets </w:t>
            </w:r>
            <w:r>
              <w:rPr>
                <w:rFonts w:ascii="Times New Roman" w:cs="Times New Roman" w:eastAsia="Times New Roman" w:hAnsi="Times New Roman"/>
                <w:sz w:val="19"/>
                <w:szCs w:val="19"/>
                <w:color w:val="auto"/>
                <w:vertAlign w:val="superscript"/>
              </w:rPr>
              <w:t>(5)</w:t>
            </w:r>
          </w:p>
        </w:tc>
        <w:tc>
          <w:tcPr>
            <w:tcW w:w="1180" w:type="dxa"/>
            <w:vAlign w:val="bottom"/>
            <w:tcBorders>
              <w:top w:val="single" w:sz="8" w:color="auto"/>
            </w:tcBorders>
            <w:shd w:val="clear" w:color="auto" w:fill="CCECFF"/>
          </w:tcPr>
          <w:p>
            <w:pPr>
              <w:spacing w:after="0"/>
              <w:rPr>
                <w:sz w:val="14"/>
                <w:szCs w:val="14"/>
                <w:color w:val="auto"/>
              </w:rPr>
            </w:pPr>
          </w:p>
        </w:tc>
        <w:tc>
          <w:tcPr>
            <w:tcW w:w="7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420" w:type="dxa"/>
            <w:vAlign w:val="bottom"/>
            <w:shd w:val="clear" w:color="auto" w:fill="CCEC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CFF"/>
          </w:tcPr>
          <w:p>
            <w:pPr>
              <w:spacing w:after="0"/>
              <w:rPr>
                <w:sz w:val="14"/>
                <w:szCs w:val="14"/>
                <w:color w:val="auto"/>
              </w:rPr>
            </w:pPr>
          </w:p>
        </w:tc>
        <w:tc>
          <w:tcPr>
            <w:tcW w:w="11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678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Ratio of net investment income to average net assets </w:t>
            </w:r>
            <w:r>
              <w:rPr>
                <w:rFonts w:ascii="Times New Roman" w:cs="Times New Roman" w:eastAsia="Times New Roman" w:hAnsi="Times New Roman"/>
                <w:sz w:val="19"/>
                <w:szCs w:val="19"/>
                <w:color w:val="auto"/>
                <w:vertAlign w:val="superscript"/>
              </w:rPr>
              <w:t>(5)</w:t>
            </w:r>
          </w:p>
        </w:tc>
        <w:tc>
          <w:tcPr>
            <w:tcW w:w="1180" w:type="dxa"/>
            <w:vAlign w:val="bottom"/>
          </w:tcPr>
          <w:p>
            <w:pPr>
              <w:spacing w:after="0"/>
              <w:rPr>
                <w:sz w:val="15"/>
                <w:szCs w:val="15"/>
                <w:color w:val="auto"/>
              </w:rPr>
            </w:pPr>
          </w:p>
        </w:tc>
        <w:tc>
          <w:tcPr>
            <w:tcW w:w="118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9.69 %</w:t>
            </w:r>
          </w:p>
        </w:tc>
        <w:tc>
          <w:tcPr>
            <w:tcW w:w="76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8.24 %</w:t>
            </w:r>
          </w:p>
        </w:tc>
        <w:tc>
          <w:tcPr>
            <w:tcW w:w="0" w:type="dxa"/>
            <w:vAlign w:val="bottom"/>
          </w:tcPr>
          <w:p>
            <w:pPr>
              <w:spacing w:after="0"/>
              <w:rPr>
                <w:sz w:val="1"/>
                <w:szCs w:val="1"/>
                <w:color w:val="auto"/>
              </w:rPr>
            </w:pPr>
          </w:p>
        </w:tc>
      </w:tr>
      <w:tr>
        <w:trPr>
          <w:trHeight w:val="175"/>
        </w:trPr>
        <w:tc>
          <w:tcPr>
            <w:tcW w:w="67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Net assets at end of period</w:t>
            </w:r>
          </w:p>
        </w:tc>
        <w:tc>
          <w:tcPr>
            <w:tcW w:w="1180" w:type="dxa"/>
            <w:vAlign w:val="bottom"/>
            <w:tcBorders>
              <w:bottom w:val="single" w:sz="8" w:color="auto"/>
            </w:tcBorders>
            <w:shd w:val="clear" w:color="auto" w:fill="CCECFF"/>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519,986</w:t>
            </w:r>
          </w:p>
        </w:tc>
        <w:tc>
          <w:tcPr>
            <w:tcW w:w="420" w:type="dxa"/>
            <w:vAlign w:val="bottom"/>
            <w:tcBorders>
              <w:bottom w:val="single" w:sz="8" w:color="CCECFF"/>
            </w:tcBorders>
            <w:shd w:val="clear" w:color="auto" w:fill="CCECFF"/>
          </w:tcPr>
          <w:p>
            <w:pPr>
              <w:spacing w:after="0"/>
              <w:rPr>
                <w:sz w:val="15"/>
                <w:szCs w:val="15"/>
                <w:color w:val="auto"/>
              </w:rPr>
            </w:pPr>
          </w:p>
        </w:tc>
        <w:tc>
          <w:tcPr>
            <w:tcW w:w="760" w:type="dxa"/>
            <w:vAlign w:val="bottom"/>
            <w:tcBorders>
              <w:bottom w:val="single" w:sz="8" w:color="auto"/>
            </w:tcBorders>
            <w:shd w:val="clear" w:color="auto" w:fill="CCECFF"/>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492,974</w:t>
            </w:r>
          </w:p>
        </w:tc>
        <w:tc>
          <w:tcPr>
            <w:tcW w:w="18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debt outstanding</w:t>
            </w:r>
          </w:p>
        </w:tc>
        <w:tc>
          <w:tcPr>
            <w:tcW w:w="1180" w:type="dxa"/>
            <w:vAlign w:val="bottom"/>
            <w:tcBorders>
              <w:bottom w:val="single" w:sz="8" w:color="auto"/>
            </w:tcBorders>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808,594</w:t>
            </w:r>
          </w:p>
        </w:tc>
        <w:tc>
          <w:tcPr>
            <w:tcW w:w="420" w:type="dxa"/>
            <w:vAlign w:val="bottom"/>
          </w:tcPr>
          <w:p>
            <w:pPr>
              <w:spacing w:after="0"/>
              <w:rPr>
                <w:sz w:val="14"/>
                <w:szCs w:val="14"/>
                <w:color w:val="auto"/>
              </w:rPr>
            </w:pPr>
          </w:p>
        </w:tc>
        <w:tc>
          <w:tcPr>
            <w:tcW w:w="76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600,760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780" w:type="dxa"/>
            <w:vAlign w:val="bottom"/>
            <w:shd w:val="clear" w:color="auto" w:fill="CCECFF"/>
          </w:tcPr>
          <w:p>
            <w:pPr>
              <w:ind w:left="20"/>
              <w:spacing w:after="0" w:line="169" w:lineRule="exact"/>
              <w:rPr>
                <w:sz w:val="20"/>
                <w:szCs w:val="20"/>
                <w:color w:val="auto"/>
              </w:rPr>
            </w:pPr>
            <w:r>
              <w:rPr>
                <w:rFonts w:ascii="Times New Roman" w:cs="Times New Roman" w:eastAsia="Times New Roman" w:hAnsi="Times New Roman"/>
                <w:sz w:val="14"/>
                <w:szCs w:val="14"/>
                <w:color w:val="auto"/>
              </w:rPr>
              <w:t xml:space="preserve">Weighted average debt per share </w:t>
            </w:r>
            <w:r>
              <w:rPr>
                <w:rFonts w:ascii="Times New Roman" w:cs="Times New Roman" w:eastAsia="Times New Roman" w:hAnsi="Times New Roman"/>
                <w:sz w:val="19"/>
                <w:szCs w:val="19"/>
                <w:color w:val="auto"/>
                <w:vertAlign w:val="superscript"/>
              </w:rPr>
              <w:t>(1)</w:t>
            </w:r>
          </w:p>
        </w:tc>
        <w:tc>
          <w:tcPr>
            <w:tcW w:w="1180" w:type="dxa"/>
            <w:vAlign w:val="bottom"/>
            <w:shd w:val="clear" w:color="auto" w:fill="CCECFF"/>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20.60</w:t>
            </w:r>
          </w:p>
        </w:tc>
        <w:tc>
          <w:tcPr>
            <w:tcW w:w="420" w:type="dxa"/>
            <w:vAlign w:val="bottom"/>
            <w:shd w:val="clear" w:color="auto" w:fill="CCECFF"/>
          </w:tcPr>
          <w:p>
            <w:pPr>
              <w:spacing w:after="0"/>
              <w:rPr>
                <w:sz w:val="14"/>
                <w:szCs w:val="14"/>
                <w:color w:val="auto"/>
              </w:rPr>
            </w:pPr>
          </w:p>
        </w:tc>
        <w:tc>
          <w:tcPr>
            <w:tcW w:w="760" w:type="dxa"/>
            <w:vAlign w:val="bottom"/>
            <w:shd w:val="clear" w:color="auto" w:fill="CCECFF"/>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15.49</w:t>
            </w:r>
          </w:p>
        </w:tc>
        <w:tc>
          <w:tcPr>
            <w:tcW w:w="1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780" w:type="dxa"/>
            <w:vAlign w:val="bottom"/>
          </w:tcPr>
          <w:p>
            <w:pPr>
              <w:ind w:left="20"/>
              <w:spacing w:after="0" w:line="166" w:lineRule="exact"/>
              <w:rPr>
                <w:sz w:val="20"/>
                <w:szCs w:val="20"/>
                <w:color w:val="auto"/>
              </w:rPr>
            </w:pPr>
            <w:r>
              <w:rPr>
                <w:rFonts w:ascii="Times New Roman" w:cs="Times New Roman" w:eastAsia="Times New Roman" w:hAnsi="Times New Roman"/>
                <w:sz w:val="14"/>
                <w:szCs w:val="14"/>
                <w:color w:val="auto"/>
              </w:rPr>
              <w:t xml:space="preserve">Asset coverage per unit </w:t>
            </w:r>
            <w:r>
              <w:rPr>
                <w:rFonts w:ascii="Times New Roman" w:cs="Times New Roman" w:eastAsia="Times New Roman" w:hAnsi="Times New Roman"/>
                <w:sz w:val="19"/>
                <w:szCs w:val="19"/>
                <w:color w:val="auto"/>
                <w:vertAlign w:val="superscript"/>
              </w:rPr>
              <w:t>(6)</w:t>
            </w:r>
          </w:p>
        </w:tc>
        <w:tc>
          <w:tcPr>
            <w:tcW w:w="1180" w:type="dxa"/>
            <w:vAlign w:val="bottom"/>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1,684</w:t>
            </w:r>
          </w:p>
        </w:tc>
        <w:tc>
          <w:tcPr>
            <w:tcW w:w="420" w:type="dxa"/>
            <w:vAlign w:val="bottom"/>
          </w:tcPr>
          <w:p>
            <w:pPr>
              <w:spacing w:after="0"/>
              <w:rPr>
                <w:sz w:val="14"/>
                <w:szCs w:val="14"/>
                <w:color w:val="auto"/>
              </w:rPr>
            </w:pPr>
          </w:p>
        </w:tc>
        <w:tc>
          <w:tcPr>
            <w:tcW w:w="76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1,825</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Portfolio turnover ratio</w:t>
            </w:r>
          </w:p>
        </w:tc>
        <w:tc>
          <w:tcPr>
            <w:tcW w:w="1180" w:type="dxa"/>
            <w:vAlign w:val="bottom"/>
          </w:tcPr>
          <w:p>
            <w:pPr>
              <w:spacing w:after="0"/>
              <w:rPr>
                <w:sz w:val="15"/>
                <w:szCs w:val="15"/>
                <w:color w:val="auto"/>
              </w:rPr>
            </w:pPr>
          </w:p>
        </w:tc>
        <w:tc>
          <w:tcPr>
            <w:tcW w:w="118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28.72 %</w:t>
            </w:r>
          </w:p>
        </w:tc>
        <w:tc>
          <w:tcPr>
            <w:tcW w:w="76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44.13 %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-1652905</wp:posOffset>
            </wp:positionV>
            <wp:extent cx="12001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-1652905</wp:posOffset>
            </wp:positionV>
            <wp:extent cx="11176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-1395730</wp:posOffset>
            </wp:positionV>
            <wp:extent cx="12001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-1378585</wp:posOffset>
            </wp:positionV>
            <wp:extent cx="12001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-1395730</wp:posOffset>
            </wp:positionV>
            <wp:extent cx="11176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-1378585</wp:posOffset>
            </wp:positionV>
            <wp:extent cx="11176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-1146810</wp:posOffset>
            </wp:positionV>
            <wp:extent cx="120015"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-1146810</wp:posOffset>
            </wp:positionV>
            <wp:extent cx="11176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-461010</wp:posOffset>
            </wp:positionV>
            <wp:extent cx="12001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-461010</wp:posOffset>
            </wp:positionV>
            <wp:extent cx="11176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11176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ind w:right="9180" w:firstLine="8"/>
        <w:spacing w:after="0" w:line="260" w:lineRule="auto"/>
        <w:tabs>
          <w:tab w:leader="none" w:pos="81" w:val="left"/>
        </w:tabs>
        <w:numPr>
          <w:ilvl w:val="0"/>
          <w:numId w:val="15"/>
        </w:numPr>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0"/>
          <w:szCs w:val="10"/>
          <w:color w:val="auto"/>
        </w:rPr>
        <w:t xml:space="preserve">Not annualized for periods less than one year. </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Annualized for periods less than one year.</w:t>
      </w:r>
    </w:p>
    <w:p>
      <w:pPr>
        <w:ind w:left="380" w:hanging="372"/>
        <w:spacing w:after="0" w:line="192" w:lineRule="auto"/>
        <w:tabs>
          <w:tab w:leader="none" w:pos="380" w:val="left"/>
        </w:tabs>
        <w:numPr>
          <w:ilvl w:val="0"/>
          <w:numId w:val="1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Based on the weighted average shares outstanding for the respective periods.</w:t>
      </w:r>
    </w:p>
    <w:p>
      <w:pPr>
        <w:ind w:left="380" w:hanging="372"/>
        <w:spacing w:after="0" w:line="181" w:lineRule="auto"/>
        <w:tabs>
          <w:tab w:leader="none" w:pos="380" w:val="left"/>
        </w:tabs>
        <w:numPr>
          <w:ilvl w:val="0"/>
          <w:numId w:val="1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 tax status of distributions is calculated in accordance with income tax regulations, which may differ from amounts determined under GAAP, and reported on Form 1099-DIV each calendar year.</w:t>
      </w:r>
    </w:p>
    <w:p>
      <w:pPr>
        <w:ind w:left="380" w:hanging="372"/>
        <w:spacing w:after="0" w:line="181" w:lineRule="auto"/>
        <w:tabs>
          <w:tab w:leader="none" w:pos="380" w:val="left"/>
        </w:tabs>
        <w:numPr>
          <w:ilvl w:val="0"/>
          <w:numId w:val="1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Based on the change in market price per share during the periods and assumes distributions, if any, are reinvested.</w:t>
      </w:r>
    </w:p>
    <w:p>
      <w:pPr>
        <w:ind w:left="380" w:hanging="372"/>
        <w:spacing w:after="0" w:line="181" w:lineRule="auto"/>
        <w:tabs>
          <w:tab w:leader="none" w:pos="380" w:val="left"/>
        </w:tabs>
        <w:numPr>
          <w:ilvl w:val="0"/>
          <w:numId w:val="1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Excludes debt-related costs.</w:t>
      </w:r>
    </w:p>
    <w:p>
      <w:pPr>
        <w:ind w:left="380" w:hanging="372"/>
        <w:spacing w:after="0" w:line="191" w:lineRule="auto"/>
        <w:tabs>
          <w:tab w:leader="none" w:pos="380" w:val="left"/>
        </w:tabs>
        <w:numPr>
          <w:ilvl w:val="0"/>
          <w:numId w:val="1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Includes interest and expenses on debt (annualized) as well as Credit Facility amendment and debt issuance costs, if any, (not annualized).</w:t>
      </w:r>
    </w:p>
    <w:p>
      <w:pPr>
        <w:spacing w:after="0" w:line="6" w:lineRule="exact"/>
        <w:rPr>
          <w:rFonts w:ascii="Times New Roman" w:cs="Times New Roman" w:eastAsia="Times New Roman" w:hAnsi="Times New Roman"/>
          <w:sz w:val="14"/>
          <w:szCs w:val="14"/>
          <w:color w:val="auto"/>
          <w:vertAlign w:val="superscript"/>
        </w:rPr>
      </w:pPr>
    </w:p>
    <w:p>
      <w:pPr>
        <w:ind w:left="380" w:right="360" w:hanging="372"/>
        <w:spacing w:after="0" w:line="208" w:lineRule="auto"/>
        <w:tabs>
          <w:tab w:leader="none" w:pos="380" w:val="left"/>
        </w:tabs>
        <w:numPr>
          <w:ilvl w:val="0"/>
          <w:numId w:val="1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at par (changed from fair value). This asset coverage ratio is multiplied by $1,000 to determine the asset coverage per unit.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DEBT</w:t>
      </w:r>
    </w:p>
    <w:p>
      <w:pPr>
        <w:spacing w:after="0" w:line="179"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4"/>
          <w:szCs w:val="14"/>
          <w:color w:val="auto"/>
        </w:rPr>
        <w:t>The annualized weighted average cost of debt for the six months ended March 31, 2022 and 2021, inclusive of the fee on the undrawn commitment on the Credit Facility or the Prior Credit Facility, as applicable, amendment costs and debt issuance costs, was 3.2% and 3.4%, respectively. As of March 31, 2022, in accordance with the 1940 Act, with certain limited exceptions, we are only allowed to borrow amounts such that we are in compliance with a 150% asset coverage ratio requirement after such borrowing.</w:t>
      </w:r>
    </w:p>
    <w:p>
      <w:pPr>
        <w:spacing w:after="0" w:line="136"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4"/>
          <w:szCs w:val="14"/>
          <w:color w:val="auto"/>
        </w:rPr>
        <w:t>On April 5, 2018, our board of directors approved the application of the modified asset coverage requirements set forth in Section 61(a)(2) of the 1940 Act, as amended by the Consolidated Appropriations Act of 2018 (which includes the Small Business Credit Availability Act, or SBCAA). As a result, the asset coverage requirement applicable to us for senior securities was reduced from 200% (i.e., $1 of debt outstanding for each $1 of equity) to 150% (i.e., $2 of debt outstanding for each $1 of equity), effective as of April 5, 2019, subject to compliance with certain disclosure requirements. As of March 31, 2022 and September 30, 2021, our asset coverage ratio, as computed in accordance with the 1940 Act, was 168% and 175%,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Facility</w:t>
      </w:r>
    </w:p>
    <w:p>
      <w:pPr>
        <w:spacing w:after="0" w:line="167" w:lineRule="exact"/>
        <w:rPr>
          <w:sz w:val="20"/>
          <w:szCs w:val="20"/>
          <w:color w:val="auto"/>
        </w:rPr>
      </w:pPr>
    </w:p>
    <w:p>
      <w:pPr>
        <w:ind w:right="60" w:firstLine="449"/>
        <w:spacing w:after="0" w:line="257" w:lineRule="auto"/>
        <w:rPr>
          <w:sz w:val="20"/>
          <w:szCs w:val="20"/>
          <w:color w:val="auto"/>
        </w:rPr>
      </w:pPr>
      <w:r>
        <w:rPr>
          <w:rFonts w:ascii="Times New Roman" w:cs="Times New Roman" w:eastAsia="Times New Roman" w:hAnsi="Times New Roman"/>
          <w:sz w:val="14"/>
          <w:szCs w:val="14"/>
          <w:color w:val="auto"/>
        </w:rPr>
        <w:t>Funding I’s multi-currency Credit Facility with affiliates of Truist Bank (formerly SunTrust Bank), or the Lenders, was $300 million as of March 31, 2022, subject to satisfaction of certain conditions and regulatory restrictions that the 1940 Act imposes on us as a BDC, has an interest rate spread above LIBOR (or an alternative risk-free floating interest rate index) of 225 basis points, a maturity date of August 2026 and a revolving period that ends in August 2024. As of March 31, 2022 and September 30, 2021, Funding I had $249.7 million and $219.4 million of outstanding borrowings under the Credit Facility, respectively. The Credit Facility had a weighted average interest rate of 2.5% and 2.3%, exclusive of the fee on undrawn commitments as of March 31, 2022 and September 30, 2021, respectively. As of March 31, 2022 and September 30, 2021, we had $50.3 million and $80.6 million of unused borrowing capacity under the Credit Facility, respectively, subject to leverage and borrowing base restrictions.</w:t>
      </w:r>
    </w:p>
    <w:p>
      <w:pPr>
        <w:spacing w:after="0" w:line="127"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4"/>
          <w:szCs w:val="14"/>
          <w:color w:val="auto"/>
        </w:rPr>
        <w:t>During the revolving period, the Credit Facility bears interest at LIBOR (or an alternative risk-free floating interest rate index) plus 225 basis points and, after the revolving period, the rate will reset to Base Rate (or an alternative risk-free floating interest rate index) plus 250 basis points for the remaining two years, maturing in August 2026. The Credit Facility is secured by all of the assets of Funding I. Both we and Funding I have made customary representations and warranties and are required to comply with various covenants, reporting requirements and other customary requirements for similar credit facilities.</w:t>
      </w:r>
    </w:p>
    <w:p>
      <w:pPr>
        <w:spacing w:after="0" w:line="139"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4"/>
          <w:szCs w:val="14"/>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The Credit Facility compliance reporting is prepared on a basis of accounting other than GAAP. As of March 31, 2022, we were in compliance with the covenants relating to the Credit Facility.</w:t>
      </w:r>
    </w:p>
    <w:p>
      <w:pPr>
        <w:spacing w:after="0" w:line="123" w:lineRule="exact"/>
        <w:rPr>
          <w:sz w:val="20"/>
          <w:szCs w:val="20"/>
          <w:color w:val="auto"/>
        </w:rPr>
      </w:pPr>
    </w:p>
    <w:p>
      <w:pPr>
        <w:ind w:right="340" w:firstLine="449"/>
        <w:spacing w:after="0" w:line="261" w:lineRule="auto"/>
        <w:rPr>
          <w:sz w:val="20"/>
          <w:szCs w:val="20"/>
          <w:color w:val="auto"/>
        </w:rPr>
      </w:pPr>
      <w:r>
        <w:rPr>
          <w:rFonts w:ascii="Times New Roman" w:cs="Times New Roman" w:eastAsia="Times New Roman" w:hAnsi="Times New Roman"/>
          <w:sz w:val="14"/>
          <w:szCs w:val="14"/>
          <w:color w:val="auto"/>
        </w:rPr>
        <w:t>We own 100% of the equity interest in Funding I and treat the indebtedness of Funding I as our leverage. Our Investment Adviser serves as collateral manager to Funding I under the Credit Facility.</w:t>
      </w: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96"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Lenders, (2) 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2023 Notes</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In November 2017, we issued $138.6 million of our 2023 Notes of which $97.0 million and $117.8 million were outstanding as at March 31, 2022 and September 30, 2021, respectively.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2023 Notes were issued pursuant to a deed of trust between the Company and Mishmeret Trust Company, Ltd., as trustee.</w:t>
      </w:r>
    </w:p>
    <w:p>
      <w:pPr>
        <w:spacing w:after="0" w:line="161" w:lineRule="exact"/>
        <w:rPr>
          <w:sz w:val="20"/>
          <w:szCs w:val="20"/>
          <w:color w:val="auto"/>
        </w:rPr>
      </w:pPr>
    </w:p>
    <w:p>
      <w:pPr>
        <w:ind w:right="180" w:firstLine="449"/>
        <w:spacing w:after="0" w:line="261" w:lineRule="auto"/>
        <w:rPr>
          <w:sz w:val="20"/>
          <w:szCs w:val="20"/>
          <w:color w:val="auto"/>
        </w:rPr>
      </w:pPr>
      <w:r>
        <w:rPr>
          <w:rFonts w:ascii="Times New Roman" w:cs="Times New Roman" w:eastAsia="Times New Roman" w:hAnsi="Times New Roman"/>
          <w:sz w:val="14"/>
          <w:szCs w:val="14"/>
          <w:color w:val="auto"/>
        </w:rPr>
        <w:t>The 2023 Notes pay interest at a rate of 4.3% per year. As a result of the downgrade of the 2023 Notes from “ilA+” to “ilA-” in March 2020, the interest rate of the 2023 Notes was increased to 4.3% from 3.8%.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23"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4"/>
          <w:szCs w:val="14"/>
          <w:color w:val="auto"/>
        </w:rPr>
        <w:t>The 2023 Notes are general, unsecured obligations, rank equal in right of payment with all of PennantPark Floating Rate Capital Ltd.'s existing and future senior unsecured indebtedness and are generally redeemable at our option. The deed of trust governing the 2023 Notes includes certain customary covenants, including minimum equity requirements, and events of default. Please refer to the deed of trust filed as Exhibit (d)(8) to our post-effective amendment filed on December 13, 2017 for more information. The 2023 Notes are rated ilA- by S&amp;P Global Ratings Maalot Ltd. and are listed on the TASE. In connection with this offering, we have dual listed our common stock on the TASE.</w:t>
      </w:r>
    </w:p>
    <w:p>
      <w:pPr>
        <w:spacing w:after="0" w:line="123" w:lineRule="exact"/>
        <w:rPr>
          <w:sz w:val="20"/>
          <w:szCs w:val="20"/>
          <w:color w:val="auto"/>
        </w:rPr>
      </w:pPr>
    </w:p>
    <w:p>
      <w:pPr>
        <w:ind w:right="300" w:firstLine="449"/>
        <w:spacing w:after="0" w:line="302" w:lineRule="auto"/>
        <w:rPr>
          <w:sz w:val="20"/>
          <w:szCs w:val="20"/>
          <w:color w:val="auto"/>
        </w:rPr>
      </w:pPr>
      <w:r>
        <w:rPr>
          <w:rFonts w:ascii="Times New Roman" w:cs="Times New Roman" w:eastAsia="Times New Roman" w:hAnsi="Times New Roman"/>
          <w:sz w:val="14"/>
          <w:szCs w:val="14"/>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2026 Notes</w:t>
      </w:r>
    </w:p>
    <w:p>
      <w:pPr>
        <w:spacing w:after="0" w:line="18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4"/>
          <w:szCs w:val="14"/>
          <w:color w:val="auto"/>
        </w:rPr>
        <w:t>In March 2021 and in October 2021, we issued $100.0 million and $85.0 million, respectively, in aggregate principal amount of $185.0 million of our 2026 Notes at a public offering price per note of 99.4% and 101.5%, respectively. Interest on the 2026 Notes is paid semi-annually on April 1 and October 1 of each year, at a rate of 4.25% per year, commencing October 1, 2021. The 2026 Notes mature on April 1, 2026 and may be redeemed in whole or in part at our option subject to a make-whole premium if redeemed more than three months prior to maturity. The 2026 Notes are our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2031 Asset-Backed Debt</w:t>
      </w:r>
    </w:p>
    <w:p>
      <w:pPr>
        <w:spacing w:after="0" w:line="167" w:lineRule="exact"/>
        <w:rPr>
          <w:sz w:val="20"/>
          <w:szCs w:val="20"/>
          <w:color w:val="auto"/>
        </w:rPr>
      </w:pPr>
    </w:p>
    <w:p>
      <w:pPr>
        <w:ind w:right="40" w:firstLine="485"/>
        <w:spacing w:after="0" w:line="168" w:lineRule="exact"/>
        <w:rPr>
          <w:sz w:val="20"/>
          <w:szCs w:val="20"/>
          <w:color w:val="auto"/>
        </w:rPr>
      </w:pPr>
      <w:r>
        <w:rPr>
          <w:rFonts w:ascii="Times New Roman" w:cs="Times New Roman" w:eastAsia="Times New Roman" w:hAnsi="Times New Roman"/>
          <w:sz w:val="14"/>
          <w:szCs w:val="14"/>
          <w:color w:val="auto"/>
        </w:rPr>
        <w:t>In September 2019, the Company completed the $301.4 million term debt securitization. Term debt securitizations, also known as CLOs, are a form of secured financing incurred by the Company, which is consolidated by the Company and subject to the Company’s asset coverage requirements. The 2031 Asset-Backed Debt was issued by the Securitization Issuer. The 2031 Asset-Backed Debt is secured by the middle market loans, participation interests in middle market loans and other assets of the Securitization Issuer. The Debt Securitization was executed through (A) a private placement of: (i) $78.5 million Class A-1 Senior Secured Floating Rate Loans maturing 2031, which bear interest at the three-month LIBOR plus 1.8%, (ii) $15.0 million Class A-2 Senior Secured Fixed Rate Notes due 2031, which bear interest at 3.7%, (iii) $14.0 million Class B-1 Senior Secured Floating Rate Notes due 2031, which bear interest at the three-month LIBOR plus 2.9%, (iv) $16.0 million Class B-2 Senior Secured Fixed Rate Notes due 2031, which bear interest at 4.3%, (v) $19.0 million Class C</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 Secured Deferrable Floating Rate Notes due 2031, which bear interest at the three-month LIBOR plus 4.0%, (vi) $8.0 million Class C-2 Secured Deferrable Fixed Rate Notes due 2031, which bear interest at 5.4%, and (vii) $18.0 million Class D Secured Deferrable Floating Rate Notes due 2031, which bear interest at the three-month LIBOR plus 4.8% and (B) the borrowing of $77.5 million Class 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 Senior Secured Floating Rate Loans due 2031, which bear interest at the three-month LIBOR plus 1.8%, under a credit agreement by and among the Securitization Issuers, as borrowers, various financial institutions, as lenders, and U.S. Bank National Association, as collateral agent and as loan agent. The annualized interest on the 2031 Asset-Backed Debt will be paid, to the extent of funds available. The reinvestment period of the Debt Securitization ends on October 15, 2023 and the 2031 Asset-Backed Debt is scheduled to mature on October 15, 2031.</w:t>
      </w:r>
    </w:p>
    <w:p>
      <w:pPr>
        <w:spacing w:after="0" w:line="140"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4"/>
          <w:szCs w:val="14"/>
          <w:color w:val="auto"/>
        </w:rPr>
        <w:t>On the closing date of the Debt Securitization, in consideration of our transfer to the Securitization Issuer of the initial closing date loan portfolio, which included loans distributed to us by certain of our wholly-owned subsidiaries,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The Preferred Shares of the Securitization Issuer do not bear interest and had a stated value of approximately $55.4 million at the closing of the Debt Securitization.</w:t>
      </w:r>
    </w:p>
    <w:p>
      <w:pPr>
        <w:spacing w:after="0" w:line="137" w:lineRule="exact"/>
        <w:rPr>
          <w:sz w:val="20"/>
          <w:szCs w:val="20"/>
          <w:color w:val="auto"/>
        </w:rPr>
      </w:pPr>
    </w:p>
    <w:p>
      <w:pPr>
        <w:jc w:val="both"/>
        <w:ind w:right="60" w:firstLine="449"/>
        <w:spacing w:after="0" w:line="255" w:lineRule="auto"/>
        <w:rPr>
          <w:sz w:val="20"/>
          <w:szCs w:val="20"/>
          <w:color w:val="auto"/>
        </w:rPr>
      </w:pPr>
      <w:r>
        <w:rPr>
          <w:rFonts w:ascii="Times New Roman" w:cs="Times New Roman" w:eastAsia="Times New Roman" w:hAnsi="Times New Roman"/>
          <w:sz w:val="14"/>
          <w:szCs w:val="14"/>
          <w:color w:val="auto"/>
        </w:rPr>
        <w:t>The 2031 Asset-Backed Debt is included in the Consolidated Statement of Assets and Liabilities as debt of the Company and the Class D Secured Deferrable Floating Rate Notes and the Preferred Shares of the Securitization Issuer were eliminated in consolidation. As of both March 31, 2022 and September 30, 2021, the Company had $228.0 million of 2031 Asset-Backed Debt outstanding with a weighted average interest rate of 2.7% and 2.6%, respectively. As of March 31, 2022 and September 30, 2021, the unamortized fees on the 2031 Asset-Backed Debt were $2.2 million and $2.5 million, respectively.</w:t>
      </w:r>
    </w:p>
    <w:p>
      <w:pPr>
        <w:spacing w:after="0" w:line="139" w:lineRule="exact"/>
        <w:rPr>
          <w:sz w:val="20"/>
          <w:szCs w:val="20"/>
          <w:color w:val="auto"/>
        </w:rPr>
      </w:pPr>
    </w:p>
    <w:p>
      <w:pPr>
        <w:ind w:right="360" w:firstLine="449"/>
        <w:spacing w:after="0" w:line="282" w:lineRule="auto"/>
        <w:rPr>
          <w:sz w:val="20"/>
          <w:szCs w:val="20"/>
          <w:color w:val="auto"/>
        </w:rPr>
      </w:pPr>
      <w:r>
        <w:rPr>
          <w:rFonts w:ascii="Times New Roman" w:cs="Times New Roman" w:eastAsia="Times New Roman" w:hAnsi="Times New Roman"/>
          <w:sz w:val="14"/>
          <w:szCs w:val="14"/>
          <w:color w:val="auto"/>
        </w:rPr>
        <w:t>Our Investment Adviser serves as collateral manager to the Securitization Issuer pursuant to the Collateral Management Agreement. For so long as our Investment Adviser serves as collateral manager, it will elect to irrevocably waive any collateral management fee to which it may be entitled under the Collateral Management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COMMITMENTS AND CONTINGENCIES</w:t>
      </w:r>
    </w:p>
    <w:p>
      <w:pPr>
        <w:spacing w:after="0" w:line="165" w:lineRule="exact"/>
        <w:rPr>
          <w:sz w:val="20"/>
          <w:szCs w:val="20"/>
          <w:color w:val="auto"/>
        </w:rPr>
      </w:pPr>
    </w:p>
    <w:p>
      <w:pPr>
        <w:ind w:right="180" w:firstLine="449"/>
        <w:spacing w:after="0" w:line="261" w:lineRule="auto"/>
        <w:rPr>
          <w:sz w:val="20"/>
          <w:szCs w:val="20"/>
          <w:color w:val="auto"/>
        </w:rPr>
      </w:pPr>
      <w:r>
        <w:rPr>
          <w:rFonts w:ascii="Times New Roman" w:cs="Times New Roman" w:eastAsia="Times New Roman" w:hAnsi="Times New Roman"/>
          <w:sz w:val="14"/>
          <w:szCs w:val="14"/>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w:t>
      </w: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5" w:name="page36"/>
    <w:bookmarkEnd w:id="35"/>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4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proceedings will have a material effect upon our financial condition or results of operations. Unfunded debt and equity investments, if any, are disclosed in the Consolidated Schedules of Investments. As of March 31, 2022 and September 30, 2021, we had $167.9 million and $166.9 million, respectively, in commitments to fund investments. Additionally, as described in Note 4, the Company had unfunded commitments of $56.8 and $42.0 million to PSSL as of March 31, 2022 and September 30, 2021, respectively, that may be contributed primarily for the purpose of funding new investments approved by the PSSL board of directors or investment committee.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SUBSEQUENT EVENTS</w:t>
      </w:r>
    </w:p>
    <w:p>
      <w:pPr>
        <w:spacing w:after="0" w:line="179"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4"/>
          <w:szCs w:val="14"/>
          <w:color w:val="auto"/>
        </w:rPr>
        <w:t>On April 14, 2022, listing and trading of the Company's common stock commenced on the New York Stock Exchange after the Company voluntarily withdrew the principal listing of its common stock from the Nasdaq Stock Market LLC ("Nasdaq") effective at market close on April 13, 2022.</w:t>
      </w:r>
    </w:p>
    <w:p>
      <w:pPr>
        <w:spacing w:after="0" w:line="108" w:lineRule="exact"/>
        <w:rPr>
          <w:sz w:val="20"/>
          <w:szCs w:val="20"/>
          <w:color w:val="auto"/>
        </w:rPr>
      </w:pPr>
    </w:p>
    <w:p>
      <w:pPr>
        <w:ind w:right="80" w:firstLine="449"/>
        <w:spacing w:after="0" w:line="302" w:lineRule="auto"/>
        <w:rPr>
          <w:sz w:val="20"/>
          <w:szCs w:val="20"/>
          <w:color w:val="auto"/>
        </w:rPr>
      </w:pPr>
      <w:r>
        <w:rPr>
          <w:rFonts w:ascii="Times New Roman" w:cs="Times New Roman" w:eastAsia="Times New Roman" w:hAnsi="Times New Roman"/>
          <w:sz w:val="14"/>
          <w:szCs w:val="14"/>
          <w:color w:val="auto"/>
        </w:rPr>
        <w:t>On May 2, 2022, the PSSL Credit Facility was amended to, among other things, to allow PSSL Subsidiary II to borrow up to $325.0 million (increased from $225.0 million) at any one time outstanding, subject to leverage and borrowing base restrictions.</w:t>
      </w:r>
    </w:p>
    <w:p>
      <w:pPr>
        <w:spacing w:after="0" w:line="200" w:lineRule="exact"/>
        <w:rPr>
          <w:sz w:val="20"/>
          <w:szCs w:val="20"/>
          <w:color w:val="auto"/>
        </w:rPr>
      </w:pPr>
    </w:p>
    <w:p>
      <w:pPr>
        <w:spacing w:after="0" w:line="2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4" w:right="479" w:bottom="1440" w:gutter="0" w:footer="0" w:header="0"/>
        </w:sectPr>
      </w:pPr>
    </w:p>
    <w:bookmarkStart w:id="36" w:name="page37"/>
    <w:bookmarkEnd w:id="36"/>
    <w:p>
      <w:pPr>
        <w:ind w:left="382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Board of Directors of PennantPark Floating Rate Capital Ltd. and its Subsidiaries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Review of Interim Financial Statements</w:t>
      </w:r>
    </w:p>
    <w:p>
      <w:pPr>
        <w:spacing w:after="0" w:line="165"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4"/>
          <w:szCs w:val="14"/>
          <w:color w:val="auto"/>
        </w:rPr>
        <w:t>We have reviewed the accompanying consolidated statement of assets and liabilities of PennantPark Floating Rate Capital Ltd. and its Subsidiaries (collectively referred to as the Company), including the consolidated schedule of investments, as of March 31, 2022, and the related consolidated statements of operations and changes in net assets for the three-month and six-month periods ended March 31, 2022 and 2021, and cash flows for the six-month periods ended March 31, 2022 and 2021, and the related notes to the consolidated financial statements (collectively, the interim financial information or financial statements). Based on our reviews, we are not aware of any material modifications that should be made to the accompanying interim financial information for them to be in conformity with accounting principles generally accepted in the United States of America.</w:t>
      </w:r>
    </w:p>
    <w:p>
      <w:pPr>
        <w:spacing w:after="0" w:line="181"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4"/>
          <w:szCs w:val="14"/>
          <w:color w:val="auto"/>
        </w:rPr>
        <w:t>We have previously audited, in accordance with the standards of the Public Company Accounting Oversight Board (United States) (PCAOB), the consolidated statement of assets and liabilities of the Company, including the consolidated schedule of investments, as of September 30, 2021, and the related consolidated statements of operations, changes in net assets, and cash flows for the year then ended (not presented herein); and in our report dated November 17, 2021, we expressed an unqualified opinion on those consolidated financial statements. In our opinion, the information set forth in the accompanying consolidated statement of assets and liabilities as of September 30, 2021, is fairly stated, in all material respects, in relation to the consolidated statement of assets and liabilities from which it has been derived.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Review Results</w:t>
      </w:r>
    </w:p>
    <w:p>
      <w:pPr>
        <w:spacing w:after="0" w:line="179"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4"/>
          <w:szCs w:val="14"/>
          <w:color w:val="auto"/>
        </w:rPr>
        <w:t>These interim financial statements are the responsibility of the Company’s management. 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RSM US LLP</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4, 2022</w:t>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7"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65" w:lineRule="exact"/>
        <w:rPr>
          <w:sz w:val="20"/>
          <w:szCs w:val="20"/>
          <w:color w:val="auto"/>
        </w:rPr>
      </w:pPr>
    </w:p>
    <w:p>
      <w:pPr>
        <w:jc w:val="both"/>
        <w:ind w:right="80" w:firstLine="449"/>
        <w:spacing w:after="0" w:line="261" w:lineRule="auto"/>
        <w:rPr>
          <w:sz w:val="20"/>
          <w:szCs w:val="20"/>
          <w:color w:val="auto"/>
        </w:rPr>
      </w:pPr>
      <w:r>
        <w:rPr>
          <w:rFonts w:ascii="Times New Roman" w:cs="Times New Roman" w:eastAsia="Times New Roman" w:hAnsi="Times New Roman"/>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37" w:lineRule="exact"/>
        <w:rPr>
          <w:sz w:val="20"/>
          <w:szCs w:val="20"/>
          <w:color w:val="auto"/>
        </w:rPr>
      </w:pPr>
    </w:p>
    <w:p>
      <w:pPr>
        <w:ind w:left="840" w:hanging="383"/>
        <w:spacing w:after="0"/>
        <w:tabs>
          <w:tab w:leader="none" w:pos="8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operating results;</w:t>
      </w:r>
    </w:p>
    <w:p>
      <w:pPr>
        <w:spacing w:after="0" w:line="163"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prospects and the prospects of our prospective portfolio companies, including as a result of the current pandemic caused by COVID-19;</w:t>
      </w:r>
    </w:p>
    <w:p>
      <w:pPr>
        <w:spacing w:after="0" w:line="176" w:lineRule="exact"/>
        <w:rPr>
          <w:rFonts w:ascii="Times New Roman" w:cs="Times New Roman" w:eastAsia="Times New Roman" w:hAnsi="Times New Roman"/>
          <w:sz w:val="14"/>
          <w:szCs w:val="14"/>
          <w:color w:val="auto"/>
        </w:rPr>
      </w:pPr>
    </w:p>
    <w:p>
      <w:pPr>
        <w:ind w:left="840" w:right="40" w:hanging="383"/>
        <w:spacing w:after="0" w:line="282" w:lineRule="auto"/>
        <w:tabs>
          <w:tab w:leader="none" w:pos="8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political, economic or industry conditions, the interest rate environment or conditions affecting the financial and capital markets that could result in changes to the value of our assets, including changes from the impact of the current COVID-19 pandemic;</w:t>
      </w:r>
    </w:p>
    <w:p>
      <w:pPr>
        <w:spacing w:after="0" w:line="107"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effectively manage our business due to the significant disruptions caused by the current COVID-19 pandemic;</w:t>
      </w:r>
    </w:p>
    <w:p>
      <w:pPr>
        <w:spacing w:after="0" w:line="217"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dependence of our future success on the general economy and its impact on the industries in which we invest;</w:t>
      </w:r>
    </w:p>
    <w:p>
      <w:pPr>
        <w:spacing w:after="0" w:line="203"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 protracted decline in the liquidity of credit markets on our business;</w:t>
      </w:r>
    </w:p>
    <w:p>
      <w:pPr>
        <w:spacing w:after="0" w:line="176"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investments that we expect to make;</w:t>
      </w:r>
    </w:p>
    <w:p>
      <w:pPr>
        <w:spacing w:after="0" w:line="163"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fluctuations in interest rates and foreign exchange rates on our business and our portfolio companies;</w:t>
      </w:r>
    </w:p>
    <w:p>
      <w:pPr>
        <w:spacing w:after="0" w:line="176"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contractual arrangements and relationships with third parties;</w:t>
      </w:r>
    </w:p>
    <w:p>
      <w:pPr>
        <w:spacing w:after="0" w:line="163"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valuation of our investments in portfolio companies, particularly those having no liquid trading market;</w:t>
      </w:r>
    </w:p>
    <w:p>
      <w:pPr>
        <w:spacing w:after="0" w:line="176"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prospective portfolio companies to achieve their objectives;</w:t>
      </w:r>
    </w:p>
    <w:p>
      <w:pPr>
        <w:spacing w:after="0" w:line="163"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expected financings and investments and ability to fund capital commitments to PSSL;</w:t>
      </w:r>
    </w:p>
    <w:p>
      <w:pPr>
        <w:spacing w:after="0" w:line="176"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adequacy of our cash resources and working capital;</w:t>
      </w:r>
    </w:p>
    <w:p>
      <w:pPr>
        <w:spacing w:after="0" w:line="163"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cash flows, if any, from the operations of our prospective portfolio companies;</w:t>
      </w:r>
    </w:p>
    <w:p>
      <w:pPr>
        <w:spacing w:after="0" w:line="176"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price and volume fluctuations in the stock market;</w:t>
      </w:r>
    </w:p>
    <w:p>
      <w:pPr>
        <w:spacing w:after="0" w:line="163"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Investment Adviser to locate suitable investments for us and to monitor and administer our investments;</w:t>
      </w:r>
    </w:p>
    <w:p>
      <w:pPr>
        <w:spacing w:after="0" w:line="176"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future legislation and regulation on our business and our portfolio companies; and</w:t>
      </w:r>
    </w:p>
    <w:p>
      <w:pPr>
        <w:spacing w:after="0" w:line="163"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the United Kingdom’s withdrawal from the European Union (commonly known as “Brexit”) and other world economic and political issues.</w:t>
      </w:r>
    </w:p>
    <w:p>
      <w:pPr>
        <w:spacing w:after="0" w:line="177"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136"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23"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23" w:lineRule="exact"/>
        <w:rPr>
          <w:sz w:val="20"/>
          <w:szCs w:val="20"/>
          <w:color w:val="auto"/>
        </w:rPr>
      </w:pPr>
    </w:p>
    <w:p>
      <w:pPr>
        <w:ind w:right="500" w:firstLine="449"/>
        <w:spacing w:after="0" w:line="302" w:lineRule="auto"/>
        <w:rPr>
          <w:sz w:val="20"/>
          <w:szCs w:val="20"/>
          <w:color w:val="auto"/>
        </w:rPr>
      </w:pPr>
      <w:r>
        <w:rPr>
          <w:rFonts w:ascii="Times New Roman" w:cs="Times New Roman" w:eastAsia="Times New Roman" w:hAnsi="Times New Roman"/>
          <w:sz w:val="14"/>
          <w:szCs w:val="14"/>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94" w:lineRule="exact"/>
        <w:rPr>
          <w:sz w:val="20"/>
          <w:szCs w:val="20"/>
          <w:color w:val="auto"/>
        </w:rPr>
      </w:pPr>
    </w:p>
    <w:p>
      <w:pPr>
        <w:ind w:right="520" w:firstLine="449"/>
        <w:spacing w:after="0" w:line="282" w:lineRule="auto"/>
        <w:rPr>
          <w:sz w:val="20"/>
          <w:szCs w:val="20"/>
          <w:color w:val="auto"/>
        </w:rPr>
      </w:pPr>
      <w:r>
        <w:rPr>
          <w:rFonts w:ascii="Times New Roman" w:cs="Times New Roman" w:eastAsia="Times New Roman" w:hAnsi="Times New Roman"/>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167"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4"/>
          <w:szCs w:val="14"/>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108" w:lineRule="exact"/>
        <w:rPr>
          <w:sz w:val="20"/>
          <w:szCs w:val="20"/>
          <w:color w:val="auto"/>
        </w:rPr>
      </w:pPr>
    </w:p>
    <w:p>
      <w:pPr>
        <w:ind w:firstLine="449"/>
        <w:spacing w:after="0" w:line="243" w:lineRule="auto"/>
        <w:rPr>
          <w:sz w:val="20"/>
          <w:szCs w:val="20"/>
          <w:color w:val="auto"/>
        </w:rPr>
      </w:pPr>
      <w:r>
        <w:rPr>
          <w:rFonts w:ascii="Times New Roman" w:cs="Times New Roman" w:eastAsia="Times New Roman" w:hAnsi="Times New Roman"/>
          <w:sz w:val="14"/>
          <w:szCs w:val="14"/>
          <w:color w:val="auto"/>
        </w:rPr>
        <w:t>We believe that Floating Rate Loans to U.S. middle-market companies offer attractive risk-reward to investors due to a limited amount of capital available for such companies. We use the term “middle-market” to refer to companies with annual revenues between $50 million and $1 billion. Our investments are typically rated below investment grade. Securities rated below</w:t>
      </w:r>
    </w:p>
    <w:p>
      <w:pPr>
        <w:spacing w:after="0" w:line="1"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4"/>
          <w:szCs w:val="14"/>
          <w:color w:val="auto"/>
        </w:rPr>
        <w:t>investment grade are often referred to as “leveraged loans,” “high yield” securities or “junk bonds” and are often higher risk compared to debt instruments that are rated above investment grade and have speculative characteristics. However, when compared to junk bonds and other non-investment</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7" w:right="379" w:bottom="1440" w:gutter="0" w:footer="0" w:header="0"/>
        </w:sectPr>
      </w:pPr>
    </w:p>
    <w:bookmarkStart w:id="38" w:name="page39"/>
    <w:bookmarkEnd w:id="38"/>
    <w:p>
      <w:pPr>
        <w:ind w:right="60"/>
        <w:spacing w:after="0" w:line="261" w:lineRule="auto"/>
        <w:rPr>
          <w:sz w:val="20"/>
          <w:szCs w:val="20"/>
          <w:color w:val="auto"/>
        </w:rPr>
      </w:pPr>
      <w:r>
        <w:rPr>
          <w:rFonts w:ascii="Times New Roman" w:cs="Times New Roman" w:eastAsia="Times New Roman" w:hAnsi="Times New Roman"/>
          <w:sz w:val="14"/>
          <w:szCs w:val="14"/>
          <w:color w:val="auto"/>
        </w:rPr>
        <w:t>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23" w:lineRule="exact"/>
        <w:rPr>
          <w:sz w:val="20"/>
          <w:szCs w:val="20"/>
          <w:color w:val="auto"/>
        </w:rPr>
      </w:pPr>
    </w:p>
    <w:p>
      <w:pPr>
        <w:ind w:right="180" w:firstLine="449"/>
        <w:spacing w:after="0" w:line="255" w:lineRule="auto"/>
        <w:rPr>
          <w:sz w:val="20"/>
          <w:szCs w:val="20"/>
          <w:color w:val="auto"/>
        </w:rPr>
      </w:pPr>
      <w:r>
        <w:rPr>
          <w:rFonts w:ascii="Times New Roman" w:cs="Times New Roman" w:eastAsia="Times New Roman" w:hAnsi="Times New Roman"/>
          <w:sz w:val="14"/>
          <w:szCs w:val="14"/>
          <w:color w:val="auto"/>
        </w:rPr>
        <w:t>Under normal market conditions, we generally expect that at least 80% of the value of our managed assets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39" w:lineRule="exact"/>
        <w:rPr>
          <w:sz w:val="20"/>
          <w:szCs w:val="20"/>
          <w:color w:val="auto"/>
        </w:rPr>
      </w:pPr>
    </w:p>
    <w:p>
      <w:pPr>
        <w:ind w:right="180" w:firstLine="449"/>
        <w:spacing w:after="0" w:line="261" w:lineRule="auto"/>
        <w:rPr>
          <w:sz w:val="20"/>
          <w:szCs w:val="20"/>
          <w:color w:val="auto"/>
        </w:rPr>
      </w:pPr>
      <w:r>
        <w:rPr>
          <w:rFonts w:ascii="Times New Roman" w:cs="Times New Roman" w:eastAsia="Times New Roman" w:hAnsi="Times New Roman"/>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Organization and Structure of PennantPark Floating Rate Capital Ltd.</w:t>
      </w:r>
    </w:p>
    <w:p>
      <w:pPr>
        <w:spacing w:after="0" w:line="167" w:lineRule="exact"/>
        <w:rPr>
          <w:sz w:val="20"/>
          <w:szCs w:val="20"/>
          <w:color w:val="auto"/>
        </w:rPr>
      </w:pPr>
    </w:p>
    <w:p>
      <w:pPr>
        <w:ind w:right="140" w:firstLine="449"/>
        <w:spacing w:after="0" w:line="302" w:lineRule="auto"/>
        <w:rPr>
          <w:sz w:val="20"/>
          <w:szCs w:val="20"/>
          <w:color w:val="auto"/>
        </w:rPr>
      </w:pPr>
      <w:r>
        <w:rPr>
          <w:rFonts w:ascii="Times New Roman" w:cs="Times New Roman" w:eastAsia="Times New Roman" w:hAnsi="Times New Roman"/>
          <w:sz w:val="14"/>
          <w:szCs w:val="14"/>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94" w:lineRule="exact"/>
        <w:rPr>
          <w:sz w:val="20"/>
          <w:szCs w:val="20"/>
          <w:color w:val="auto"/>
        </w:rPr>
      </w:pPr>
    </w:p>
    <w:p>
      <w:pPr>
        <w:ind w:right="220" w:firstLine="449"/>
        <w:spacing w:after="0" w:line="253" w:lineRule="auto"/>
        <w:rPr>
          <w:sz w:val="20"/>
          <w:szCs w:val="20"/>
          <w:color w:val="auto"/>
        </w:rPr>
      </w:pPr>
      <w:r>
        <w:rPr>
          <w:rFonts w:ascii="Times New Roman" w:cs="Times New Roman" w:eastAsia="Times New Roman" w:hAnsi="Times New Roman"/>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COVID-19 Developments</w:t>
      </w:r>
    </w:p>
    <w:p>
      <w:pPr>
        <w:spacing w:after="0" w:line="167" w:lineRule="exact"/>
        <w:rPr>
          <w:sz w:val="20"/>
          <w:szCs w:val="20"/>
          <w:color w:val="auto"/>
        </w:rPr>
      </w:pPr>
    </w:p>
    <w:p>
      <w:pPr>
        <w:ind w:firstLine="449"/>
        <w:spacing w:after="0" w:line="268" w:lineRule="auto"/>
        <w:rPr>
          <w:sz w:val="20"/>
          <w:szCs w:val="20"/>
          <w:color w:val="auto"/>
        </w:rPr>
      </w:pPr>
      <w:r>
        <w:rPr>
          <w:rFonts w:ascii="Times New Roman" w:cs="Times New Roman" w:eastAsia="Times New Roman" w:hAnsi="Times New Roman"/>
          <w:sz w:val="14"/>
          <w:szCs w:val="14"/>
          <w:color w:val="auto"/>
        </w:rPr>
        <w:t>COVID-19 was first detected in December 2019 and has since been identified as a global pandemic by the World Health Organization. The effect of the ongoing COVID-19 pandemic or any worsening thereof, uncertainty relating to more contagious strains of the virus, the length of recovery of certain economic sectors in the U.S. and globally and the speed and efficiency of the vaccination process, including the extent to which the available vaccines are ineffective against any new COVID_19 variants, may create stress on the market and may affect some of our portfolio</w:t>
      </w:r>
    </w:p>
    <w:p>
      <w:pPr>
        <w:spacing w:after="0" w:line="1" w:lineRule="exact"/>
        <w:rPr>
          <w:sz w:val="20"/>
          <w:szCs w:val="20"/>
          <w:color w:val="auto"/>
        </w:rPr>
      </w:pPr>
    </w:p>
    <w:p>
      <w:pPr>
        <w:ind w:right="460"/>
        <w:spacing w:after="0" w:line="342" w:lineRule="auto"/>
        <w:rPr>
          <w:sz w:val="20"/>
          <w:szCs w:val="20"/>
          <w:color w:val="auto"/>
        </w:rPr>
      </w:pPr>
      <w:r>
        <w:rPr>
          <w:rFonts w:ascii="Times New Roman" w:cs="Times New Roman" w:eastAsia="Times New Roman" w:hAnsi="Times New Roman"/>
          <w:sz w:val="14"/>
          <w:szCs w:val="14"/>
          <w:color w:val="auto"/>
        </w:rPr>
        <w:t>companies. We cannot predict the full impact of the COVID-19 pandemic, including any worsening thereof or its duration in the United States and globally and any impact to our business operations or the business operations of our portfolio companies</w:t>
      </w:r>
    </w:p>
    <w:p>
      <w:pPr>
        <w:spacing w:after="0" w:line="68" w:lineRule="exact"/>
        <w:rPr>
          <w:sz w:val="20"/>
          <w:szCs w:val="20"/>
          <w:color w:val="auto"/>
        </w:rPr>
      </w:pPr>
    </w:p>
    <w:p>
      <w:pPr>
        <w:ind w:right="60" w:firstLine="449"/>
        <w:spacing w:after="0" w:line="243" w:lineRule="auto"/>
        <w:rPr>
          <w:sz w:val="20"/>
          <w:szCs w:val="20"/>
          <w:color w:val="auto"/>
        </w:rPr>
      </w:pPr>
      <w:r>
        <w:rPr>
          <w:rFonts w:ascii="Times New Roman" w:cs="Times New Roman" w:eastAsia="Times New Roman" w:hAnsi="Times New Roman"/>
          <w:sz w:val="14"/>
          <w:szCs w:val="14"/>
          <w:color w:val="auto"/>
        </w:rPr>
        <w:t>Due to the nature of these governmental restrictions and their potentially long-lasting duration, some portfolio companies, especially those in vulnerable industries such as retail, food and beverage and travel, have experienced significant financial distress and may default on their financial obligations to us and their other capital providers. Moreover, certain of our portfolio</w:t>
      </w:r>
    </w:p>
    <w:p>
      <w:pPr>
        <w:spacing w:after="0" w:line="1" w:lineRule="exact"/>
        <w:rPr>
          <w:sz w:val="20"/>
          <w:szCs w:val="20"/>
          <w:color w:val="auto"/>
        </w:rPr>
      </w:pPr>
    </w:p>
    <w:p>
      <w:pPr>
        <w:ind w:right="100"/>
        <w:spacing w:after="0" w:line="230" w:lineRule="auto"/>
        <w:rPr>
          <w:sz w:val="20"/>
          <w:szCs w:val="20"/>
          <w:color w:val="auto"/>
        </w:rPr>
      </w:pPr>
      <w:r>
        <w:rPr>
          <w:rFonts w:ascii="Times New Roman" w:cs="Times New Roman" w:eastAsia="Times New Roman" w:hAnsi="Times New Roman"/>
          <w:sz w:val="14"/>
          <w:szCs w:val="14"/>
          <w:color w:val="auto"/>
        </w:rPr>
        <w:t>companies that remain subject to prolonged and severe financial distress, have substantially curtailed their operations, deferred capital expenditures, furloughed or laid off workers and/or terminated relationships with their service providers. Depending on the length and magnitude of the disruption to the operations of our portfolio companies, certain portfolio companies may experience financial distress and possibly default on their financial obligations to us and their other capital providers in the future. These developments could impact the value of our investments in such portfolio companies.</w:t>
      </w:r>
    </w:p>
    <w:p>
      <w:pPr>
        <w:spacing w:after="0" w:line="123" w:lineRule="exact"/>
        <w:rPr>
          <w:sz w:val="20"/>
          <w:szCs w:val="20"/>
          <w:color w:val="auto"/>
        </w:rPr>
      </w:pPr>
    </w:p>
    <w:p>
      <w:pPr>
        <w:ind w:right="120" w:firstLine="449"/>
        <w:spacing w:after="0" w:line="256" w:lineRule="auto"/>
        <w:rPr>
          <w:sz w:val="20"/>
          <w:szCs w:val="20"/>
          <w:color w:val="auto"/>
        </w:rPr>
      </w:pPr>
      <w:r>
        <w:rPr>
          <w:rFonts w:ascii="Times New Roman" w:cs="Times New Roman" w:eastAsia="Times New Roman" w:hAnsi="Times New Roman"/>
          <w:sz w:val="14"/>
          <w:szCs w:val="14"/>
          <w:color w:val="auto"/>
        </w:rPr>
        <w:t>The COVID-19 pandemic, including any worsening thereof, may have an adverse impact on certain sectors of the global economy. Particularly, COVID-19 presents material uncertainty and risk with respect to our future performance and financial results as well as the future performance and financial results of our portfolio companies due to the risk of any sever adverse reactions to the vaccine, politicization of the vaccination process or general public skepticism of the safety and efficacy of the vaccine. While we are unable to predict the ultimate adverse effect of COVID-19, or any worsening thereof, on our results of operation, we have identified certain factors that are likely to affect market, economic and geopolitical conditions, and thereby may adversely affect our business, including:</w:t>
      </w:r>
    </w:p>
    <w:p>
      <w:pPr>
        <w:spacing w:after="0" w:line="140" w:lineRule="exact"/>
        <w:rPr>
          <w:sz w:val="20"/>
          <w:szCs w:val="20"/>
          <w:color w:val="auto"/>
        </w:rPr>
      </w:pPr>
    </w:p>
    <w:p>
      <w:pPr>
        <w:ind w:left="840" w:hanging="383"/>
        <w:spacing w:after="0"/>
        <w:tabs>
          <w:tab w:leader="none" w:pos="8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and global economic recovery;</w:t>
      </w:r>
    </w:p>
    <w:p>
      <w:pPr>
        <w:spacing w:after="0" w:line="136"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interest rates, including LIBOR;</w:t>
      </w:r>
    </w:p>
    <w:p>
      <w:pPr>
        <w:spacing w:after="0" w:line="149"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limited availability of credit, both in the United States and internationally;</w:t>
      </w:r>
    </w:p>
    <w:p>
      <w:pPr>
        <w:spacing w:after="0" w:line="149"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to supply-chains and price volatility;</w:t>
      </w:r>
    </w:p>
    <w:p>
      <w:pPr>
        <w:spacing w:after="0" w:line="149"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existing laws and regulations, or the imposition of new laws and regulations; and</w:t>
      </w:r>
    </w:p>
    <w:p>
      <w:pPr>
        <w:spacing w:after="0" w:line="149"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uncertainty regarding future governmental and regulatory policies.</w:t>
      </w:r>
    </w:p>
    <w:p>
      <w:pPr>
        <w:spacing w:after="0" w:line="177" w:lineRule="exact"/>
        <w:rPr>
          <w:sz w:val="20"/>
          <w:szCs w:val="20"/>
          <w:color w:val="auto"/>
        </w:rPr>
      </w:pPr>
    </w:p>
    <w:p>
      <w:pPr>
        <w:ind w:right="60" w:firstLine="449"/>
        <w:spacing w:after="0" w:line="251" w:lineRule="auto"/>
        <w:rPr>
          <w:sz w:val="20"/>
          <w:szCs w:val="20"/>
          <w:color w:val="auto"/>
        </w:rPr>
      </w:pPr>
      <w:r>
        <w:rPr>
          <w:rFonts w:ascii="Times New Roman" w:cs="Times New Roman" w:eastAsia="Times New Roman" w:hAnsi="Times New Roman"/>
          <w:sz w:val="14"/>
          <w:szCs w:val="14"/>
          <w:color w:val="auto"/>
        </w:rPr>
        <w:t>The business disruption and financial harm resulting from the COVID-19 pandemic experienced by some of our portfolio companies may reduce, over time, the amount of interest and dividend income that we receive from such investments and may require us to provide an increase of capital to such companies in the form of follow on investments. In connection with the adverse effects of the COVID-19 pandemic, we may also need to restructure the capitalization of some of our portfolio companies, which could result in reduced interest payments, an increase in the amount of PIK interest we receive or a permanent reduction in the value of our investments. If our net investment income decreases, the percentage of our cash flows dedicated to debt servicing and distribution payments to stockholders would subsequently increase. If such cash flows cannot be sustained, we may be required to reduce the amount of our future distributions to stockholders. As of March 31, 2022, we had two portfolio companies on non-accrual status, and the continuing impact of the COVID-19 pandemic, or any worsening thereof, may result in additional portfolio investments being placed on non-accrual status in the future.</w:t>
      </w:r>
    </w:p>
    <w:p>
      <w:pPr>
        <w:spacing w:after="0" w:line="144"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4"/>
          <w:szCs w:val="14"/>
          <w:color w:val="auto"/>
        </w:rPr>
        <w:t>Additionally, as of March 31, 2022 and September 30, 2021, our asset coverage ratio, as computed in accordance with the 1940 Act, was 168% and 175%, respectively. Our Credit Facility includes standard covenants and events of default provisions. If we fail to make the required payments or breach the covenants therein, it could result in a default under the Credit Facility. Failure to cure such default or obtain a waiver from the appropriate party would result in an event of default, and the lenders may accelerate the repayment of our indebtedness under the Credit Facility, such that all amounts owed are due immediately at the time of default. Such an action would negatively affect our liquidity, business, financial condition, results of operations, cash flows and ability to pay distributions to our stockholders.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9" w:name="page40"/>
    <w:bookmarkEnd w:id="39"/>
    <w:p>
      <w:pPr>
        <w:ind w:left="460"/>
        <w:spacing w:after="0"/>
        <w:rPr>
          <w:sz w:val="20"/>
          <w:szCs w:val="20"/>
          <w:color w:val="auto"/>
        </w:rPr>
      </w:pPr>
      <w:r>
        <w:rPr>
          <w:rFonts w:ascii="Times New Roman" w:cs="Times New Roman" w:eastAsia="Times New Roman" w:hAnsi="Times New Roman"/>
          <w:sz w:val="14"/>
          <w:szCs w:val="14"/>
          <w:color w:val="auto"/>
        </w:rPr>
        <w:t>We are also subject to financial risks, including changes in market interest rates. As of March 31, 2022, our debt portfolio consisted of 99.9% variable-rate investments. The variable-rate</w:t>
      </w:r>
    </w:p>
    <w:p>
      <w:pPr>
        <w:spacing w:after="0" w:line="17" w:lineRule="exact"/>
        <w:rPr>
          <w:sz w:val="20"/>
          <w:szCs w:val="20"/>
          <w:color w:val="auto"/>
        </w:rPr>
      </w:pPr>
    </w:p>
    <w:p>
      <w:pPr>
        <w:ind w:right="120"/>
        <w:spacing w:after="0" w:line="226" w:lineRule="auto"/>
        <w:rPr>
          <w:sz w:val="20"/>
          <w:szCs w:val="20"/>
          <w:color w:val="auto"/>
        </w:rPr>
      </w:pPr>
      <w:r>
        <w:rPr>
          <w:rFonts w:ascii="Times New Roman" w:cs="Times New Roman" w:eastAsia="Times New Roman" w:hAnsi="Times New Roman"/>
          <w:sz w:val="14"/>
          <w:szCs w:val="14"/>
          <w:color w:val="auto"/>
        </w:rPr>
        <w:t>loans are usually based on a floating interest rate index such as LIBOR and typically have durations of three months after which they reset to current market interest rates. Variable-rate investments subject to a floor generally reset by reference to the current market index after one to nine months only if the index exceeds the floor. In addition, the Credit Facility currently bears interest at LIBOR (or an alternative risk-free floating interest rate index) plus 225 basis points and, after the revolving period ends in August 2024, the rate will reset to Base Rate (or an alternative risk-free floating interest rate index) plus 250 basis points. In connection with the COVID-19 pandemic, the U.S. Federal Reserve and other central banks have reduced interest rates,</w:t>
      </w:r>
    </w:p>
    <w:p>
      <w:pPr>
        <w:spacing w:after="0" w:line="1" w:lineRule="exact"/>
        <w:rPr>
          <w:sz w:val="20"/>
          <w:szCs w:val="20"/>
          <w:color w:val="auto"/>
        </w:rPr>
      </w:pPr>
    </w:p>
    <w:p>
      <w:pPr>
        <w:jc w:val="both"/>
        <w:ind w:right="100"/>
        <w:spacing w:after="0" w:line="233" w:lineRule="auto"/>
        <w:rPr>
          <w:sz w:val="20"/>
          <w:szCs w:val="20"/>
          <w:color w:val="auto"/>
        </w:rPr>
      </w:pPr>
      <w:r>
        <w:rPr>
          <w:rFonts w:ascii="Times New Roman" w:cs="Times New Roman" w:eastAsia="Times New Roman" w:hAnsi="Times New Roman"/>
          <w:sz w:val="14"/>
          <w:szCs w:val="14"/>
          <w:color w:val="auto"/>
        </w:rPr>
        <w:t>which has caused LIBOR to decrease. Due to such rates, our gross investment income has decreased, which could result in a decrease in our net investment income if such decreases in LIBOR are not offset by, among other things, a corresponding increase in the spread over LIBOR that we earn on such loans or a decrease in the interest rate of our floating interest rate liabilities tied to LIBOR. See “Item 3. Quantitative and Qualitative Disclosures About Market Risk” below.</w:t>
      </w:r>
    </w:p>
    <w:p>
      <w:pPr>
        <w:spacing w:after="0" w:line="136" w:lineRule="exact"/>
        <w:rPr>
          <w:sz w:val="20"/>
          <w:szCs w:val="20"/>
          <w:color w:val="auto"/>
        </w:rPr>
      </w:pPr>
    </w:p>
    <w:p>
      <w:pPr>
        <w:ind w:right="240" w:firstLine="509"/>
        <w:spacing w:after="0" w:line="241" w:lineRule="auto"/>
        <w:rPr>
          <w:sz w:val="20"/>
          <w:szCs w:val="20"/>
          <w:color w:val="auto"/>
        </w:rPr>
      </w:pPr>
      <w:r>
        <w:rPr>
          <w:rFonts w:ascii="Times New Roman" w:cs="Times New Roman" w:eastAsia="Times New Roman" w:hAnsi="Times New Roman"/>
          <w:sz w:val="14"/>
          <w:szCs w:val="14"/>
          <w:color w:val="auto"/>
        </w:rPr>
        <w:t>In addition, we have continued to implement our business continuity planning strategy. Our priority has been to safeguard the health of our employees and to ensure continuity of business operations on behalf of our investors. We implemented a heightened level of communication across senior management, our investment team and our board of directors, and we have proactively engaged with our vendors on a regular basis to ensure they continue to meet our criteria for business continuity.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LIBOR Developments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July 2017, the head of the United Kingdom Financial Conduct Authority announced the desire to phase out the use of LIBOR by the end of 2021. As of December 31, 2021, all non-</w:t>
      </w:r>
    </w:p>
    <w:p>
      <w:pPr>
        <w:spacing w:after="0" w:line="17" w:lineRule="exact"/>
        <w:rPr>
          <w:sz w:val="20"/>
          <w:szCs w:val="20"/>
          <w:color w:val="auto"/>
        </w:rPr>
      </w:pPr>
    </w:p>
    <w:p>
      <w:pPr>
        <w:ind w:right="80"/>
        <w:spacing w:after="0" w:line="228" w:lineRule="auto"/>
        <w:rPr>
          <w:sz w:val="20"/>
          <w:szCs w:val="20"/>
          <w:color w:val="auto"/>
        </w:rPr>
      </w:pPr>
      <w:r>
        <w:rPr>
          <w:rFonts w:ascii="Times New Roman" w:cs="Times New Roman" w:eastAsia="Times New Roman" w:hAnsi="Times New Roman"/>
          <w:sz w:val="14"/>
          <w:szCs w:val="14"/>
          <w:color w:val="auto"/>
        </w:rPr>
        <w:t>U.S. dollar LIBOR publications have been phased out. The phase out of a majority of the U.S. dollar publications is currently delayed until June 30, 2023. The Alternative Reference Rates Committee, a steering committee comprised of large U.S. financial institutions, has identified the Secured Overnight Financing Rate (“SOFR”) as its preferred alternative rate for LIBOR. SOFR is a measure of the cost of borrowing cash overnight, collateralized by the U.S. Treasury securities, and is based on directly observable U.S. Treasury-backed repurchase transactions. Although</w:t>
      </w:r>
    </w:p>
    <w:p>
      <w:pPr>
        <w:ind w:right="100"/>
        <w:spacing w:after="0" w:line="239" w:lineRule="auto"/>
        <w:rPr>
          <w:sz w:val="20"/>
          <w:szCs w:val="20"/>
          <w:color w:val="auto"/>
        </w:rPr>
      </w:pPr>
      <w:r>
        <w:rPr>
          <w:rFonts w:ascii="Times New Roman" w:cs="Times New Roman" w:eastAsia="Times New Roman" w:hAnsi="Times New Roman"/>
          <w:sz w:val="14"/>
          <w:szCs w:val="14"/>
          <w:color w:val="auto"/>
        </w:rPr>
        <w:t>SOFR appears to be the preferred replacement rate for U.S. dollar LIBOR, it is not possible at this time to predict the effect of any such changes, any establishment of alternative reference rates, whether the COVID-19 pandemic will have further effect on LIBOR transition timelines, or other reforms to LIBOR that may be enacted.</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effect of the establishment of alternative reference rates or other reforms to LIBOR or other reference rates is complex and could have a material adverse effect on our business,</w:t>
      </w:r>
    </w:p>
    <w:p>
      <w:pPr>
        <w:spacing w:after="0" w:line="17"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14"/>
          <w:szCs w:val="14"/>
          <w:color w:val="auto"/>
        </w:rPr>
        <w:t>financial condition and results of operations. Given the inherent differences between LIBOR and SOFR, or any other alternative benchmark rate that may be established, there are continuing uncertainties regarding the transition from LIBOR, including, but not limited to, the need to amend all contracts with LIBOR as the referenced rate and how this will impact the cost of variable rate debt and certain derivative financial instruments. In addition, SOFR or other replacement rates may fail to gain market acceptance. Any failure of SOFR or alternative reference rates to gain market acceptance could adversely affect the return on, value of and market for securities linked to such rates.</w:t>
      </w:r>
    </w:p>
    <w:p>
      <w:pPr>
        <w:spacing w:after="0" w:line="190"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4"/>
          <w:szCs w:val="14"/>
          <w:color w:val="auto"/>
        </w:rPr>
        <w:t>Factors such as the pace of the transition to replacement or reformed rates, the specific terms and parameters for and market acceptance of any alternative reference rate, prices of and the liquidity of trading markets for products based on alternative reference rates, and our ability to transition and develop appropriate systems and analytics for one or more alternative reference rates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could also have a material adverse effect on our business, financial condition and results of operations.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At-the-Market Offering</w:t>
      </w:r>
    </w:p>
    <w:p>
      <w:pPr>
        <w:spacing w:after="0" w:line="140" w:lineRule="exact"/>
        <w:rPr>
          <w:sz w:val="20"/>
          <w:szCs w:val="20"/>
          <w:color w:val="auto"/>
        </w:rPr>
      </w:pPr>
    </w:p>
    <w:p>
      <w:pPr>
        <w:ind w:firstLine="524"/>
        <w:spacing w:after="0" w:line="243" w:lineRule="auto"/>
        <w:rPr>
          <w:sz w:val="20"/>
          <w:szCs w:val="20"/>
          <w:color w:val="auto"/>
        </w:rPr>
      </w:pPr>
      <w:r>
        <w:rPr>
          <w:rFonts w:ascii="Times New Roman" w:cs="Times New Roman" w:eastAsia="Times New Roman" w:hAnsi="Times New Roman"/>
          <w:sz w:val="14"/>
          <w:szCs w:val="14"/>
          <w:color w:val="auto"/>
        </w:rPr>
        <w:t>On August 20, 2021, the Company entered into Equity Distribution Agreements with each of JMP Securities LLC and Raymond James &amp; Associates, Inc., as the sales agents (each, a “Sales Agent,” and together, the “Sales Agents”), in connection with the sale of shares of the Company’s Common Stock, par value $0.001 per share, with an aggregate offering price of up to $75</w:t>
      </w:r>
    </w:p>
    <w:p>
      <w:pPr>
        <w:spacing w:after="0" w:line="1" w:lineRule="exact"/>
        <w:rPr>
          <w:sz w:val="20"/>
          <w:szCs w:val="20"/>
          <w:color w:val="auto"/>
        </w:rPr>
      </w:pPr>
    </w:p>
    <w:p>
      <w:pPr>
        <w:ind w:right="240"/>
        <w:spacing w:after="0" w:line="233" w:lineRule="auto"/>
        <w:rPr>
          <w:sz w:val="20"/>
          <w:szCs w:val="20"/>
          <w:color w:val="auto"/>
        </w:rPr>
      </w:pPr>
      <w:r>
        <w:rPr>
          <w:rFonts w:ascii="Times New Roman" w:cs="Times New Roman" w:eastAsia="Times New Roman" w:hAnsi="Times New Roman"/>
          <w:sz w:val="14"/>
          <w:szCs w:val="14"/>
          <w:color w:val="auto"/>
        </w:rPr>
        <w:t>million. The Equity Distribution Agreements provide that the Company may offer and sell shares of the Common Stock from time to time through a Sales Agent in amounts and at times to be determined by the Company. Actual sales will depend on a variety of factors to be determined by the Company from time to time, including, market conditions and the trading price of the Common 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Revenues</w:t>
      </w:r>
    </w:p>
    <w:p>
      <w:pPr>
        <w:spacing w:after="0" w:line="181" w:lineRule="exact"/>
        <w:rPr>
          <w:sz w:val="20"/>
          <w:szCs w:val="20"/>
          <w:color w:val="auto"/>
        </w:rPr>
      </w:pPr>
    </w:p>
    <w:p>
      <w:pPr>
        <w:ind w:right="20" w:firstLine="449"/>
        <w:spacing w:after="0" w:line="251" w:lineRule="auto"/>
        <w:rPr>
          <w:sz w:val="20"/>
          <w:szCs w:val="20"/>
          <w:color w:val="auto"/>
        </w:rPr>
      </w:pPr>
      <w:r>
        <w:rPr>
          <w:rFonts w:ascii="Times New Roman" w:cs="Times New Roman" w:eastAsia="Times New Roman" w:hAnsi="Times New Roman"/>
          <w:sz w:val="14"/>
          <w:szCs w:val="14"/>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floating or fixed rate. Interest on debt securities is generally payable quarterly or semiannually. In some cases,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Subtopic 450-30, Gain Contingencies, or ASC 450-30.</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Expenses</w:t>
      </w:r>
    </w:p>
    <w:p>
      <w:pPr>
        <w:spacing w:after="0" w:line="181"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139" w:lineRule="exact"/>
        <w:rPr>
          <w:sz w:val="20"/>
          <w:szCs w:val="20"/>
          <w:color w:val="auto"/>
        </w:rPr>
      </w:pPr>
    </w:p>
    <w:p>
      <w:pPr>
        <w:ind w:left="840" w:hanging="383"/>
        <w:spacing w:after="0"/>
        <w:tabs>
          <w:tab w:leader="none" w:pos="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calculating our NAV, including the cost of any third-party valuation services;</w:t>
      </w:r>
    </w:p>
    <w:p>
      <w:pPr>
        <w:spacing w:after="0" w:line="163"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effecting sales and repurchases of shares of our common stock and other securities;</w:t>
      </w:r>
    </w:p>
    <w:p>
      <w:pPr>
        <w:spacing w:after="0" w:line="176" w:lineRule="exact"/>
        <w:rPr>
          <w:rFonts w:ascii="Times New Roman" w:cs="Times New Roman" w:eastAsia="Times New Roman" w:hAnsi="Times New Roman"/>
          <w:sz w:val="14"/>
          <w:szCs w:val="14"/>
          <w:color w:val="auto"/>
        </w:rPr>
      </w:pPr>
    </w:p>
    <w:p>
      <w:pPr>
        <w:ind w:left="840" w:right="160" w:hanging="383"/>
        <w:spacing w:after="0" w:line="282" w:lineRule="auto"/>
        <w:tabs>
          <w:tab w:leader="none" w:pos="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121"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incurred by the Investment Adviser in performing due diligence and reviews of investments;</w:t>
      </w:r>
    </w:p>
    <w:p>
      <w:pPr>
        <w:spacing w:after="0" w:line="163"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 agent and custodial fees;</w:t>
      </w:r>
    </w:p>
    <w:p>
      <w:pPr>
        <w:spacing w:after="0" w:line="176"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and expenses associated with marketing efforts;</w:t>
      </w:r>
    </w:p>
    <w:p>
      <w:pPr>
        <w:spacing w:after="0" w:line="163"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and state registration fees and any exchange listing fees;</w:t>
      </w: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40" w:name="page41"/>
    <w:bookmarkEnd w:id="40"/>
    <w:p>
      <w:pPr>
        <w:ind w:left="840" w:hanging="383"/>
        <w:spacing w:after="0"/>
        <w:tabs>
          <w:tab w:leader="none" w:pos="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state, local and foreign taxes;</w:t>
      </w:r>
    </w:p>
    <w:p>
      <w:pPr>
        <w:spacing w:after="0" w:line="176"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independent directors’ fees and expenses;</w:t>
      </w:r>
    </w:p>
    <w:p>
      <w:pPr>
        <w:spacing w:after="0" w:line="163"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brokerage commissions;</w:t>
      </w:r>
    </w:p>
    <w:p>
      <w:pPr>
        <w:spacing w:after="0" w:line="176"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fidelity bond, directors and officers, errors and omissions liability insurance and other insurance premiums;</w:t>
      </w:r>
    </w:p>
    <w:p>
      <w:pPr>
        <w:spacing w:after="0" w:line="163"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costs such as printing, mailing, long distance telephone and staff;</w:t>
      </w:r>
    </w:p>
    <w:p>
      <w:pPr>
        <w:spacing w:after="0" w:line="176"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and expenses associated with independent audits and outside legal costs;</w:t>
      </w:r>
    </w:p>
    <w:p>
      <w:pPr>
        <w:spacing w:after="0" w:line="163"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associated with our reporting and compliance obligations under the 1940 Act and applicable federal and state securities laws; and</w:t>
      </w:r>
    </w:p>
    <w:p>
      <w:pPr>
        <w:spacing w:after="0" w:line="176" w:lineRule="exact"/>
        <w:rPr>
          <w:rFonts w:ascii="Times New Roman" w:cs="Times New Roman" w:eastAsia="Times New Roman" w:hAnsi="Times New Roman"/>
          <w:sz w:val="14"/>
          <w:szCs w:val="14"/>
          <w:color w:val="auto"/>
        </w:rPr>
      </w:pPr>
    </w:p>
    <w:p>
      <w:pPr>
        <w:jc w:val="both"/>
        <w:ind w:left="840" w:right="160" w:hanging="383"/>
        <w:spacing w:after="0" w:line="261" w:lineRule="auto"/>
        <w:tabs>
          <w:tab w:leader="none" w:pos="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36"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PORTFOLIO AND INVESTMENT ACTIVITYd</w:t>
      </w:r>
    </w:p>
    <w:p>
      <w:pPr>
        <w:spacing w:after="0" w:line="138" w:lineRule="exact"/>
        <w:rPr>
          <w:sz w:val="20"/>
          <w:szCs w:val="20"/>
          <w:color w:val="auto"/>
        </w:rPr>
      </w:pPr>
    </w:p>
    <w:p>
      <w:pPr>
        <w:ind w:right="40" w:firstLine="449"/>
        <w:spacing w:after="0" w:line="257" w:lineRule="auto"/>
        <w:rPr>
          <w:sz w:val="20"/>
          <w:szCs w:val="20"/>
          <w:color w:val="auto"/>
        </w:rPr>
      </w:pPr>
      <w:r>
        <w:rPr>
          <w:rFonts w:ascii="Times New Roman" w:cs="Times New Roman" w:eastAsia="Times New Roman" w:hAnsi="Times New Roman"/>
          <w:sz w:val="14"/>
          <w:szCs w:val="14"/>
          <w:color w:val="auto"/>
        </w:rPr>
        <w:t>As of March 31, 2022, our portfolio totaled $1,192.6 million, and consisted of $1,031.9 million of first lien secured debt (including $170.3 million in PSSL), $1.0 million of second lien secured debt and $159.6 million of preferred and common equity (including $55.4 million in PSSL). Our debt portfolio consisted of 100% variable-rate investments. As of March 31, 2022, we had two portfolio companies on non-accrual, representing 2.5% and 2.3% of our overall portfolio on a cost and fair value basis, respectively. Overall, the portfolio had net unrealized appreciation of $25.4 million. Our overall portfolio consisted of 119 companies with an average investment size of $10.0 million, had a weighted average yield on debt investments of 7.5%, and was invested 87% in first lien secured debt (including 14% in PSSL), less than 1% in second lien secured debt and 13% in preferred and common equity (including 5% in PSSL). As of March 31, 2022, 99.5% of the investments held by PSSL were first lien secured debt.</w:t>
      </w:r>
    </w:p>
    <w:p>
      <w:pPr>
        <w:spacing w:after="0" w:line="113"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4"/>
          <w:szCs w:val="14"/>
          <w:color w:val="auto"/>
        </w:rPr>
        <w:t>As of September 30, 2021, our portfolio totaled $1,081.6 million, and consisted of $934.4 million of first lien secured debt (including $140.9 million in PSSL), $8.9 million of second lien secured debt and $138.3 million of preferred and common equity (including $44.9 million in PSSL). Our debt portfolio consisted of 99% variable-rate investments. As of September 30, 2021, we had two portfolio companies on non-accrual, representing 2.7% and 2.6% of our overall portfolio on a cost and fair value basis, respectively. Overall, the portfolio had net unrealized appreciation of $11.0 million. Our overall portfolio consisted of 110 companies with an average investment size of $9.8 million, had a weighted average yield on debt investments of 7.4%, and was invested 86% in first lien secured debt (including 13% in PSSL), 1% in second lien secured debt and 13% in preferred and common equity (including 4% in PSSL). As of September 30, 2021, 99% of the investments held by PSSL were first lien secured debt.</w:t>
      </w:r>
    </w:p>
    <w:p>
      <w:pPr>
        <w:spacing w:after="0" w:line="129" w:lineRule="exact"/>
        <w:rPr>
          <w:sz w:val="20"/>
          <w:szCs w:val="20"/>
          <w:color w:val="auto"/>
        </w:rPr>
      </w:pPr>
    </w:p>
    <w:p>
      <w:pPr>
        <w:ind w:right="80" w:firstLine="449"/>
        <w:spacing w:after="0" w:line="271" w:lineRule="auto"/>
        <w:rPr>
          <w:sz w:val="20"/>
          <w:szCs w:val="20"/>
          <w:color w:val="auto"/>
        </w:rPr>
      </w:pPr>
      <w:r>
        <w:rPr>
          <w:rFonts w:ascii="Times New Roman" w:cs="Times New Roman" w:eastAsia="Times New Roman" w:hAnsi="Times New Roman"/>
          <w:sz w:val="14"/>
          <w:szCs w:val="14"/>
          <w:color w:val="auto"/>
        </w:rPr>
        <w:t>For the three months ended March 31, 2022, we invested $113.2 million in seven new and 29 existing portfolio companies with a weighted average yield on debt investments of 7.2 %. Sales and repayments of investments for the three months ended March 31, 2022 totaled $103.9 million. For the six months ended March 31, 2022, we invested $448.4 million in 23 new and 65 existing portfolio companies with a weighted average yield on debt investments of 7.7%. Sales and repayments of investments for the totaled $342.2 million.</w:t>
      </w:r>
    </w:p>
    <w:p>
      <w:pPr>
        <w:spacing w:after="0" w:line="116" w:lineRule="exact"/>
        <w:rPr>
          <w:sz w:val="20"/>
          <w:szCs w:val="20"/>
          <w:color w:val="auto"/>
        </w:rPr>
      </w:pPr>
    </w:p>
    <w:p>
      <w:pPr>
        <w:ind w:firstLine="449"/>
        <w:spacing w:after="0" w:line="263" w:lineRule="auto"/>
        <w:rPr>
          <w:sz w:val="20"/>
          <w:szCs w:val="20"/>
          <w:color w:val="auto"/>
        </w:rPr>
      </w:pPr>
      <w:r>
        <w:rPr>
          <w:rFonts w:ascii="Times New Roman" w:cs="Times New Roman" w:eastAsia="Times New Roman" w:hAnsi="Times New Roman"/>
          <w:sz w:val="14"/>
          <w:szCs w:val="14"/>
          <w:color w:val="auto"/>
        </w:rPr>
        <w:t>For the three months ended March 31, 2021, we invested $160.2 million in four new and 17 existing portfolio companies with a weighted average yield on debt investments of 7.4%. Sales and repayments of investments for the three months ended March 31, 2021 totaled $172.1 million. For the six months ended March 31, 2021, we</w:t>
      </w:r>
    </w:p>
    <w:p>
      <w:pPr>
        <w:spacing w:after="0" w:line="1"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4"/>
          <w:szCs w:val="14"/>
          <w:color w:val="auto"/>
        </w:rPr>
        <w:t>invested $227.2 million in nine new and 34 existing portfolio companies with a weighted average yield on debt investments of 7.4%. Sales and repayments of investments for the totaled $281.7 million.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PennantPark Senior Secured Loan Fund I LLC</w:t>
      </w:r>
    </w:p>
    <w:p>
      <w:pPr>
        <w:spacing w:after="0" w:line="165" w:lineRule="exact"/>
        <w:rPr>
          <w:sz w:val="20"/>
          <w:szCs w:val="20"/>
          <w:color w:val="auto"/>
        </w:rPr>
      </w:pPr>
    </w:p>
    <w:p>
      <w:pPr>
        <w:ind w:right="200" w:firstLine="449"/>
        <w:spacing w:after="0" w:line="271" w:lineRule="auto"/>
        <w:rPr>
          <w:sz w:val="20"/>
          <w:szCs w:val="20"/>
          <w:color w:val="auto"/>
        </w:rPr>
      </w:pPr>
      <w:r>
        <w:rPr>
          <w:rFonts w:ascii="Times New Roman" w:cs="Times New Roman" w:eastAsia="Times New Roman" w:hAnsi="Times New Roman"/>
          <w:sz w:val="14"/>
          <w:szCs w:val="14"/>
          <w:color w:val="auto"/>
        </w:rPr>
        <w:t>As of March 31, 2022, PSSL’s portfolio totaled $705.0 million and consisted of 87 companies with an average investment size of $8.1 million and had a weighted average yield on debt investments of 7.4%. As of September 30, 2021, PSSL’s portfolio totaled $564.8 million and consisted of 74 companies with an average investment size of $7.6 million and had a weighted average yield on debt investments of 7.1%.</w:t>
      </w:r>
    </w:p>
    <w:p>
      <w:pPr>
        <w:spacing w:after="0" w:line="116"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4"/>
          <w:szCs w:val="14"/>
          <w:color w:val="auto"/>
        </w:rPr>
        <w:t>For the three months ended March 31, 2022, PSSL invested $67.5 million (including $57.7 million purchased from the Company) in nine new and two existing portfolio companies with a weighted average yield on debt investments of 7.2%. Sales and repayments of investments for the three months ended March 31, 2022 totaled $5.3 million. For the six months ended March 31, 2022, PSSL invested $197.1 million (including $180.4 million purchased from the Company) in 21 new and eight existing portfolio companies with a weighted average yield on debt investments of 7.8%. Sales and repayments of investments for the six months ended March 31, 2022 totaled $55.7 million.</w:t>
      </w:r>
    </w:p>
    <w:p>
      <w:pPr>
        <w:spacing w:after="0" w:line="123" w:lineRule="exact"/>
        <w:rPr>
          <w:sz w:val="20"/>
          <w:szCs w:val="20"/>
          <w:color w:val="auto"/>
        </w:rPr>
      </w:pPr>
    </w:p>
    <w:p>
      <w:pPr>
        <w:jc w:val="both"/>
        <w:ind w:right="40" w:firstLine="449"/>
        <w:spacing w:after="0" w:line="261" w:lineRule="auto"/>
        <w:rPr>
          <w:sz w:val="20"/>
          <w:szCs w:val="20"/>
          <w:color w:val="auto"/>
        </w:rPr>
      </w:pPr>
      <w:r>
        <w:rPr>
          <w:rFonts w:ascii="Times New Roman" w:cs="Times New Roman" w:eastAsia="Times New Roman" w:hAnsi="Times New Roman"/>
          <w:sz w:val="14"/>
          <w:szCs w:val="14"/>
          <w:color w:val="auto"/>
        </w:rPr>
        <w:t>For the three months ended March 31, 2021, PSSL invested $128.7 million (including $125.2 million purchased from the Company) in 24 new and six existing portfolio companies with a weighted average yield on debt investments of 7.3%. Sales and repayments of investments for the three months ended March 31, 2021 totaled $29.6 million. For the six months ended March 31, 2021, PSSL invested $144.1 million (including $125.2 million purchased from the Company) in 24 new and 11 existing portfolio companies with a weighted average yield on debt investments of 7.4%. Sales and repayments of investments for the six months ended March 31, 2021 totaled $60.2 million.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65" w:lineRule="exact"/>
        <w:rPr>
          <w:sz w:val="20"/>
          <w:szCs w:val="20"/>
          <w:color w:val="auto"/>
        </w:rPr>
      </w:pPr>
    </w:p>
    <w:p>
      <w:pPr>
        <w:ind w:right="20" w:firstLine="449"/>
        <w:spacing w:after="0" w:line="252" w:lineRule="auto"/>
        <w:rPr>
          <w:sz w:val="20"/>
          <w:szCs w:val="20"/>
          <w:color w:val="auto"/>
        </w:rPr>
      </w:pPr>
      <w:r>
        <w:rPr>
          <w:rFonts w:ascii="Times New Roman" w:cs="Times New Roman" w:eastAsia="Times New Roman" w:hAnsi="Times New Roman"/>
          <w:sz w:val="14"/>
          <w:szCs w:val="14"/>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1" w:name="page42"/>
    <w:bookmarkEnd w:id="41"/>
    <w:p>
      <w:pPr>
        <w:ind w:right="20"/>
        <w:spacing w:after="0" w:line="256" w:lineRule="auto"/>
        <w:rPr>
          <w:sz w:val="20"/>
          <w:szCs w:val="20"/>
          <w:color w:val="auto"/>
        </w:rPr>
      </w:pPr>
      <w:r>
        <w:rPr>
          <w:rFonts w:ascii="Times New Roman" w:cs="Times New Roman" w:eastAsia="Times New Roman" w:hAnsi="Times New Roman"/>
          <w:sz w:val="14"/>
          <w:szCs w:val="14"/>
          <w:color w:val="auto"/>
        </w:rPr>
        <w:t>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 We discuss our critical accounting estimates in Management’s Discussion and Analysis of Financial Condition and Results of Operations in our 2021 Annual Report on Form 10-K. There have been no significant changes in our critical accounting estimates during the three months from those disclosed in our 2021 Annual Report on Form 10-K.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 Valuations</w:t>
      </w:r>
    </w:p>
    <w:p>
      <w:pPr>
        <w:spacing w:after="0" w:line="167"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4"/>
          <w:szCs w:val="14"/>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30" w:lineRule="exact"/>
        <w:rPr>
          <w:sz w:val="20"/>
          <w:szCs w:val="20"/>
          <w:color w:val="auto"/>
        </w:rPr>
      </w:pPr>
    </w:p>
    <w:p>
      <w:pPr>
        <w:ind w:right="360" w:firstLine="449"/>
        <w:spacing w:after="0" w:line="302" w:lineRule="auto"/>
        <w:rPr>
          <w:sz w:val="20"/>
          <w:szCs w:val="20"/>
          <w:color w:val="auto"/>
        </w:rPr>
      </w:pPr>
      <w:r>
        <w:rPr>
          <w:rFonts w:ascii="Times New Roman" w:cs="Times New Roman" w:eastAsia="Times New Roman" w:hAnsi="Times New Roman"/>
          <w:sz w:val="14"/>
          <w:szCs w:val="14"/>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94" w:lineRule="exact"/>
        <w:rPr>
          <w:sz w:val="20"/>
          <w:szCs w:val="20"/>
          <w:color w:val="auto"/>
        </w:rPr>
      </w:pPr>
    </w:p>
    <w:p>
      <w:pPr>
        <w:ind w:left="840" w:right="100" w:hanging="383"/>
        <w:spacing w:after="0" w:line="282" w:lineRule="auto"/>
        <w:tabs>
          <w:tab w:leader="none" w:pos="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21"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Preliminary valuation conclusions are then documented and discussed with the management of our Investment Adviser;</w:t>
      </w:r>
    </w:p>
    <w:p>
      <w:pPr>
        <w:spacing w:after="0" w:line="163" w:lineRule="exact"/>
        <w:rPr>
          <w:rFonts w:ascii="Times New Roman" w:cs="Times New Roman" w:eastAsia="Times New Roman" w:hAnsi="Times New Roman"/>
          <w:sz w:val="14"/>
          <w:szCs w:val="14"/>
          <w:color w:val="auto"/>
        </w:rPr>
      </w:pPr>
    </w:p>
    <w:p>
      <w:pPr>
        <w:jc w:val="both"/>
        <w:ind w:left="840" w:right="160" w:hanging="383"/>
        <w:spacing w:after="0" w:line="271" w:lineRule="auto"/>
        <w:tabs>
          <w:tab w:leader="none" w:pos="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16" w:lineRule="exact"/>
        <w:rPr>
          <w:rFonts w:ascii="Times New Roman" w:cs="Times New Roman" w:eastAsia="Times New Roman" w:hAnsi="Times New Roman"/>
          <w:sz w:val="14"/>
          <w:szCs w:val="14"/>
          <w:color w:val="auto"/>
        </w:rPr>
      </w:pPr>
    </w:p>
    <w:p>
      <w:pPr>
        <w:ind w:left="840" w:right="40" w:hanging="383"/>
        <w:spacing w:after="0" w:line="271" w:lineRule="auto"/>
        <w:tabs>
          <w:tab w:leader="none" w:pos="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6" w:lineRule="exact"/>
        <w:rPr>
          <w:rFonts w:ascii="Times New Roman" w:cs="Times New Roman" w:eastAsia="Times New Roman" w:hAnsi="Times New Roman"/>
          <w:sz w:val="14"/>
          <w:szCs w:val="14"/>
          <w:color w:val="auto"/>
        </w:rPr>
      </w:pPr>
    </w:p>
    <w:p>
      <w:pPr>
        <w:ind w:left="840" w:right="160" w:hanging="383"/>
        <w:spacing w:after="0" w:line="302" w:lineRule="auto"/>
        <w:tabs>
          <w:tab w:leader="none" w:pos="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94"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4"/>
          <w:szCs w:val="14"/>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23"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4"/>
          <w:szCs w:val="14"/>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ASC 820 classifies the inputs used to measure these fair values into the following hierarchies:</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Level 1: Inputs that are quoted prices (unadjusted) in active markets for identical assets or liabilities, accessible by us at the measurement date.</w:t>
      </w:r>
    </w:p>
    <w:p>
      <w:pPr>
        <w:spacing w:after="0" w:line="177" w:lineRule="exact"/>
        <w:rPr>
          <w:sz w:val="20"/>
          <w:szCs w:val="20"/>
          <w:color w:val="auto"/>
        </w:rPr>
      </w:pPr>
    </w:p>
    <w:p>
      <w:pPr>
        <w:ind w:left="800" w:right="60" w:hanging="344"/>
        <w:spacing w:after="0" w:line="282" w:lineRule="auto"/>
        <w:rPr>
          <w:sz w:val="20"/>
          <w:szCs w:val="20"/>
          <w:color w:val="auto"/>
        </w:rPr>
      </w:pPr>
      <w:r>
        <w:rPr>
          <w:rFonts w:ascii="Times New Roman" w:cs="Times New Roman" w:eastAsia="Times New Roman" w:hAnsi="Times New Roman"/>
          <w:sz w:val="14"/>
          <w:szCs w:val="14"/>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Level 3: Inputs that are unobservable for an asset or liability because they are based on our own assumptions about how market participants would price the asset or liability.</w:t>
      </w:r>
    </w:p>
    <w:p>
      <w:pPr>
        <w:spacing w:after="0" w:line="163" w:lineRule="exact"/>
        <w:rPr>
          <w:sz w:val="20"/>
          <w:szCs w:val="20"/>
          <w:color w:val="auto"/>
        </w:rPr>
      </w:pPr>
    </w:p>
    <w:p>
      <w:pPr>
        <w:ind w:right="200" w:firstLine="449"/>
        <w:spacing w:after="0" w:line="261" w:lineRule="auto"/>
        <w:rPr>
          <w:sz w:val="20"/>
          <w:szCs w:val="20"/>
          <w:color w:val="auto"/>
        </w:rPr>
      </w:pPr>
      <w:r>
        <w:rPr>
          <w:rFonts w:ascii="Times New Roman" w:cs="Times New Roman" w:eastAsia="Times New Roman" w:hAnsi="Times New Roman"/>
          <w:sz w:val="14"/>
          <w:szCs w:val="14"/>
          <w:color w:val="auto"/>
        </w:rPr>
        <w:t>A financial instrument’s categorization within the valuation hierarchy is based upon the lowest level of input that is significant to the fair value measurement. Generally, most of our investments, our 2031 Asset-Backed Debt and our Credit Facility are classified as Level 3. Our 2026 Notes are classified as Level 2 as they are financial instruments with readily observable market inputs. Our 2023 Notes are classified as Level 1, as they were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23" w:lineRule="exact"/>
        <w:rPr>
          <w:sz w:val="20"/>
          <w:szCs w:val="20"/>
          <w:color w:val="auto"/>
        </w:rPr>
      </w:pPr>
    </w:p>
    <w:p>
      <w:pPr>
        <w:ind w:right="220" w:firstLine="449"/>
        <w:spacing w:after="0" w:line="302" w:lineRule="auto"/>
        <w:rPr>
          <w:sz w:val="20"/>
          <w:szCs w:val="20"/>
          <w:color w:val="auto"/>
        </w:rPr>
      </w:pPr>
      <w:r>
        <w:rPr>
          <w:rFonts w:ascii="Times New Roman" w:cs="Times New Roman" w:eastAsia="Times New Roman" w:hAnsi="Times New Roman"/>
          <w:sz w:val="14"/>
          <w:szCs w:val="14"/>
          <w:color w:val="auto"/>
        </w:rPr>
        <w:t>The SEC recently adopted Rule 2a-5 under the 1940 Act which establishes requirements for determining fair value in good faith for purposes of the 1940 Act. We will comply with the requirements of the rule before the requirement date in 2022.</w:t>
      </w:r>
    </w:p>
    <w:p>
      <w:pPr>
        <w:spacing w:after="0" w:line="94" w:lineRule="exact"/>
        <w:rPr>
          <w:sz w:val="20"/>
          <w:szCs w:val="20"/>
          <w:color w:val="auto"/>
        </w:rPr>
      </w:pPr>
    </w:p>
    <w:p>
      <w:pPr>
        <w:ind w:right="220" w:firstLine="449"/>
        <w:spacing w:after="0" w:line="271" w:lineRule="auto"/>
        <w:rPr>
          <w:sz w:val="20"/>
          <w:szCs w:val="20"/>
          <w:color w:val="auto"/>
        </w:rPr>
      </w:pPr>
      <w:r>
        <w:rPr>
          <w:rFonts w:ascii="Times New Roman" w:cs="Times New Roman" w:eastAsia="Times New Roman" w:hAnsi="Times New Roman"/>
          <w:sz w:val="14"/>
          <w:szCs w:val="14"/>
          <w:color w:val="auto"/>
        </w:rPr>
        <w:t>In addition to using the above inputs to value cash equivalents, investments, our 2023 Notes, our 2026 Notes, our 2031 Asset-Backed Debt and our Credit Facility,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2" w:name="page43"/>
    <w:bookmarkEnd w:id="42"/>
    <w:p>
      <w:pPr>
        <w:ind w:firstLine="449"/>
        <w:spacing w:after="0" w:line="251" w:lineRule="auto"/>
        <w:rPr>
          <w:sz w:val="20"/>
          <w:szCs w:val="20"/>
          <w:color w:val="auto"/>
        </w:rPr>
      </w:pPr>
      <w:r>
        <w:rPr>
          <w:rFonts w:ascii="Times New Roman" w:cs="Times New Roman" w:eastAsia="Times New Roman" w:hAnsi="Times New Roman"/>
          <w:sz w:val="14"/>
          <w:szCs w:val="14"/>
          <w:color w:val="auto"/>
        </w:rPr>
        <w:t>Generally, 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our Credit Facility and the 2023 Notes. We elected to use the fair value option for our Credit Facility and the 2023 Notes to align the measurement attributes of both our assets and liabilities while mitigating volatility in earnings from using different measurement attributes. Due to that election and in accordance with GAAP, we did not incur any expenses relating to amendment costs on the Credit Facility and debt issuance costs on the 2023 Notes during the three and six months ended March 31, 2022 and 2021,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including the 2026 Notes and the 2031 Asset-Backed Debt.</w:t>
      </w:r>
    </w:p>
    <w:p>
      <w:pPr>
        <w:spacing w:after="0" w:line="145" w:lineRule="exact"/>
        <w:rPr>
          <w:sz w:val="20"/>
          <w:szCs w:val="20"/>
          <w:color w:val="auto"/>
        </w:rPr>
      </w:pPr>
    </w:p>
    <w:p>
      <w:pPr>
        <w:ind w:right="120" w:firstLine="449"/>
        <w:spacing w:after="0" w:line="256" w:lineRule="auto"/>
        <w:rPr>
          <w:sz w:val="20"/>
          <w:szCs w:val="20"/>
          <w:color w:val="auto"/>
        </w:rPr>
      </w:pPr>
      <w:r>
        <w:rPr>
          <w:rFonts w:ascii="Times New Roman" w:cs="Times New Roman" w:eastAsia="Times New Roman" w:hAnsi="Times New Roman"/>
          <w:sz w:val="14"/>
          <w:szCs w:val="14"/>
          <w:color w:val="auto"/>
        </w:rPr>
        <w:t>For the three and six months ended March 31, 2022, the Credit Facility and the 2023 Notes had a net change in unrealized (appreciation) depreciation of $(2.4) million and $1.2 million, respectively. For the three and six months ended March 31, 2021, the Credit Facility and the 2023 Notes had a net change in unrealized appreciation of $10.5 million and $14.5 million, respectively. As of March 31, 2022 and September 30, 2021, the net unrealized depreciation on the Credit Facility as applicable, and the 2023 Notes totaled $8.5 million and $7.2 million, respectively. We use a nationally recognized independent valuation service to measure the fair value of the Credit Facility in a manner consistent with the valuation process that our board of directors uses to value our investments. Our 2023 Notes trade on the TASE and we use the closing price on the exchange to determine the fair value.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81" w:lineRule="exact"/>
        <w:rPr>
          <w:sz w:val="20"/>
          <w:szCs w:val="20"/>
          <w:color w:val="auto"/>
        </w:rPr>
      </w:pPr>
    </w:p>
    <w:p>
      <w:pPr>
        <w:ind w:right="60" w:firstLine="449"/>
        <w:spacing w:after="0" w:line="251" w:lineRule="auto"/>
        <w:rPr>
          <w:sz w:val="20"/>
          <w:szCs w:val="20"/>
          <w:color w:val="auto"/>
        </w:rPr>
      </w:pPr>
      <w:r>
        <w:rPr>
          <w:rFonts w:ascii="Times New Roman" w:cs="Times New Roman" w:eastAsia="Times New Roman" w:hAnsi="Times New Roman"/>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Realized Gains or Losses and Net Change in Unrealized Appreciation or Depreciation</w:t>
      </w:r>
    </w:p>
    <w:p>
      <w:pPr>
        <w:spacing w:after="0" w:line="167"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values of our portfolio investments, our Credit Facility, the 2023 Notes during the reporting period, including any reversal of previously recorded unrealized appreciation or depreciation, when gains or losses are realized.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Translation</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books and records are maintained in U.S. dollars. Any foreign currency amounts are translated into U.S. dollars on the following basis:</w:t>
      </w:r>
    </w:p>
    <w:p>
      <w:pPr>
        <w:spacing w:after="0" w:line="177" w:lineRule="exact"/>
        <w:rPr>
          <w:sz w:val="20"/>
          <w:szCs w:val="20"/>
          <w:color w:val="auto"/>
        </w:rPr>
      </w:pPr>
    </w:p>
    <w:p>
      <w:pPr>
        <w:ind w:left="840" w:hanging="383"/>
        <w:spacing w:after="0"/>
        <w:tabs>
          <w:tab w:leader="none" w:pos="8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of investment securities, other assets and liabilities – at the exchange rates prevailing at the end of the applicable period; and</w:t>
      </w:r>
    </w:p>
    <w:p>
      <w:pPr>
        <w:spacing w:after="0" w:line="163"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and sales of investment securities, income and expenses – at the exchange rates prevailing on the respective dates of such transactions.</w:t>
      </w:r>
    </w:p>
    <w:p>
      <w:pPr>
        <w:spacing w:after="0" w:line="177" w:lineRule="exact"/>
        <w:rPr>
          <w:sz w:val="20"/>
          <w:szCs w:val="20"/>
          <w:color w:val="auto"/>
        </w:rPr>
      </w:pPr>
    </w:p>
    <w:p>
      <w:pPr>
        <w:jc w:val="both"/>
        <w:ind w:right="80" w:firstLine="449"/>
        <w:spacing w:after="0" w:line="261" w:lineRule="auto"/>
        <w:rPr>
          <w:sz w:val="20"/>
          <w:szCs w:val="20"/>
          <w:color w:val="auto"/>
        </w:rPr>
      </w:pPr>
      <w:r>
        <w:rPr>
          <w:rFonts w:ascii="Times New Roman" w:cs="Times New Roman" w:eastAsia="Times New Roman" w:hAnsi="Times New Roman"/>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Payment -in-kind, or PIK Interest</w:t>
      </w:r>
    </w:p>
    <w:p>
      <w:pPr>
        <w:spacing w:after="0" w:line="167" w:lineRule="exact"/>
        <w:rPr>
          <w:sz w:val="20"/>
          <w:szCs w:val="20"/>
          <w:color w:val="auto"/>
        </w:rPr>
      </w:pPr>
    </w:p>
    <w:p>
      <w:pPr>
        <w:jc w:val="both"/>
        <w:ind w:right="120" w:firstLine="449"/>
        <w:spacing w:after="0" w:line="271" w:lineRule="auto"/>
        <w:rPr>
          <w:sz w:val="20"/>
          <w:szCs w:val="20"/>
          <w:color w:val="auto"/>
        </w:rPr>
      </w:pPr>
      <w:r>
        <w:rPr>
          <w:rFonts w:ascii="Times New Roman" w:cs="Times New Roman" w:eastAsia="Times New Roman" w:hAnsi="Times New Roman"/>
          <w:sz w:val="14"/>
          <w:szCs w:val="14"/>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federal income tax purposes, even though we may not have collected any cash with respect to interest on PIK securities.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Federal Income Taxes</w:t>
      </w:r>
    </w:p>
    <w:p>
      <w:pPr>
        <w:spacing w:after="0" w:line="181" w:lineRule="exact"/>
        <w:rPr>
          <w:sz w:val="20"/>
          <w:szCs w:val="20"/>
          <w:color w:val="auto"/>
        </w:rPr>
      </w:pPr>
    </w:p>
    <w:p>
      <w:pPr>
        <w:jc w:val="both"/>
        <w:ind w:right="100" w:firstLine="449"/>
        <w:spacing w:after="0" w:line="255" w:lineRule="auto"/>
        <w:rPr>
          <w:sz w:val="20"/>
          <w:szCs w:val="20"/>
          <w:color w:val="auto"/>
        </w:rPr>
      </w:pPr>
      <w:r>
        <w:rPr>
          <w:rFonts w:ascii="Times New Roman" w:cs="Times New Roman" w:eastAsia="Times New Roman" w:hAnsi="Times New Roman"/>
          <w:sz w:val="14"/>
          <w:szCs w:val="14"/>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26" w:lineRule="exact"/>
        <w:rPr>
          <w:sz w:val="20"/>
          <w:szCs w:val="20"/>
          <w:color w:val="auto"/>
        </w:rPr>
      </w:pPr>
    </w:p>
    <w:p>
      <w:pPr>
        <w:jc w:val="both"/>
        <w:ind w:right="60" w:firstLine="449"/>
        <w:spacing w:after="0" w:line="253" w:lineRule="auto"/>
        <w:rPr>
          <w:sz w:val="20"/>
          <w:szCs w:val="20"/>
          <w:color w:val="auto"/>
        </w:rPr>
      </w:pPr>
      <w:r>
        <w:rPr>
          <w:rFonts w:ascii="Times New Roman" w:cs="Times New Roman" w:eastAsia="Times New Roman" w:hAnsi="Times New Roman"/>
          <w:sz w:val="14"/>
          <w:szCs w:val="14"/>
          <w:color w:val="auto"/>
        </w:rPr>
        <w:t xml:space="preserve">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w:t>
      </w:r>
      <w:r>
        <w:rPr>
          <w:rFonts w:ascii="Times New Roman" w:cs="Times New Roman" w:eastAsia="Times New Roman" w:hAnsi="Times New Roman"/>
          <w:sz w:val="14"/>
          <w:szCs w:val="14"/>
          <w:u w:val="single" w:color="auto"/>
          <w:color w:val="auto"/>
        </w:rPr>
        <w:t>s</w:t>
      </w:r>
      <w:r>
        <w:rPr>
          <w:rFonts w:ascii="Times New Roman" w:cs="Times New Roman" w:eastAsia="Times New Roman" w:hAnsi="Times New Roman"/>
          <w:sz w:val="14"/>
          <w:szCs w:val="14"/>
          <w:color w:val="auto"/>
        </w:rPr>
        <w:t>um of (1) 98% of our net ordinary income (subject to certain deferrals</w:t>
      </w:r>
    </w:p>
    <w:p>
      <w:pPr>
        <w:spacing w:after="0" w:line="1" w:lineRule="exact"/>
        <w:rPr>
          <w:sz w:val="20"/>
          <w:szCs w:val="20"/>
          <w:color w:val="auto"/>
        </w:rPr>
      </w:pPr>
    </w:p>
    <w:p>
      <w:pPr>
        <w:jc w:val="both"/>
        <w:ind w:right="60"/>
        <w:spacing w:after="0" w:line="231" w:lineRule="auto"/>
        <w:rPr>
          <w:sz w:val="20"/>
          <w:szCs w:val="20"/>
          <w:color w:val="auto"/>
        </w:rPr>
      </w:pPr>
      <w:r>
        <w:rPr>
          <w:rFonts w:ascii="Times New Roman" w:cs="Times New Roman" w:eastAsia="Times New Roman" w:hAnsi="Times New Roman"/>
          <w:sz w:val="14"/>
          <w:szCs w:val="14"/>
          <w:color w:val="auto"/>
        </w:rPr>
        <w:t>and elections) for the calendar year, (2) 98.2% of our capital gain net income (i.e., the excess, if any, of our capital gains over capital losses), adjusted for certain ordinary losses, generally for the one-year period ending on October 31 of the calendar year plus (3) any net ordinary income or capital gain net income for the preceding years that was not distributed during such years on which</w:t>
      </w:r>
    </w:p>
    <w:p>
      <w:pPr>
        <w:spacing w:after="0" w:line="1" w:lineRule="exact"/>
        <w:rPr>
          <w:sz w:val="20"/>
          <w:szCs w:val="20"/>
          <w:color w:val="auto"/>
        </w:rPr>
      </w:pPr>
    </w:p>
    <w:p>
      <w:pPr>
        <w:jc w:val="both"/>
        <w:ind w:right="60"/>
        <w:spacing w:after="0" w:line="249" w:lineRule="auto"/>
        <w:rPr>
          <w:sz w:val="20"/>
          <w:szCs w:val="20"/>
          <w:color w:val="auto"/>
        </w:rPr>
      </w:pPr>
      <w:r>
        <w:rPr>
          <w:rFonts w:ascii="Times New Roman" w:cs="Times New Roman" w:eastAsia="Times New Roman" w:hAnsi="Times New Roman"/>
          <w:sz w:val="14"/>
          <w:szCs w:val="14"/>
          <w:color w:val="auto"/>
        </w:rPr>
        <w:t>we did not incur any corporate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17" w:lineRule="exact"/>
        <w:rPr>
          <w:sz w:val="20"/>
          <w:szCs w:val="20"/>
          <w:color w:val="auto"/>
        </w:rPr>
      </w:pPr>
    </w:p>
    <w:p>
      <w:pPr>
        <w:ind w:right="120" w:firstLine="485"/>
        <w:spacing w:after="0" w:line="282" w:lineRule="auto"/>
        <w:rPr>
          <w:sz w:val="20"/>
          <w:szCs w:val="20"/>
          <w:color w:val="auto"/>
        </w:rPr>
      </w:pPr>
      <w:r>
        <w:rPr>
          <w:rFonts w:ascii="Times New Roman" w:cs="Times New Roman" w:eastAsia="Times New Roman" w:hAnsi="Times New Roman"/>
          <w:sz w:val="14"/>
          <w:szCs w:val="14"/>
          <w:color w:val="auto"/>
        </w:rPr>
        <w:t>For both the three and six months ended March 31, 2022 and 2021, we recorded a provision for taxes on net investment income of $0.1 million and $0.2 million, respectively, pertaining to federal excise tax.</w:t>
      </w:r>
    </w:p>
    <w:p>
      <w:pPr>
        <w:spacing w:after="0" w:line="108" w:lineRule="exact"/>
        <w:rPr>
          <w:sz w:val="20"/>
          <w:szCs w:val="20"/>
          <w:color w:val="auto"/>
        </w:rPr>
      </w:pPr>
    </w:p>
    <w:p>
      <w:pPr>
        <w:ind w:right="200" w:firstLine="449"/>
        <w:spacing w:after="0" w:line="253" w:lineRule="auto"/>
        <w:rPr>
          <w:sz w:val="20"/>
          <w:szCs w:val="20"/>
          <w:color w:val="auto"/>
        </w:rPr>
      </w:pPr>
      <w:r>
        <w:rPr>
          <w:rFonts w:ascii="Times New Roman" w:cs="Times New Roman" w:eastAsia="Times New Roman" w:hAnsi="Times New Roman"/>
          <w:sz w:val="14"/>
          <w:szCs w:val="14"/>
          <w:color w:val="auto"/>
        </w:rPr>
        <w:t>PFLT Investment Holdings, LLC, a wholly-owned subsidiary of the Company (the “Taxable Subsidiary”), is subject to U.S. federal, state and local corporate income taxes. The income tax expense and related tax liabilities of the Taxable Subsidiary are reflected in the Company’s consolidated financial statements.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3" w:name="page44"/>
    <w:bookmarkEnd w:id="43"/>
    <w:p>
      <w:pPr>
        <w:ind w:left="460"/>
        <w:spacing w:after="0"/>
        <w:rPr>
          <w:sz w:val="20"/>
          <w:szCs w:val="20"/>
          <w:color w:val="auto"/>
        </w:rPr>
      </w:pPr>
      <w:r>
        <w:rPr>
          <w:rFonts w:ascii="Times New Roman" w:cs="Times New Roman" w:eastAsia="Times New Roman" w:hAnsi="Times New Roman"/>
          <w:sz w:val="14"/>
          <w:szCs w:val="14"/>
          <w:color w:val="auto"/>
        </w:rPr>
        <w:t>For the three and six months ended March 31, 2022, the Company recognized a provision for taxes of $3.8 million and $5.3 million, respectively, on unrealized appreciation on</w:t>
      </w:r>
    </w:p>
    <w:p>
      <w:pPr>
        <w:spacing w:after="0" w:line="17" w:lineRule="exact"/>
        <w:rPr>
          <w:sz w:val="20"/>
          <w:szCs w:val="20"/>
          <w:color w:val="auto"/>
        </w:rPr>
      </w:pPr>
    </w:p>
    <w:p>
      <w:pPr>
        <w:ind w:right="100"/>
        <w:spacing w:after="0" w:line="231" w:lineRule="auto"/>
        <w:rPr>
          <w:sz w:val="20"/>
          <w:szCs w:val="20"/>
          <w:color w:val="auto"/>
        </w:rPr>
      </w:pPr>
      <w:r>
        <w:rPr>
          <w:rFonts w:ascii="Times New Roman" w:cs="Times New Roman" w:eastAsia="Times New Roman" w:hAnsi="Times New Roman"/>
          <w:sz w:val="14"/>
          <w:szCs w:val="14"/>
          <w:color w:val="auto"/>
        </w:rPr>
        <w:t>investments by the Taxable Subsidiary. For the three and six months ended March 31, 2021, the Company recognized a provision for taxes of zero on unrealized appreciation on investments by the Taxable Subsidiary. The provision for taxes on unrealized appreciation on investments is the result of netting (i) the expected tax liability on gains from sales of investments and (ii) the</w:t>
      </w:r>
    </w:p>
    <w:p>
      <w:pPr>
        <w:spacing w:after="0" w:line="1"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4"/>
          <w:szCs w:val="14"/>
          <w:color w:val="auto"/>
        </w:rPr>
        <w:t>expected tax benefit from the use of losses in the current year. As of March 31, 2022 and September 30, 2021, $5.3 million and zero, respectively, was accrued as a deferred tax liability on the Consolidated Statements of Assets and Liabilities relating to unrealized gain on investments. During the three and six months ended March 31, 2022, the Company paid $1.2 million in taxes on</w:t>
      </w:r>
    </w:p>
    <w:p>
      <w:pPr>
        <w:spacing w:after="0" w:line="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realized gains on the sale of investments held by the Taxable Subsidiary, resulting in a $1.2 million prepaid tax asset as of March 31, 2022 included under prepaid expenses and other assets in the consolidated statement of assets and liabilities.</w:t>
      </w:r>
    </w:p>
    <w:p>
      <w:pPr>
        <w:spacing w:after="0" w:line="136" w:lineRule="exact"/>
        <w:rPr>
          <w:sz w:val="20"/>
          <w:szCs w:val="20"/>
          <w:color w:val="auto"/>
        </w:rPr>
      </w:pPr>
    </w:p>
    <w:p>
      <w:pPr>
        <w:ind w:right="60" w:firstLine="396"/>
        <w:spacing w:after="0" w:line="261" w:lineRule="auto"/>
        <w:rPr>
          <w:sz w:val="20"/>
          <w:szCs w:val="20"/>
          <w:color w:val="auto"/>
        </w:rPr>
      </w:pPr>
      <w:r>
        <w:rPr>
          <w:rFonts w:ascii="Times New Roman" w:cs="Times New Roman" w:eastAsia="Times New Roman" w:hAnsi="Times New Roman"/>
          <w:sz w:val="14"/>
          <w:szCs w:val="14"/>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123"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4"/>
          <w:szCs w:val="14"/>
          <w:color w:val="auto"/>
        </w:rPr>
        <w:t>We have formed and expect to continue to form certain taxable subsidiaries, including the Taxable Subsidiary, which are taxed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Set forth below are the results of operations for the three and six months ended March 31, 2022 and 2021.</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 Income</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Investment income for the three and six months ended March 31, 2022 was $24.6 million and $51.0 million, respectively, which was attributable to $19.9 million and $42.9 million from</w:t>
      </w:r>
    </w:p>
    <w:p>
      <w:pPr>
        <w:spacing w:after="0" w:line="17" w:lineRule="exact"/>
        <w:rPr>
          <w:sz w:val="20"/>
          <w:szCs w:val="20"/>
          <w:color w:val="auto"/>
        </w:rPr>
      </w:pPr>
    </w:p>
    <w:p>
      <w:pPr>
        <w:ind w:right="60"/>
        <w:spacing w:after="0" w:line="231" w:lineRule="auto"/>
        <w:rPr>
          <w:sz w:val="20"/>
          <w:szCs w:val="20"/>
          <w:color w:val="auto"/>
        </w:rPr>
      </w:pPr>
      <w:r>
        <w:rPr>
          <w:rFonts w:ascii="Times New Roman" w:cs="Times New Roman" w:eastAsia="Times New Roman" w:hAnsi="Times New Roman"/>
          <w:sz w:val="14"/>
          <w:szCs w:val="14"/>
          <w:color w:val="auto"/>
        </w:rPr>
        <w:t>first lien secured debt and $4.7 million and $8.1 million from other investments, respectively. This compares to investment income for the three and six months ended March 31, 2021 was $19.4 million and $40.2 million, respectively, which was attributable to $16.6 million and $35.3 million from first lien secured debt and $2.9 million and $4.9 million from other investments,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respectively. The increase in investment income compared to the same periods in the prior year was primarily due to an increase the size of our portfolio.</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Expenses</w:t>
      </w:r>
    </w:p>
    <w:p>
      <w:pPr>
        <w:spacing w:after="0" w:line="154" w:lineRule="exact"/>
        <w:rPr>
          <w:sz w:val="20"/>
          <w:szCs w:val="20"/>
          <w:color w:val="auto"/>
        </w:rPr>
      </w:pPr>
    </w:p>
    <w:p>
      <w:pPr>
        <w:ind w:right="200" w:firstLine="449"/>
        <w:spacing w:after="0" w:line="253" w:lineRule="auto"/>
        <w:rPr>
          <w:sz w:val="20"/>
          <w:szCs w:val="20"/>
          <w:color w:val="auto"/>
        </w:rPr>
      </w:pPr>
      <w:r>
        <w:rPr>
          <w:rFonts w:ascii="Times New Roman" w:cs="Times New Roman" w:eastAsia="Times New Roman" w:hAnsi="Times New Roman"/>
          <w:sz w:val="14"/>
          <w:szCs w:val="14"/>
          <w:color w:val="auto"/>
        </w:rPr>
        <w:t>Expenses for the three and six months ended March 31, 2022 totaled $13.3 million and $26.9 million, respectively. Base management fee for the same periods totaled $2.9 million and $5.8 million, incentive fee totaled $2.7 million and $5.9 million, debt related interest and expenses totaled $6.7 million and $13.3 million and general and administrative expenses totaled $0.8</w:t>
      </w:r>
    </w:p>
    <w:p>
      <w:pPr>
        <w:spacing w:after="0" w:line="1" w:lineRule="exact"/>
        <w:rPr>
          <w:sz w:val="20"/>
          <w:szCs w:val="20"/>
          <w:color w:val="auto"/>
        </w:rPr>
      </w:pPr>
    </w:p>
    <w:p>
      <w:pPr>
        <w:ind w:right="360"/>
        <w:spacing w:after="0" w:line="231" w:lineRule="auto"/>
        <w:rPr>
          <w:sz w:val="20"/>
          <w:szCs w:val="20"/>
          <w:color w:val="auto"/>
        </w:rPr>
      </w:pPr>
      <w:r>
        <w:rPr>
          <w:rFonts w:ascii="Times New Roman" w:cs="Times New Roman" w:eastAsia="Times New Roman" w:hAnsi="Times New Roman"/>
          <w:sz w:val="14"/>
          <w:szCs w:val="14"/>
          <w:color w:val="auto"/>
        </w:rPr>
        <w:t>million and $1.6 million, respectively. Expenses for the three and six months ended March 31, 2021 totaled $9.5 million and $20.1 million, respectively. Base management fee for the same periods totaled $2.6 million and $5.3 million, incentive fee totaled $1.3 million and $3.1 million, debt related interest and expenses totaled $4.8 million and $10.1 million and general and</w:t>
      </w:r>
    </w:p>
    <w:p>
      <w:pPr>
        <w:spacing w:after="0" w:line="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administrative expenses totaled $0.7 million and $1.4 million, respectively. The increase in expenses for the three and six months ended March 31, 2022 compared to the same period in the prior year was primarily due to an increase in performance-based incentive fees and debt-related interest and expenses.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Investment Income</w:t>
      </w:r>
    </w:p>
    <w:p>
      <w:pPr>
        <w:spacing w:after="0" w:line="167" w:lineRule="exact"/>
        <w:rPr>
          <w:sz w:val="20"/>
          <w:szCs w:val="20"/>
          <w:color w:val="auto"/>
        </w:rPr>
      </w:pPr>
    </w:p>
    <w:p>
      <w:pPr>
        <w:ind w:right="220" w:firstLine="449"/>
        <w:spacing w:after="0" w:line="302" w:lineRule="auto"/>
        <w:rPr>
          <w:sz w:val="20"/>
          <w:szCs w:val="20"/>
          <w:color w:val="auto"/>
        </w:rPr>
      </w:pPr>
      <w:r>
        <w:rPr>
          <w:rFonts w:ascii="Times New Roman" w:cs="Times New Roman" w:eastAsia="Times New Roman" w:hAnsi="Times New Roman"/>
          <w:sz w:val="14"/>
          <w:szCs w:val="14"/>
          <w:color w:val="auto"/>
        </w:rPr>
        <w:t>Net investment income totaled $11.4 million and $24.1 million, or $0.29 and $0.61 per share, for the three and six months ended March 31, 2022, respectively. Net investment income totaled $9.9 million and $20.0 million, or $0.26 and $0.52 per share, for the three and six months ended March 31, 2021,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Realized Gains or Losses</w:t>
      </w:r>
    </w:p>
    <w:p>
      <w:pPr>
        <w:spacing w:after="0" w:line="181"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4"/>
          <w:szCs w:val="14"/>
          <w:color w:val="auto"/>
        </w:rPr>
        <w:t>Sales and repayments of investments for the three and six months ended March 31, 2022 totaled $103.9 million and $342.2 million, respectively, and net realized losses totaled $15.5 million and $12.3 million, respectively. Sales and repayments of investments for the three and six months ended March 31, 2021 totaled $172.1 million and $281.7 million, respectively, and net realized gains (losses) totaled $0.5 million and ($2.3) million, respectively. The change in realized gains/losses was primarily due to changes in the market conditions of our investments and the values at which they were realized.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Unrealized Appreciation or Depreciation on Investments, the Credit Facility and the 2023 Notes</w:t>
      </w:r>
    </w:p>
    <w:p>
      <w:pPr>
        <w:spacing w:after="0" w:line="167"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4"/>
          <w:szCs w:val="14"/>
          <w:color w:val="auto"/>
        </w:rPr>
        <w:t>For the three and six months ended March 31, 2022, we reported net change in unrealized appreciation on investments of $17.5 million and $14.0 million, respectively. For the three and six months ended March 31, 2021, we reported net change in unrealized appreciation on investments of $11.8 million and $34.6 million, respectively. As of March 31, 2022 and September 30, 2021, our net unrealized appreciation on investments totaled $25.4 million and $11.0 million, respectively. The net change in unrealized appreciation on our investments compared to the same period in the prior year was primarily due to changes in the market conditions of our investments and the values at which they were held.</w:t>
      </w:r>
    </w:p>
    <w:p>
      <w:pPr>
        <w:spacing w:after="0" w:line="137"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4"/>
          <w:szCs w:val="14"/>
          <w:color w:val="auto"/>
        </w:rPr>
        <w:t>For the three and six months ended March 31, 2022, the Credit Facility and the 2023 Notes had a net change in unrealized (appreciation) depreciation of $(2.4) million and $1.2 million, respectively. For the three and six months ended March 31, 2021, the Credit Facility and the 2023 Notes had a net change in unrealized (appreciation) of $(10.5) million and $(14.5) million, respectively. As of March 31, 2022 and September 30, 2021, the net unrealized depreciation on the Credit Facility and the 2023 Notes totaled $8.5 million and $7.2 million, respectively. The net change in net unrealized depreciation compared to the same period in the prior year was primarily due to changes in the capital markets.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Change in Net Assets Resulting from Operations</w:t>
      </w:r>
    </w:p>
    <w:p>
      <w:pPr>
        <w:spacing w:after="0" w:line="167"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4"/>
          <w:szCs w:val="14"/>
          <w:color w:val="auto"/>
        </w:rPr>
        <w:t>Net increase in net assets resulting from operations totaled $7.2 million and $21.7 million, or $0.18 and $0.55 per share, respectively, for the three and six months ended March 31, 2022. Net increase in net assets resulting from operations totaled $11.7 million and $37.8 million, or $0.30 and $0.98 per share, respectively, for the three and six months ended March 31, 2021. The decrease in the net change in net assets from operations for the three and six months ended March 31, 2022 compared to the same period in the prior year was primarily due to a lower realized and unrealized change in our investment and debt.</w:t>
      </w: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1" w:right="3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79"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4"/>
          <w:szCs w:val="14"/>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As of March 31, 2022, in accordance with the 1940 Act, with certain limited exceptions, we are only allowed to borrow amounts such that we are in compliance with a 150% asset coverage ratio requirement after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such borrowing. This “Liquidity and Capital Resources” section should be read in conjunction with the “COVID-19 Developments” section above.</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On April 5, 2018, our board of directors approved the application of the modified asset coverage requirements set forth in Section 61(a)(2) of the 1940 Act, as amended by the</w:t>
      </w:r>
    </w:p>
    <w:p>
      <w:pPr>
        <w:spacing w:after="0" w:line="17" w:lineRule="exact"/>
        <w:rPr>
          <w:sz w:val="20"/>
          <w:szCs w:val="20"/>
          <w:color w:val="auto"/>
        </w:rPr>
      </w:pPr>
    </w:p>
    <w:p>
      <w:pPr>
        <w:ind w:right="100"/>
        <w:spacing w:after="0" w:line="231" w:lineRule="auto"/>
        <w:rPr>
          <w:sz w:val="20"/>
          <w:szCs w:val="20"/>
          <w:color w:val="auto"/>
        </w:rPr>
      </w:pPr>
      <w:r>
        <w:rPr>
          <w:rFonts w:ascii="Times New Roman" w:cs="Times New Roman" w:eastAsia="Times New Roman" w:hAnsi="Times New Roman"/>
          <w:sz w:val="14"/>
          <w:szCs w:val="14"/>
          <w:color w:val="auto"/>
        </w:rPr>
        <w:t>Consolidated Appropriations Act of 2018 (which includes the SBCAA). As a result, the asset coverage requirement applicable to us for senior securities was reduced from 200% (i.e., $1 of debt outstanding for each $1 of equity) to 150% (i.e., $2 of debt outstanding for each $1 of equity), effective as of April 5, 2019, subject to compliance with certain disclosure requirements. As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31, 2022 and September 30, 2021, our asset coverage ratio, as computed in accordance with the 1940 Act, was 168% and 175%, respectively.</w:t>
      </w:r>
    </w:p>
    <w:p>
      <w:pPr>
        <w:spacing w:after="0" w:line="134" w:lineRule="exact"/>
        <w:rPr>
          <w:sz w:val="20"/>
          <w:szCs w:val="20"/>
          <w:color w:val="auto"/>
        </w:rPr>
      </w:pPr>
    </w:p>
    <w:p>
      <w:pPr>
        <w:ind w:right="140" w:firstLine="449"/>
        <w:spacing w:after="0" w:line="271" w:lineRule="auto"/>
        <w:rPr>
          <w:sz w:val="20"/>
          <w:szCs w:val="20"/>
          <w:color w:val="auto"/>
        </w:rPr>
      </w:pPr>
      <w:r>
        <w:rPr>
          <w:rFonts w:ascii="Times New Roman" w:cs="Times New Roman" w:eastAsia="Times New Roman" w:hAnsi="Times New Roman"/>
          <w:sz w:val="14"/>
          <w:szCs w:val="14"/>
          <w:color w:val="auto"/>
        </w:rPr>
        <w:t>The annualized weighted average cost of debt for the six months ended March 31, 2022 and 2021, inclusive of the fee on the undrawn commitment on the Credit Facility, amendment costs and debt issuance costs, was 3.2% and 3.4%, respectively. As of March 31, 2022 and September 30, 2021, we had $50.3 million and $80.6 million of unused borrowing capacity under the Credit Facility, as applicable, respectively, subject to leverage and borrowing base restrictions.</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Funding I’s multi-currency Credit Facility with the Lenders was $300 million as of March 31, 2022 subject to satisfaction of certain conditions and regulatory restrictions that the 1940</w:t>
      </w:r>
    </w:p>
    <w:p>
      <w:pPr>
        <w:spacing w:after="0" w:line="17"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4"/>
          <w:szCs w:val="14"/>
          <w:color w:val="auto"/>
        </w:rPr>
        <w:t>Act imposes on us as a BDC, has an interest rate spread above LIBOR (or an alternative risk-free floating interest rate index) of 225 basis points, a maturity date of August 2026 and a revolving period that ends in August 2024. As of March 31, 2022 and September 30, 2021, Funding I borrowed $249.7 million and $219.4 million under the Credit Facility, respectively. The Credit Facility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had a weighted average interest rate of 2.5% and 2.3%, exclusive of the fee on undrawn commitments as of March 31, 2022 and September 30, 2021, respectively.</w:t>
      </w:r>
    </w:p>
    <w:p>
      <w:pPr>
        <w:spacing w:after="0" w:line="147" w:lineRule="exact"/>
        <w:rPr>
          <w:sz w:val="20"/>
          <w:szCs w:val="20"/>
          <w:color w:val="auto"/>
        </w:rPr>
      </w:pPr>
    </w:p>
    <w:p>
      <w:pPr>
        <w:ind w:right="20" w:firstLine="449"/>
        <w:spacing w:after="0" w:line="243" w:lineRule="auto"/>
        <w:rPr>
          <w:sz w:val="20"/>
          <w:szCs w:val="20"/>
          <w:color w:val="auto"/>
        </w:rPr>
      </w:pPr>
      <w:r>
        <w:rPr>
          <w:rFonts w:ascii="Times New Roman" w:cs="Times New Roman" w:eastAsia="Times New Roman" w:hAnsi="Times New Roman"/>
          <w:sz w:val="14"/>
          <w:szCs w:val="14"/>
          <w:color w:val="auto"/>
        </w:rPr>
        <w:t>During the revolving period, the Credit Facility bears interest at LIBOR (or an alternative risk-free floating interest rate index) plus 225 basis points and, after the revolving period, the rate will reset to Base Rate (or an alternative risk-free floating interest rate index) plus 250 basis points for the remaining two years, maturing in August 2026. The Credit Facility is secured by all</w:t>
      </w:r>
    </w:p>
    <w:p>
      <w:pPr>
        <w:spacing w:after="0" w:line="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4"/>
          <w:szCs w:val="14"/>
          <w:color w:val="auto"/>
        </w:rPr>
        <w:t>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10"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4"/>
          <w:szCs w:val="14"/>
          <w:color w:val="auto"/>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The Credit Facility compliance reporting is prepared on a basis of accounting other than GAAP. As of March 31, 2022, we were in compliance with the covenants relating to our Credit Facility.</w:t>
      </w:r>
    </w:p>
    <w:p>
      <w:pPr>
        <w:spacing w:after="0" w:line="112" w:lineRule="exact"/>
        <w:rPr>
          <w:sz w:val="20"/>
          <w:szCs w:val="20"/>
          <w:color w:val="auto"/>
        </w:rPr>
      </w:pPr>
    </w:p>
    <w:p>
      <w:pPr>
        <w:ind w:right="320" w:firstLine="449"/>
        <w:spacing w:after="0" w:line="282" w:lineRule="auto"/>
        <w:rPr>
          <w:sz w:val="20"/>
          <w:szCs w:val="20"/>
          <w:color w:val="auto"/>
        </w:rPr>
      </w:pPr>
      <w:r>
        <w:rPr>
          <w:rFonts w:ascii="Times New Roman" w:cs="Times New Roman" w:eastAsia="Times New Roman" w:hAnsi="Times New Roman"/>
          <w:sz w:val="14"/>
          <w:szCs w:val="14"/>
          <w:color w:val="auto"/>
        </w:rPr>
        <w:t>We own 100% of the equity interest in Funding I and treat the indebtedness of Funding I as our leverage. Our Investment Adviser serves as collateral manager to Funding I under the Credit Facility.</w:t>
      </w:r>
    </w:p>
    <w:p>
      <w:pPr>
        <w:spacing w:after="0" w:line="94" w:lineRule="exact"/>
        <w:rPr>
          <w:sz w:val="20"/>
          <w:szCs w:val="20"/>
          <w:color w:val="auto"/>
        </w:rPr>
      </w:pPr>
    </w:p>
    <w:p>
      <w:pPr>
        <w:ind w:right="280" w:firstLine="449"/>
        <w:spacing w:after="0" w:line="253" w:lineRule="auto"/>
        <w:rPr>
          <w:sz w:val="20"/>
          <w:szCs w:val="20"/>
          <w:color w:val="auto"/>
        </w:rPr>
      </w:pPr>
      <w:r>
        <w:rPr>
          <w:rFonts w:ascii="Times New Roman" w:cs="Times New Roman" w:eastAsia="Times New Roman" w:hAnsi="Times New Roman"/>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w:t>
      </w:r>
    </w:p>
    <w:p>
      <w:pPr>
        <w:spacing w:after="0" w:line="1" w:lineRule="exact"/>
        <w:rPr>
          <w:sz w:val="20"/>
          <w:szCs w:val="20"/>
          <w:color w:val="auto"/>
        </w:rPr>
      </w:pPr>
    </w:p>
    <w:p>
      <w:pPr>
        <w:ind w:right="60"/>
        <w:spacing w:after="0" w:line="231" w:lineRule="auto"/>
        <w:rPr>
          <w:sz w:val="20"/>
          <w:szCs w:val="20"/>
          <w:color w:val="auto"/>
        </w:rPr>
      </w:pPr>
      <w:r>
        <w:rPr>
          <w:rFonts w:ascii="Times New Roman" w:cs="Times New Roman" w:eastAsia="Times New Roman" w:hAnsi="Times New Roman"/>
          <w:sz w:val="14"/>
          <w:szCs w:val="14"/>
          <w:color w:val="auto"/>
        </w:rPr>
        <w:t>payments to the Lenders,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services is to be paid to the Company so long as the Investment Adviser remains the collateral manager.</w:t>
      </w:r>
    </w:p>
    <w:p>
      <w:pPr>
        <w:spacing w:after="0" w:line="147" w:lineRule="exact"/>
        <w:rPr>
          <w:sz w:val="20"/>
          <w:szCs w:val="20"/>
          <w:color w:val="auto"/>
        </w:rPr>
      </w:pPr>
    </w:p>
    <w:p>
      <w:pPr>
        <w:ind w:right="160" w:firstLine="449"/>
        <w:spacing w:after="0" w:line="282" w:lineRule="auto"/>
        <w:rPr>
          <w:sz w:val="20"/>
          <w:szCs w:val="20"/>
          <w:color w:val="auto"/>
        </w:rPr>
      </w:pPr>
      <w:r>
        <w:rPr>
          <w:rFonts w:ascii="Times New Roman" w:cs="Times New Roman" w:eastAsia="Times New Roman" w:hAnsi="Times New Roman"/>
          <w:sz w:val="14"/>
          <w:szCs w:val="14"/>
          <w:color w:val="auto"/>
        </w:rPr>
        <w:t>In November 2017, we issued $138.6 million of our 2023 Notes. The 2023 Notes were issued pursuant to a deed of trust between the Company and Mishmeret Trust Company, Ltd., as trustee, of which $97.0 million and $117.8 million was outstanding as of March 31, 2022 and September 30, 2021, respectively.</w:t>
      </w:r>
    </w:p>
    <w:p>
      <w:pPr>
        <w:spacing w:after="0" w:line="121" w:lineRule="exact"/>
        <w:rPr>
          <w:sz w:val="20"/>
          <w:szCs w:val="20"/>
          <w:color w:val="auto"/>
        </w:rPr>
      </w:pPr>
    </w:p>
    <w:p>
      <w:pPr>
        <w:ind w:right="180" w:firstLine="449"/>
        <w:spacing w:after="0" w:line="261" w:lineRule="auto"/>
        <w:rPr>
          <w:sz w:val="20"/>
          <w:szCs w:val="20"/>
          <w:color w:val="auto"/>
        </w:rPr>
      </w:pPr>
      <w:r>
        <w:rPr>
          <w:rFonts w:ascii="Times New Roman" w:cs="Times New Roman" w:eastAsia="Times New Roman" w:hAnsi="Times New Roman"/>
          <w:sz w:val="14"/>
          <w:szCs w:val="14"/>
          <w:color w:val="auto"/>
        </w:rPr>
        <w:t>The 2023 Notes pay interest at a rate of 4.3% per year. As a result of the downgrade of the 2023 Notes from “ilA+” to “ilA-” in March 2020, the interest rate of the 2023 Notes was increased to 4.3% from 3.8%.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23"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4"/>
          <w:szCs w:val="14"/>
          <w:color w:val="auto"/>
        </w:rPr>
        <w:t>The 2023 Notes are general, unsecured obligations, rank equal in right of payment with all of our existing and future senior unsecured indebtedness and are generally redeemable at our option. The deed of trust governing the 2023 Notes includes certain customary covenants, including minimum equity requirements, and events of default. Please refer to the deed of trust filed as Exhibit (d)(8) to our post-effective amendment filed on December 13, 2017 for more information. The 2023 Notes are rated ilA- by S&amp;P Global Ratings Maalot Ltd. and are listed on the TASE. In connection with this offering, we have dual listed our common stock on the TASE.</w:t>
      </w:r>
    </w:p>
    <w:p>
      <w:pPr>
        <w:spacing w:after="0" w:line="123" w:lineRule="exact"/>
        <w:rPr>
          <w:sz w:val="20"/>
          <w:szCs w:val="20"/>
          <w:color w:val="auto"/>
        </w:rPr>
      </w:pPr>
    </w:p>
    <w:p>
      <w:pPr>
        <w:ind w:right="300" w:firstLine="449"/>
        <w:spacing w:after="0" w:line="302" w:lineRule="auto"/>
        <w:rPr>
          <w:sz w:val="20"/>
          <w:szCs w:val="20"/>
          <w:color w:val="auto"/>
        </w:rPr>
      </w:pPr>
      <w:r>
        <w:rPr>
          <w:rFonts w:ascii="Times New Roman" w:cs="Times New Roman" w:eastAsia="Times New Roman" w:hAnsi="Times New Roman"/>
          <w:sz w:val="14"/>
          <w:szCs w:val="14"/>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94"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4"/>
          <w:szCs w:val="14"/>
          <w:color w:val="auto"/>
        </w:rPr>
        <w:t>In March 2021 and in October 2021, we issued $100.0 million and $85.0 million, respectively, in aggregate principal amount of $185 million of our 2026 Notes at a public offering price per note of 99.4% and 101.5%, respectively. Interest on the 2026 Notes is paid semi-annually on April 1 and October 1 of each year, at a rate of 4.25% per year, commencing October 1, 2021. The 2026 Notes mature on April 1, 2026 and may be redeemed in whole or in part at our option subject to a make-whole premium if redeemed more than three months prior to maturity. The 2026 Notes are our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In September 2019, the Securitization Issuers completed the Debt Securitization. The 2031 Asset-Backed Debt is secured by the middle market loans, participation interests in middle</w:t>
      </w:r>
    </w:p>
    <w:p>
      <w:pPr>
        <w:spacing w:after="0" w:line="17" w:lineRule="exact"/>
        <w:rPr>
          <w:sz w:val="20"/>
          <w:szCs w:val="20"/>
          <w:color w:val="auto"/>
        </w:rPr>
      </w:pPr>
    </w:p>
    <w:p>
      <w:pPr>
        <w:ind w:right="200"/>
        <w:spacing w:after="0" w:line="231" w:lineRule="auto"/>
        <w:rPr>
          <w:sz w:val="20"/>
          <w:szCs w:val="20"/>
          <w:color w:val="auto"/>
        </w:rPr>
      </w:pPr>
      <w:r>
        <w:rPr>
          <w:rFonts w:ascii="Times New Roman" w:cs="Times New Roman" w:eastAsia="Times New Roman" w:hAnsi="Times New Roman"/>
          <w:sz w:val="14"/>
          <w:szCs w:val="14"/>
          <w:color w:val="auto"/>
        </w:rPr>
        <w:t>market loans and other assets of the Securitization Issuer. The Debt Securitization was executed through (A) a private placement of: (i) $78.5 million Class A-1 Senior Secured Floating Rate Notes maturing 2031, which bear interest at the three-month LIBOR plus 1.8%, (ii) $15.0 million Class A-2 Senior Secured Fixed Rate Notes due 2031, which bear interest at 3.7%, (iii) $14.0</w:t>
      </w:r>
    </w:p>
    <w:p>
      <w:pPr>
        <w:spacing w:after="0" w:line="1" w:lineRule="exact"/>
        <w:rPr>
          <w:sz w:val="20"/>
          <w:szCs w:val="20"/>
          <w:color w:val="auto"/>
        </w:rPr>
      </w:pPr>
    </w:p>
    <w:p>
      <w:pPr>
        <w:ind w:right="20"/>
        <w:spacing w:after="0" w:line="162" w:lineRule="exact"/>
        <w:rPr>
          <w:sz w:val="20"/>
          <w:szCs w:val="20"/>
          <w:color w:val="auto"/>
        </w:rPr>
      </w:pPr>
      <w:r>
        <w:rPr>
          <w:rFonts w:ascii="Times New Roman" w:cs="Times New Roman" w:eastAsia="Times New Roman" w:hAnsi="Times New Roman"/>
          <w:sz w:val="14"/>
          <w:szCs w:val="14"/>
          <w:color w:val="auto"/>
        </w:rPr>
        <w:t>million Class B-1 Senior Secured Floating Rate Notes due 2031, which bear interest at the three-month LIBOR plus 2.9%, (iv) $16.0 million Class B-2 Senior Secured Fixed Rate Notes due 2031, which bear interest at 4.3%, (v) $19.0 million Class C</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 Secured Deferrable Floating Rate Notes due 2031, which bear interest at the three-month LIBOR plus 4.0%, (vi) $8.0 million Class</w:t>
      </w:r>
    </w:p>
    <w:p>
      <w:pPr>
        <w:spacing w:after="0" w:line="1" w:lineRule="exact"/>
        <w:rPr>
          <w:sz w:val="20"/>
          <w:szCs w:val="20"/>
          <w:color w:val="auto"/>
        </w:rPr>
      </w:pPr>
    </w:p>
    <w:p>
      <w:pPr>
        <w:ind w:right="20"/>
        <w:spacing w:after="0" w:line="155" w:lineRule="exact"/>
        <w:rPr>
          <w:sz w:val="20"/>
          <w:szCs w:val="20"/>
          <w:color w:val="auto"/>
        </w:rPr>
      </w:pPr>
      <w:r>
        <w:rPr>
          <w:rFonts w:ascii="Times New Roman" w:cs="Times New Roman" w:eastAsia="Times New Roman" w:hAnsi="Times New Roman"/>
          <w:sz w:val="14"/>
          <w:szCs w:val="14"/>
          <w:color w:val="auto"/>
        </w:rPr>
        <w:t>C-2 Secured Deferrable Fixed Rate Notes due 2031, which bear interest at 5.4%, and (vii) $18.0 million Class D Secured Deferrable Floating Rate Notes due 2031, which bear interest at the three-month LIBOR plus 4.8% and (B) the borrowing of $77.5 million Class 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 Senior Secured Floating Rate Loans due 2031, which bear interest at the three-month LIBOR plus 1.8%, under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credit agreement by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7" w:right="359" w:bottom="1440" w:gutter="0" w:footer="0" w:header="0"/>
        </w:sectPr>
      </w:pPr>
    </w:p>
    <w:bookmarkStart w:id="45" w:name="page46"/>
    <w:bookmarkEnd w:id="45"/>
    <w:p>
      <w:pPr>
        <w:ind w:right="40"/>
        <w:spacing w:after="0" w:line="261" w:lineRule="auto"/>
        <w:rPr>
          <w:sz w:val="20"/>
          <w:szCs w:val="20"/>
          <w:color w:val="auto"/>
        </w:rPr>
      </w:pPr>
      <w:r>
        <w:rPr>
          <w:rFonts w:ascii="Times New Roman" w:cs="Times New Roman" w:eastAsia="Times New Roman" w:hAnsi="Times New Roman"/>
          <w:sz w:val="14"/>
          <w:szCs w:val="14"/>
          <w:color w:val="auto"/>
        </w:rPr>
        <w:t>and among the Securitization Issuers, as borrowers, various financial institutions, as lenders, and U.S. Bank National Association, as collateral agent and as loan agent. The 2031 Asset-Backed Debt is scheduled to mature on October 15, 2031. As of both March 31, 2022 and September 30, 2021, the Company had $228.0 million of 2031 Asset-Backed Debt outstanding with a weighted average interest rate of 2.7%.</w:t>
      </w:r>
    </w:p>
    <w:p>
      <w:pPr>
        <w:spacing w:after="0" w:line="109"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4"/>
          <w:szCs w:val="14"/>
          <w:color w:val="auto"/>
        </w:rPr>
        <w:t>On the closing date of the Debt Securitization, in consideration of our transfer to the Securitization Issuer of the initial closing date loan portfolio, which included loans distributed to us by our wholly-owned subsidiary, the Securitization Issuer transferred to us 100% of the Preferred Shares of the Securitization Issuer, 100% of the Class D Secured Deferrable Floating Rate Notes</w:t>
      </w:r>
    </w:p>
    <w:p>
      <w:pPr>
        <w:spacing w:after="0" w:line="1" w:lineRule="exact"/>
        <w:rPr>
          <w:sz w:val="20"/>
          <w:szCs w:val="20"/>
          <w:color w:val="auto"/>
        </w:rPr>
      </w:pPr>
    </w:p>
    <w:p>
      <w:pPr>
        <w:ind w:right="320"/>
        <w:spacing w:after="0" w:line="239" w:lineRule="auto"/>
        <w:rPr>
          <w:sz w:val="20"/>
          <w:szCs w:val="20"/>
          <w:color w:val="auto"/>
        </w:rPr>
      </w:pPr>
      <w:r>
        <w:rPr>
          <w:rFonts w:ascii="Times New Roman" w:cs="Times New Roman" w:eastAsia="Times New Roman" w:hAnsi="Times New Roman"/>
          <w:sz w:val="14"/>
          <w:szCs w:val="14"/>
          <w:color w:val="auto"/>
        </w:rPr>
        <w:t>issued by the Securitization Issuer, and a portion of the net cash proceeds received from the sale of the 2031 Asset-Backed Debt. The Preferred Shares of the Securitization Issuer do not bear interest and had a stated value of $55.4 million at the closing of the Debt Securitization.</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2031 Asset-Backed Debt constitutes secured obligations of the Securitization Issuers, and the indenture governing the 2031 Asset-Backed Debt includes customary covenants and</w:t>
      </w:r>
    </w:p>
    <w:p>
      <w:pPr>
        <w:spacing w:after="0" w:line="17"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14"/>
          <w:szCs w:val="14"/>
          <w:color w:val="auto"/>
        </w:rPr>
        <w:t>events of default. The 2031 Asset-Backed Debt has not been, and will not be, registered under the Securities Act or any state securities or “blue sky” laws and may not be offered or sold in the United States absent registration with the SEC or an applicable exemption from registration.</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Investment Adviser serves as collateral manager to the Securitization Issuer pursuant to a collateral management agreement between our Investment Adviser and the Securitization</w:t>
      </w:r>
    </w:p>
    <w:p>
      <w:pPr>
        <w:spacing w:after="0" w:line="17"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4"/>
          <w:szCs w:val="14"/>
          <w:color w:val="auto"/>
        </w:rPr>
        <w:t>Issuer, or the Collateral Management Agreement. For so long as our Investment Adviser serves as collateral manager, it will elect to irrevocably waive any collateral management fee to which it may be entitled under the Collateral Management Agreement.</w:t>
      </w:r>
    </w:p>
    <w:p>
      <w:pPr>
        <w:spacing w:after="0" w:line="136" w:lineRule="exact"/>
        <w:rPr>
          <w:sz w:val="20"/>
          <w:szCs w:val="20"/>
          <w:color w:val="auto"/>
        </w:rPr>
      </w:pPr>
    </w:p>
    <w:p>
      <w:pPr>
        <w:ind w:right="100" w:firstLine="449"/>
        <w:spacing w:after="0" w:line="243" w:lineRule="auto"/>
        <w:rPr>
          <w:sz w:val="20"/>
          <w:szCs w:val="20"/>
          <w:color w:val="auto"/>
        </w:rPr>
      </w:pPr>
      <w:r>
        <w:rPr>
          <w:rFonts w:ascii="Times New Roman" w:cs="Times New Roman" w:eastAsia="Times New Roman" w:hAnsi="Times New Roman"/>
          <w:sz w:val="14"/>
          <w:szCs w:val="14"/>
          <w:color w:val="auto"/>
        </w:rPr>
        <w:t>On August 20, 2021, we entered into Equity Distribution Agreements with each of JMP Securities LLC and Raymond James &amp; Associates, Inc., as the Sales Agents, in connection with the sale of shares of our Common Stock, par value $0.001 per share , with an aggregate offering price of up to $75 million under the ATM Program. The Equity Distribution Agreements provide</w:t>
      </w:r>
    </w:p>
    <w:p>
      <w:pPr>
        <w:spacing w:after="0" w:line="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4"/>
          <w:szCs w:val="14"/>
          <w:color w:val="auto"/>
        </w:rPr>
        <w:t>that we may offer and sell shares of our Common Stock from time to time through a Sales Agent in amounts and at times to be determined by us. Actual sales will depend on a variety of factors to be determined by us from time to time, including, market conditions and the trading price of our Common Stock.</w:t>
      </w:r>
    </w:p>
    <w:p>
      <w:pPr>
        <w:spacing w:after="0" w:line="151" w:lineRule="exact"/>
        <w:rPr>
          <w:sz w:val="20"/>
          <w:szCs w:val="20"/>
          <w:color w:val="auto"/>
        </w:rPr>
      </w:pPr>
    </w:p>
    <w:p>
      <w:pPr>
        <w:jc w:val="both"/>
        <w:ind w:right="60" w:firstLine="449"/>
        <w:spacing w:after="0" w:line="282" w:lineRule="auto"/>
        <w:rPr>
          <w:sz w:val="20"/>
          <w:szCs w:val="20"/>
          <w:color w:val="auto"/>
        </w:rPr>
      </w:pPr>
      <w:r>
        <w:rPr>
          <w:rFonts w:ascii="Times New Roman" w:cs="Times New Roman" w:eastAsia="Times New Roman" w:hAnsi="Times New Roman"/>
          <w:sz w:val="14"/>
          <w:szCs w:val="14"/>
          <w:color w:val="auto"/>
        </w:rPr>
        <w:t>During the six months ended March 31, 2022, we issued 2,328,838 shares of our Common Stock under the ATM Program at a weighted-average price of $13.10 per share, raising $30.5 million of gross proceeds. Net proceeds were $30.1 million after commissions to the Sales Agents on shares sold. As of March 31, 2022, we had $43.1 million available under the ATM Program.</w:t>
      </w:r>
    </w:p>
    <w:p>
      <w:pPr>
        <w:spacing w:after="0" w:line="148" w:lineRule="exact"/>
        <w:rPr>
          <w:sz w:val="20"/>
          <w:szCs w:val="20"/>
          <w:color w:val="auto"/>
        </w:rPr>
      </w:pPr>
    </w:p>
    <w:p>
      <w:pPr>
        <w:jc w:val="both"/>
        <w:ind w:right="60" w:firstLine="324"/>
        <w:spacing w:after="0" w:line="271" w:lineRule="auto"/>
        <w:rPr>
          <w:sz w:val="20"/>
          <w:szCs w:val="20"/>
          <w:color w:val="auto"/>
        </w:rPr>
      </w:pPr>
      <w:r>
        <w:rPr>
          <w:rFonts w:ascii="Times New Roman" w:cs="Times New Roman" w:eastAsia="Times New Roman" w:hAnsi="Times New Roman"/>
          <w:sz w:val="14"/>
          <w:szCs w:val="14"/>
          <w:color w:val="auto"/>
        </w:rPr>
        <w:t>Since inception of the ATM Program through March 31, 2022, we have issued 2,437,492 shares of our Common Stock at a weighted-average price of $13.09, raising $31.9 million of gross proceeds. Net proceeds were $31.4 million after commissions to the Sales Agents on shares sold. We incurred $0.5 million of legal and other offering costs associated with establishing the ATM Program.</w:t>
      </w:r>
    </w:p>
    <w:p>
      <w:pPr>
        <w:spacing w:after="0" w:line="116"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4"/>
          <w:szCs w:val="14"/>
          <w:color w:val="auto"/>
        </w:rPr>
        <w:t>We may raise equity or debt capital through both registered offerings off our shelf registration statement and private offerings of securities, securitizing a portion of our investments among other considerations or mergers and acquisitions. Furthermore, the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w:t>
      </w:r>
    </w:p>
    <w:p>
      <w:pPr>
        <w:spacing w:after="0" w:line="123" w:lineRule="exact"/>
        <w:rPr>
          <w:sz w:val="20"/>
          <w:szCs w:val="20"/>
          <w:color w:val="auto"/>
        </w:rPr>
      </w:pPr>
    </w:p>
    <w:p>
      <w:pPr>
        <w:ind w:right="380" w:firstLine="449"/>
        <w:spacing w:after="0" w:line="282" w:lineRule="auto"/>
        <w:rPr>
          <w:sz w:val="20"/>
          <w:szCs w:val="20"/>
          <w:color w:val="auto"/>
        </w:rPr>
      </w:pPr>
      <w:r>
        <w:rPr>
          <w:rFonts w:ascii="Times New Roman" w:cs="Times New Roman" w:eastAsia="Times New Roman" w:hAnsi="Times New Roman"/>
          <w:sz w:val="14"/>
          <w:szCs w:val="14"/>
          <w:color w:val="auto"/>
        </w:rPr>
        <w:t>As of March 31, 2022 and September 30, 2021, we had cash equivalents of $50.1 million and $49.8 million, respectively, available for investing and general corporate purposes. We believe our liquidity and capital resources are sufficient to take advantage of market opportunities.</w:t>
      </w:r>
    </w:p>
    <w:p>
      <w:pPr>
        <w:spacing w:after="0" w:line="94"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4"/>
          <w:szCs w:val="14"/>
          <w:color w:val="auto"/>
        </w:rPr>
        <w:t>Our operating activities used cash of $102.0 million for the six months ended March 31, 2022, and our financing activities provided cash of $101.6 million for the same period. Our operating activities used cash primarily for our investment activities and our financing activities provided cash primarily due to the issuance of $85 million of our 2026 Add-on Notes borrowings under our Credit Facility and proceeds from the ATM.</w:t>
      </w:r>
    </w:p>
    <w:p>
      <w:pPr>
        <w:spacing w:after="0" w:line="150" w:lineRule="exact"/>
        <w:rPr>
          <w:sz w:val="20"/>
          <w:szCs w:val="20"/>
          <w:color w:val="auto"/>
        </w:rPr>
      </w:pPr>
    </w:p>
    <w:p>
      <w:pPr>
        <w:jc w:val="both"/>
        <w:ind w:right="360" w:firstLine="449"/>
        <w:spacing w:after="0" w:line="271" w:lineRule="auto"/>
        <w:rPr>
          <w:sz w:val="20"/>
          <w:szCs w:val="20"/>
          <w:color w:val="auto"/>
        </w:rPr>
      </w:pPr>
      <w:r>
        <w:rPr>
          <w:rFonts w:ascii="Times New Roman" w:cs="Times New Roman" w:eastAsia="Times New Roman" w:hAnsi="Times New Roman"/>
          <w:sz w:val="14"/>
          <w:szCs w:val="14"/>
          <w:color w:val="auto"/>
        </w:rPr>
        <w:t>Our operating activities provided cash of $117.8 million for the six months ended March 31, 2021, and our financing activities used cash of $107.7 million for the same period. Our operating activities provided cash primarily from our investment activities and our financing activities used cash primarily to pay down our Credit Facility, partially offset by the 2026 Notes issuance.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PennantPark Senior Secured Loan Fund I LLC</w:t>
      </w:r>
    </w:p>
    <w:p>
      <w:pPr>
        <w:spacing w:after="0" w:line="111" w:lineRule="exact"/>
        <w:rPr>
          <w:sz w:val="20"/>
          <w:szCs w:val="20"/>
          <w:color w:val="auto"/>
        </w:rPr>
      </w:pPr>
    </w:p>
    <w:p>
      <w:pPr>
        <w:ind w:right="260" w:firstLine="449"/>
        <w:spacing w:after="0" w:line="253" w:lineRule="auto"/>
        <w:rPr>
          <w:sz w:val="20"/>
          <w:szCs w:val="20"/>
          <w:color w:val="auto"/>
        </w:rPr>
      </w:pPr>
      <w:r>
        <w:rPr>
          <w:rFonts w:ascii="Times New Roman" w:cs="Times New Roman" w:eastAsia="Times New Roman" w:hAnsi="Times New Roman"/>
          <w:sz w:val="14"/>
          <w:szCs w:val="14"/>
          <w:color w:val="auto"/>
        </w:rPr>
        <w:t>In May 2017, we and Kemper formed PSSL, an unconsolidated joint venture. PSSL invests primarily in middle-market and other corporate debt securities consistent with our strategy. PSSL was formed as a Delaware limited liability company. As of March 31, 2022 and September 30, 2021, PSSL had total assets of $729.0 million and $603.6 million, respectively. As of the</w:t>
      </w:r>
    </w:p>
    <w:p>
      <w:pPr>
        <w:spacing w:after="0" w:line="1" w:lineRule="exact"/>
        <w:rPr>
          <w:sz w:val="20"/>
          <w:szCs w:val="20"/>
          <w:color w:val="auto"/>
        </w:rPr>
      </w:pPr>
    </w:p>
    <w:p>
      <w:pPr>
        <w:ind w:right="140"/>
        <w:spacing w:after="0" w:line="231" w:lineRule="auto"/>
        <w:rPr>
          <w:sz w:val="20"/>
          <w:szCs w:val="20"/>
          <w:color w:val="auto"/>
        </w:rPr>
      </w:pPr>
      <w:r>
        <w:rPr>
          <w:rFonts w:ascii="Times New Roman" w:cs="Times New Roman" w:eastAsia="Times New Roman" w:hAnsi="Times New Roman"/>
          <w:sz w:val="14"/>
          <w:szCs w:val="14"/>
          <w:color w:val="auto"/>
        </w:rPr>
        <w:t>same dates, we and Kemper had remaining commitments to fund first lien secured debt and equity interests in PSSL in an aggregate amount of $56.9 and $8.1million, respectively. As of March 31, 2022, at fair value, the largest investment in a single portfolio company in PSSL was $19.2 million and the five largest investments totaled $86.2 million. As of September 30, 2021, at fair</w:t>
      </w:r>
    </w:p>
    <w:p>
      <w:pPr>
        <w:spacing w:after="0" w:line="1"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4"/>
          <w:szCs w:val="14"/>
          <w:color w:val="auto"/>
        </w:rPr>
        <w:t>value, the largest investment in a single portfolio company in PSSL was $18.9 million and the five largest investments totaled $83.9 million. PSSL invests in portfolio companies in the same industries in which we may directly invest.</w:t>
      </w:r>
    </w:p>
    <w:p>
      <w:pPr>
        <w:spacing w:after="0" w:line="110" w:lineRule="exact"/>
        <w:rPr>
          <w:sz w:val="20"/>
          <w:szCs w:val="20"/>
          <w:color w:val="auto"/>
        </w:rPr>
      </w:pPr>
    </w:p>
    <w:p>
      <w:pPr>
        <w:ind w:right="140" w:firstLine="449"/>
        <w:spacing w:after="0" w:line="255" w:lineRule="auto"/>
        <w:rPr>
          <w:sz w:val="20"/>
          <w:szCs w:val="20"/>
          <w:color w:val="auto"/>
        </w:rPr>
      </w:pPr>
      <w:r>
        <w:rPr>
          <w:rFonts w:ascii="Times New Roman" w:cs="Times New Roman" w:eastAsia="Times New Roman" w:hAnsi="Times New Roman"/>
          <w:sz w:val="14"/>
          <w:szCs w:val="14"/>
          <w:color w:val="auto"/>
        </w:rPr>
        <w:t>We provide capital to PSSL in the form of first lien secured debt and equity interests. As of March 31, 2022 and September 30, 2021, we and Kemper owned 87.5% and 12.5%, respectively, of each of the outstanding first lien secured debt and equity interests. As of the same dates, our investment in PSSL consisted of first lien secured debt of $170.3 million (additional $39.8 million unfunded) and $140.9 million (additional $29.4 million unfunded), respectively, and equity interests of $73.0 million (additional $17.1 million unfunded) and $60.4 million (additional $12.6 million unfunded), respectively.</w:t>
      </w:r>
    </w:p>
    <w:p>
      <w:pPr>
        <w:spacing w:after="0" w:line="112" w:lineRule="exact"/>
        <w:rPr>
          <w:sz w:val="20"/>
          <w:szCs w:val="20"/>
          <w:color w:val="auto"/>
        </w:rPr>
      </w:pPr>
    </w:p>
    <w:p>
      <w:pPr>
        <w:ind w:right="100" w:firstLine="449"/>
        <w:spacing w:after="0" w:line="253" w:lineRule="auto"/>
        <w:rPr>
          <w:sz w:val="20"/>
          <w:szCs w:val="20"/>
          <w:color w:val="auto"/>
        </w:rPr>
      </w:pPr>
      <w:r>
        <w:rPr>
          <w:rFonts w:ascii="Times New Roman" w:cs="Times New Roman" w:eastAsia="Times New Roman" w:hAnsi="Times New Roman"/>
          <w:sz w:val="14"/>
          <w:szCs w:val="14"/>
          <w:color w:val="auto"/>
        </w:rPr>
        <w:t>We and Kemper each appointed two members to PSSL’s four-person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w:t>
      </w:r>
    </w:p>
    <w:p>
      <w:pPr>
        <w:spacing w:after="0" w:line="1" w:lineRule="exact"/>
        <w:rPr>
          <w:sz w:val="20"/>
          <w:szCs w:val="20"/>
          <w:color w:val="auto"/>
        </w:rPr>
      </w:pPr>
    </w:p>
    <w:p>
      <w:pPr>
        <w:ind w:right="220"/>
        <w:spacing w:after="0" w:line="231" w:lineRule="auto"/>
        <w:rPr>
          <w:sz w:val="20"/>
          <w:szCs w:val="20"/>
          <w:color w:val="auto"/>
        </w:rPr>
      </w:pPr>
      <w:r>
        <w:rPr>
          <w:rFonts w:ascii="Times New Roman" w:cs="Times New Roman" w:eastAsia="Times New Roman" w:hAnsi="Times New Roman"/>
          <w:sz w:val="14"/>
          <w:szCs w:val="14"/>
          <w:color w:val="auto"/>
        </w:rPr>
        <w:t>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w:t>
      </w:r>
    </w:p>
    <w:p>
      <w:pPr>
        <w:spacing w:after="0" w:line="1"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4"/>
          <w:szCs w:val="14"/>
          <w:color w:val="auto"/>
        </w:rPr>
        <w:t>each matter; and (iii) the presence of four members of the board of directors or investment committee shall constitute a quorum, provided that two individuals are present that were elected, designated or appointed by each member.</w:t>
      </w:r>
    </w:p>
    <w:p>
      <w:pPr>
        <w:spacing w:after="0" w:line="110" w:lineRule="exact"/>
        <w:rPr>
          <w:sz w:val="20"/>
          <w:szCs w:val="20"/>
          <w:color w:val="auto"/>
        </w:rPr>
      </w:pPr>
    </w:p>
    <w:p>
      <w:pPr>
        <w:ind w:right="380" w:firstLine="449"/>
        <w:spacing w:after="0" w:line="261" w:lineRule="auto"/>
        <w:rPr>
          <w:sz w:val="20"/>
          <w:szCs w:val="20"/>
          <w:color w:val="auto"/>
        </w:rPr>
      </w:pPr>
      <w:r>
        <w:rPr>
          <w:rFonts w:ascii="Times New Roman" w:cs="Times New Roman" w:eastAsia="Times New Roman" w:hAnsi="Times New Roman"/>
          <w:sz w:val="14"/>
          <w:szCs w:val="14"/>
          <w:color w:val="auto"/>
        </w:rPr>
        <w:t>Additionally, PSSL has entered into a $225.0 million (increased from $155.0 million in October 2021) senior secured revolving credit facility which bears interest at LIBOR (or an alternative risk-free floating interest rate index) plus 250 basis points, or the PSSL Credit Facility 2, with Ally Bank through its wholly-owned subsidiary, PennantPark Senior Secured Loan Facility LLC II, or PSSL Subsidiary II, subject to leverage and borrowing base restrictions.</w:t>
      </w:r>
    </w:p>
    <w:p>
      <w:pPr>
        <w:spacing w:after="0" w:line="109" w:lineRule="exact"/>
        <w:rPr>
          <w:sz w:val="20"/>
          <w:szCs w:val="20"/>
          <w:color w:val="auto"/>
        </w:rPr>
      </w:pPr>
    </w:p>
    <w:p>
      <w:pPr>
        <w:ind w:right="200" w:firstLine="449"/>
        <w:spacing w:after="0" w:line="253" w:lineRule="auto"/>
        <w:rPr>
          <w:sz w:val="20"/>
          <w:szCs w:val="20"/>
          <w:color w:val="auto"/>
        </w:rPr>
      </w:pPr>
      <w:r>
        <w:rPr>
          <w:rFonts w:ascii="Times New Roman" w:cs="Times New Roman" w:eastAsia="Times New Roman" w:hAnsi="Times New Roman"/>
          <w:sz w:val="14"/>
          <w:szCs w:val="14"/>
          <w:color w:val="auto"/>
        </w:rPr>
        <w:t>In January 2021, PSSL completed a $300.7 million debt securitization in the form of a collateralized loan obligation, or the “2032 Asset-Backed Debt”. The 2032 Asset-Backed Debt is secured by a diversified portfolio of PennantPark CLO II, Ltd., a wholly-owned and consolidated subsidiary of PSSL, consisting primarily of middle market loans and participation interests in</w:t>
      </w:r>
    </w:p>
    <w:p>
      <w:pPr>
        <w:spacing w:after="0" w:line="1"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14"/>
          <w:szCs w:val="14"/>
          <w:color w:val="auto"/>
        </w:rPr>
        <w:t>middle market loans. The 2032 Asset-Backed Debt is scheduled to mature in January 2032. On the closing date of the transaction, in consideration of PSSL’s transfer to PennantPark CLO II, Ltd. of the initial closing date loan portfolio, which included loans distributed to PSSL by certain of its wholly owned subsidiaries and us, PennantPark CLO II, Ltd. transferred to PSSL 100%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Preferred Shares of PennantPark CLO II, Ltd. and 100% of the Class E Notes issued by PennantPark CLO II, Ltd.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88"/>
        </w:trPr>
        <w:tc>
          <w:tcPr>
            <w:tcW w:w="45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Below is a summary of PSSL’s portfolio at fair value:</w:t>
            </w:r>
          </w:p>
        </w:tc>
        <w:tc>
          <w:tcPr>
            <w:tcW w:w="3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2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30, 2021</w:t>
            </w:r>
          </w:p>
        </w:tc>
      </w:tr>
      <w:tr>
        <w:trPr>
          <w:trHeight w:val="169"/>
        </w:trPr>
        <w:tc>
          <w:tcPr>
            <w:tcW w:w="4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Total investments</w:t>
            </w:r>
          </w:p>
        </w:tc>
        <w:tc>
          <w:tcPr>
            <w:tcW w:w="3100" w:type="dxa"/>
            <w:vAlign w:val="bottom"/>
            <w:shd w:val="clear" w:color="auto" w:fill="CCECFF"/>
          </w:tcPr>
          <w:p>
            <w:pPr>
              <w:spacing w:after="0"/>
              <w:rPr>
                <w:sz w:val="14"/>
                <w:szCs w:val="14"/>
                <w:color w:val="auto"/>
              </w:rPr>
            </w:pPr>
          </w:p>
        </w:tc>
        <w:tc>
          <w:tcPr>
            <w:tcW w:w="200" w:type="dxa"/>
            <w:vAlign w:val="bottom"/>
            <w:tcBorders>
              <w:top w:val="single" w:sz="8" w:color="auto"/>
            </w:tcBorders>
            <w:shd w:val="clear" w:color="auto" w:fill="CCEC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704,958</w:t>
            </w:r>
          </w:p>
        </w:tc>
        <w:tc>
          <w:tcPr>
            <w:tcW w:w="34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564,783</w:t>
            </w:r>
          </w:p>
        </w:tc>
        <w:tc>
          <w:tcPr>
            <w:tcW w:w="180" w:type="dxa"/>
            <w:vAlign w:val="bottom"/>
            <w:shd w:val="clear" w:color="auto" w:fill="CCECFF"/>
          </w:tcPr>
          <w:p>
            <w:pPr>
              <w:spacing w:after="0"/>
              <w:rPr>
                <w:sz w:val="14"/>
                <w:szCs w:val="14"/>
                <w:color w:val="auto"/>
              </w:rPr>
            </w:pPr>
          </w:p>
        </w:tc>
      </w:tr>
      <w:tr>
        <w:trPr>
          <w:trHeight w:val="176"/>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cost yield on income producing investments</w:t>
            </w: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7.3 %</w:t>
            </w:r>
          </w:p>
        </w:tc>
        <w:tc>
          <w:tcPr>
            <w:tcW w:w="120" w:type="dxa"/>
            <w:vAlign w:val="bottom"/>
          </w:tcPr>
          <w:p>
            <w:pPr>
              <w:spacing w:after="0"/>
              <w:rPr>
                <w:sz w:val="15"/>
                <w:szCs w:val="15"/>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7.1 %</w:t>
            </w:r>
          </w:p>
        </w:tc>
      </w:tr>
      <w:tr>
        <w:trPr>
          <w:trHeight w:val="175"/>
        </w:trPr>
        <w:tc>
          <w:tcPr>
            <w:tcW w:w="4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Number of portfolio companies in PSSL</w:t>
            </w:r>
          </w:p>
        </w:tc>
        <w:tc>
          <w:tcPr>
            <w:tcW w:w="310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34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80" w:type="dxa"/>
            <w:vAlign w:val="bottom"/>
            <w:shd w:val="clear" w:color="auto" w:fill="CCECFF"/>
          </w:tcPr>
          <w:p>
            <w:pPr>
              <w:spacing w:after="0"/>
              <w:rPr>
                <w:sz w:val="15"/>
                <w:szCs w:val="15"/>
                <w:color w:val="auto"/>
              </w:rPr>
            </w:pPr>
          </w:p>
        </w:tc>
      </w:tr>
      <w:tr>
        <w:trPr>
          <w:trHeight w:val="176"/>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Largest portfolio company investment</w:t>
            </w:r>
          </w:p>
        </w:tc>
        <w:tc>
          <w:tcPr>
            <w:tcW w:w="33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19,157</w:t>
            </w:r>
          </w:p>
        </w:tc>
        <w:tc>
          <w:tcPr>
            <w:tcW w:w="3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18,933</w:t>
            </w:r>
          </w:p>
        </w:tc>
        <w:tc>
          <w:tcPr>
            <w:tcW w:w="180" w:type="dxa"/>
            <w:vAlign w:val="bottom"/>
          </w:tcPr>
          <w:p>
            <w:pPr>
              <w:spacing w:after="0"/>
              <w:rPr>
                <w:sz w:val="15"/>
                <w:szCs w:val="15"/>
                <w:color w:val="auto"/>
              </w:rPr>
            </w:pPr>
          </w:p>
        </w:tc>
      </w:tr>
      <w:tr>
        <w:trPr>
          <w:trHeight w:val="176"/>
        </w:trPr>
        <w:tc>
          <w:tcPr>
            <w:tcW w:w="4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Total of five largest portfolio company investments</w:t>
            </w:r>
          </w:p>
        </w:tc>
        <w:tc>
          <w:tcPr>
            <w:tcW w:w="3300" w:type="dxa"/>
            <w:vAlign w:val="bottom"/>
            <w:gridSpan w:val="2"/>
            <w:shd w:val="clear" w:color="auto" w:fill="CCEC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86,192</w:t>
            </w:r>
          </w:p>
        </w:tc>
        <w:tc>
          <w:tcPr>
            <w:tcW w:w="340" w:type="dxa"/>
            <w:vAlign w:val="bottom"/>
            <w:shd w:val="clear" w:color="auto" w:fill="CCECFF"/>
          </w:tcPr>
          <w:p>
            <w:pPr>
              <w:spacing w:after="0"/>
              <w:rPr>
                <w:sz w:val="15"/>
                <w:szCs w:val="15"/>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84,287</w:t>
            </w:r>
          </w:p>
        </w:tc>
        <w:tc>
          <w:tcPr>
            <w:tcW w:w="180" w:type="dxa"/>
            <w:vAlign w:val="bottom"/>
            <w:shd w:val="clear" w:color="auto" w:fill="CCECFF"/>
          </w:tcPr>
          <w:p>
            <w:pPr>
              <w:spacing w:after="0"/>
              <w:rPr>
                <w:sz w:val="15"/>
                <w:szCs w:val="15"/>
                <w:color w:val="auto"/>
              </w:rPr>
            </w:pPr>
          </w:p>
        </w:tc>
      </w:tr>
      <w:tr>
        <w:trPr>
          <w:trHeight w:val="449"/>
        </w:trPr>
        <w:tc>
          <w:tcPr>
            <w:tcW w:w="4580" w:type="dxa"/>
            <w:vAlign w:val="bottom"/>
          </w:tcPr>
          <w:p>
            <w:pPr>
              <w:spacing w:after="0"/>
              <w:rPr>
                <w:sz w:val="24"/>
                <w:szCs w:val="24"/>
                <w:color w:val="auto"/>
              </w:rPr>
            </w:pPr>
          </w:p>
        </w:tc>
        <w:tc>
          <w:tcPr>
            <w:tcW w:w="3100" w:type="dxa"/>
            <w:vAlign w:val="bottom"/>
          </w:tcPr>
          <w:p>
            <w:pPr>
              <w:jc w:val="right"/>
              <w:ind w:right="1908"/>
              <w:spacing w:after="0"/>
              <w:rPr>
                <w:sz w:val="20"/>
                <w:szCs w:val="20"/>
                <w:color w:val="auto"/>
              </w:rPr>
            </w:pPr>
            <w:r>
              <w:rPr>
                <w:rFonts w:ascii="Times New Roman" w:cs="Times New Roman" w:eastAsia="Times New Roman" w:hAnsi="Times New Roman"/>
                <w:sz w:val="14"/>
                <w:szCs w:val="14"/>
                <w:color w:val="auto"/>
              </w:rPr>
              <w:t>47</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25"/>
        </w:trPr>
        <w:tc>
          <w:tcPr>
            <w:tcW w:w="458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7" w:name="page48"/>
    <w:bookmarkEnd w:id="47"/>
    <w:p>
      <w:pPr>
        <w:ind w:left="460"/>
        <w:spacing w:after="0"/>
        <w:rPr>
          <w:sz w:val="20"/>
          <w:szCs w:val="20"/>
          <w:color w:val="auto"/>
        </w:rPr>
      </w:pPr>
      <w:r>
        <w:rPr>
          <w:rFonts w:ascii="Times New Roman" w:cs="Times New Roman" w:eastAsia="Times New Roman" w:hAnsi="Times New Roman"/>
          <w:sz w:val="14"/>
          <w:szCs w:val="14"/>
          <w:color w:val="auto"/>
        </w:rPr>
        <w:t>Below is a listing of PSSL’s individual investments as of March 31, 2022 ($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8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0"/>
              </w:rPr>
              <w:t xml:space="preserve">Fair Value </w:t>
            </w:r>
            <w:r>
              <w:rPr>
                <w:rFonts w:ascii="Times New Roman" w:cs="Times New Roman" w:eastAsia="Times New Roman" w:hAnsi="Times New Roman"/>
                <w:sz w:val="14"/>
                <w:szCs w:val="14"/>
                <w:b w:val="1"/>
                <w:bCs w:val="1"/>
                <w:color w:val="auto"/>
                <w:w w:val="90"/>
                <w:vertAlign w:val="superscript"/>
              </w:rPr>
              <w:t>(2)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40" w:type="dxa"/>
            <w:vAlign w:val="bottom"/>
          </w:tcPr>
          <w:p>
            <w:pPr>
              <w:spacing w:after="0"/>
              <w:rPr>
                <w:sz w:val="14"/>
                <w:szCs w:val="14"/>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4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14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Par</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 - 1,107.9%</w:t>
            </w:r>
          </w:p>
        </w:tc>
        <w:tc>
          <w:tcPr>
            <w:tcW w:w="1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5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Ad.net Acquisition,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5/6/2026</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7.00 %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8,933</w:t>
            </w:r>
          </w:p>
        </w:tc>
        <w:tc>
          <w:tcPr>
            <w:tcW w:w="3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8,820</w:t>
            </w:r>
          </w:p>
        </w:tc>
        <w:tc>
          <w:tcPr>
            <w:tcW w:w="2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8,933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Altamira Technologies, LLC</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7/24/2025</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9.00 %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5,375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5,244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5,160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12/21/2023</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Building Products</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4,913</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4,867</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4,913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7/31/2025</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6.25 %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1,015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B</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7/31/2025</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2,212</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2,212</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2,212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C</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7/31/2025</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1.12 %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4,153</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4,082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4,153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Applied Technical Services,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12/29/2026</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6.76 %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4,489</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4,405</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4,433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Blackhawk Industrial Distribution, Inc.</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9/17/2024</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 + 5.00%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13,137</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12,944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12,940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Broder Bros., Co.</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12/2/2022</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8.00 %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2,585</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2,585</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2,585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By Light Professional IT Services, LLC</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5/16/2024</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High Tech Industries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7.25 %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15,236</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15,169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15,083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Cadence Aerospace, LLC</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11/14/2023</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9.50 %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L+850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12,379</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12,339</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12,280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CF512, Inc.</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8/20/2026</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4,975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CHA Holdings, Inc.</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4/10/2025</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Construction and Engineering</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5.51 %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5,586</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5,503</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5,586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Challenger Performance Optimization, Inc.</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8/31/2023</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8.00 %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9,353</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9,318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9,073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Connatix Buyer, Inc.</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7/13/2027</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6.25 %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3,980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3,908</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Crane 1 Services, Inc.</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8/16/2027</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2,121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Crash Champions,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8/5/2025</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Automobiles</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6.00 %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14,918</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14,644</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14,545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Douglas Products and Packaging Company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10/19/2022</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8,701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8,674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8,701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Douglas Sewer Intermediate,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10/19/2022</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7,285</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7,262</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7,285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Dr. Squatch, LLC</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8/27/2026</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Personal Products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14,950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14,671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14,950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DRS Holdings III, Inc.</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11/3/2025</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15,596</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15,511</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15,519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Duraco Specialty Tapes LLC</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6/30/2024</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Containers and Packaging</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10,342</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10,182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10,166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ECL Entertainment, LLC</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3/31/2028</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Hotels, Restaurants and Leisure</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8.25 %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2,634</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2,609</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2,645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ECM Industries,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12/23/2025</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5.75 %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4,994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4,994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4,894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Exigo Intermediate II, LLC</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3/15/2027</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13,000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12,809</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12,805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Fairbanks More Defense</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6/17/2028</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5.50 %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9,950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9,908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9,805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FlexPrint,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1/2/2024</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6.14 %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L+594</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4,770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4,740</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4,770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Gantech Acquisition Corp.</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5/14/2026</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IT Services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5.87 %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14,788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14,556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14,640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Global Holdings InterCo LLC</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3/16/2026</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Diversified Financial Services</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7.00 %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3,948</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3,929</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3,908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Graffiti Buyer, Inc.</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8/10/2027</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Trading Companies &amp; Distributors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2,381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Hancock Roofing and Construction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12/31/2026</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6.00 %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2,469</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2,418</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2,469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Holdco Sands Intermediate, LLC</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11/23/2028</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7.01 %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4,988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4,893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HW Holdco,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12/10/2024</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6.00 %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3,067</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3,012</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3,006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IDC Infusion Services, Inc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12/30/2026</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Healthcre Equipment and supplies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6M L+600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9,807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Imagine Acquisitionco, LLC</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11/15/2027</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5,391</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5,283</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5,283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Inception Fertility Ventures, LLC</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12/7/2023</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Providers and Services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4,683</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4,582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4,566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Integrative Nutrition, LLC</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9/29/2023</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5.50 %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11,492</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11,463</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11,492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ITI Holdings, Inc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3/3/2028</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IT Services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6.25 %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 + 5.50%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4,000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3,931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3,930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12/20/2023</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9.00 %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L+800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19,350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19,146</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19,157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Kinetic Purchaser, LLC</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11/10/2027</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Personal Products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8,445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8,286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8,360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Lash OpCo, LLC</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2/18/2027</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Personal Products</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8.00 %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14,428</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14,119</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14,428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LAV Gear Holdings, Inc.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10/31/2024</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8.51 %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10,547</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10,501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10,305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Lightspeed Buyer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2/3/2026</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Providers and Services</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10,657</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10,449</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10,550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Lucky Bucks, LLC</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7/20/2027</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Hotel, Gaming and Leisure</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6.25 %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4,444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4,362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4,344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Marketplace Events, LLC - Super Priority First Lien Term Loan</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9/30/2025</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 Diversified and Production</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6.25 %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637</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637</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06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Marketplace Events, LLC - Super Priority First Lien Unfunded Term</w:t>
            </w: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Loan</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9/30/2025</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 Diversified and Production</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589</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06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Marketplace Events, LLC </w:t>
            </w:r>
            <w:r>
              <w:rPr>
                <w:rFonts w:ascii="Times New Roman" w:cs="Times New Roman" w:eastAsia="Times New Roman" w:hAnsi="Times New Roman"/>
                <w:sz w:val="14"/>
                <w:szCs w:val="14"/>
                <w:color w:val="auto"/>
                <w:vertAlign w:val="superscript"/>
              </w:rPr>
              <w:t>(3), (4)</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9/30/2026</w:t>
            </w:r>
          </w:p>
        </w:tc>
        <w:tc>
          <w:tcPr>
            <w:tcW w:w="140" w:type="dxa"/>
            <w:vAlign w:val="bottom"/>
          </w:tcPr>
          <w:p>
            <w:pPr>
              <w:spacing w:after="0"/>
              <w:rPr>
                <w:sz w:val="13"/>
                <w:szCs w:val="13"/>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 Diversified and Production</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0.00 %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4,764</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3,441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4,764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Mars Acquisition Holdings Corp.</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5/14/2026</w:t>
            </w:r>
          </w:p>
        </w:tc>
        <w:tc>
          <w:tcPr>
            <w:tcW w:w="140" w:type="dxa"/>
            <w:vAlign w:val="bottom"/>
          </w:tcPr>
          <w:p>
            <w:pPr>
              <w:spacing w:after="0"/>
              <w:rPr>
                <w:sz w:val="12"/>
                <w:szCs w:val="12"/>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9,950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9,819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9,875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MBS Holdings, Inc.</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4/16/2027</w:t>
            </w:r>
          </w:p>
        </w:tc>
        <w:tc>
          <w:tcPr>
            <w:tcW w:w="140" w:type="dxa"/>
            <w:vAlign w:val="bottom"/>
            <w:shd w:val="clear" w:color="auto" w:fill="CCECFF"/>
          </w:tcPr>
          <w:p>
            <w:pPr>
              <w:spacing w:after="0"/>
              <w:rPr>
                <w:sz w:val="12"/>
                <w:szCs w:val="12"/>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Internet Software and Services</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5.18 %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7,444</w:t>
            </w:r>
          </w:p>
        </w:tc>
        <w:tc>
          <w:tcPr>
            <w:tcW w:w="1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7,325</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7,369</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Meadowlark Acquirer,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12/10/2027</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2,408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MeritDirect, LLC</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5/23/2024</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Media: Advertising, Printing &amp; Publishing</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5,426</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5,327</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5,426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Mission Critical Electronics, Inc.</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9/28/2022</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5,859</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5,854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5,859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Municipal Emergency Services, Inc.</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9/28/2027</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6.00 %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3,483</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3,418</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3,368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NBH Group LLC</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8/19/2026</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&amp; Childcare</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10,875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10,677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New Milani Group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6/6/2024</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Consumer Goods: Non-Durable</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7.50 %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14,513</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14,456</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14,367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OIS Management Services,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7/9/2026</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5.75 %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1,985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One Stop Mailing,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5/7/2027</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Air Freight and Logistics</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7.25 %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14,845</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14,576</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14,696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Output Services Group, Inc.</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3/27/2024</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5.50 %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7,683</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7,760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6,761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Owl Acquisition,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2/4/2028</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4,000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3,922</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Ox Two, LLC</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5/18/2026</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Construction and Building</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8.00 %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4,950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4,851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PH Beauty Holdings III, Inc.</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9/29/2025</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4"/>
              </w:rPr>
              <w:t>Wholesale</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5.51 %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9,643</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9,348</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8,871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PL Acquisitionco, LLC</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11/9/2027</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Textiles, Apparel and Luxury Goods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7.50 %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8,279</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8,144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8,134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Plant Health Intermediate,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10/19/2022</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1,570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1,565</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1,570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PlayPower, Inc.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5/8/2026</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5.72 %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2,594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2,447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Quantic Electronics, LLC</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11/19/2026</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7.25 %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3,942</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3,863</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3,863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Recteq, LLC</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1/29/2026</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4,950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4,871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4,876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Research Now Group, LLC and Dynata,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12/20/2024</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10,624</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10,549</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10,414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Sales Benchmark Index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1/3/2025</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7.75 %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5,311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5,243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5,311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Sargent &amp; Greenleaf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12/20/2024</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4"/>
              </w:rPr>
              <w:t>Wholesale</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7.00 %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5,448</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5,401</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5,448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Schlesinger Global, Inc.</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7/14/2025</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8.00 %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11,809</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11,896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11,691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Sigma Defense Systems,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12/18/2025</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9.50 %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L+850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14,905</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14,561</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14,682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-2142490</wp:posOffset>
            </wp:positionV>
            <wp:extent cx="7132320" cy="8572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26"/>
        </w:trPr>
        <w:tc>
          <w:tcPr>
            <w:tcW w:w="1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8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vMerge w:val="restart"/>
          </w:tcPr>
          <w:p>
            <w:pPr>
              <w:jc w:val="right"/>
              <w:ind w:right="566"/>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76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5"/>
              </w:rPr>
              <w:t>Spread</w:t>
            </w:r>
          </w:p>
        </w:tc>
        <w:tc>
          <w:tcPr>
            <w:tcW w:w="160" w:type="dxa"/>
            <w:vAlign w:val="bottom"/>
          </w:tcPr>
          <w:p>
            <w:pPr>
              <w:spacing w:after="0"/>
              <w:rPr>
                <w:sz w:val="9"/>
                <w:szCs w:val="9"/>
                <w:color w:val="auto"/>
              </w:rPr>
            </w:pPr>
          </w:p>
        </w:tc>
        <w:tc>
          <w:tcPr>
            <w:tcW w:w="78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Par /</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7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Above</w:t>
            </w:r>
          </w:p>
        </w:tc>
        <w:tc>
          <w:tcPr>
            <w:tcW w:w="1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8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80" w:type="dxa"/>
            <w:vAlign w:val="bottom"/>
          </w:tcPr>
          <w:p>
            <w:pPr>
              <w:spacing w:after="0"/>
              <w:rPr>
                <w:sz w:val="14"/>
                <w:szCs w:val="14"/>
                <w:color w:val="auto"/>
              </w:rPr>
            </w:pPr>
          </w:p>
        </w:tc>
        <w:tc>
          <w:tcPr>
            <w:tcW w:w="1180" w:type="dxa"/>
            <w:vAlign w:val="bottom"/>
            <w:gridSpan w:val="2"/>
          </w:tcPr>
          <w:p>
            <w:pPr>
              <w:jc w:val="right"/>
              <w:ind w:right="54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160" w:type="dxa"/>
            <w:vAlign w:val="bottom"/>
          </w:tcPr>
          <w:p>
            <w:pPr>
              <w:spacing w:after="0"/>
              <w:rPr>
                <w:sz w:val="14"/>
                <w:szCs w:val="14"/>
                <w:color w:val="auto"/>
              </w:rPr>
            </w:pPr>
          </w:p>
        </w:tc>
        <w:tc>
          <w:tcPr>
            <w:tcW w:w="78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62"/>
              <w:spacing w:after="0"/>
              <w:rPr>
                <w:sz w:val="20"/>
                <w:szCs w:val="20"/>
                <w:color w:val="auto"/>
              </w:rPr>
            </w:pPr>
            <w:r>
              <w:rPr>
                <w:rFonts w:ascii="Times New Roman" w:cs="Times New Roman" w:eastAsia="Times New Roman" w:hAnsi="Times New Roman"/>
                <w:sz w:val="11"/>
                <w:szCs w:val="11"/>
                <w:b w:val="1"/>
                <w:bCs w:val="1"/>
                <w:color w:val="auto"/>
                <w:w w:val="90"/>
              </w:rPr>
              <w:t xml:space="preserve">Fair Value </w:t>
            </w:r>
            <w:r>
              <w:rPr>
                <w:rFonts w:ascii="Times New Roman" w:cs="Times New Roman" w:eastAsia="Times New Roman" w:hAnsi="Times New Roman"/>
                <w:sz w:val="14"/>
                <w:szCs w:val="14"/>
                <w:b w:val="1"/>
                <w:bCs w:val="1"/>
                <w:color w:val="auto"/>
                <w:w w:val="90"/>
                <w:vertAlign w:val="superscript"/>
              </w:rPr>
              <w:t>(2)</w:t>
            </w:r>
          </w:p>
        </w:tc>
        <w:tc>
          <w:tcPr>
            <w:tcW w:w="0" w:type="dxa"/>
            <w:vAlign w:val="bottom"/>
          </w:tcPr>
          <w:p>
            <w:pPr>
              <w:spacing w:after="0"/>
              <w:rPr>
                <w:sz w:val="1"/>
                <w:szCs w:val="1"/>
                <w:color w:val="auto"/>
              </w:rPr>
            </w:pPr>
          </w:p>
        </w:tc>
      </w:tr>
      <w:tr>
        <w:trPr>
          <w:trHeight w:val="128"/>
        </w:trPr>
        <w:tc>
          <w:tcPr>
            <w:tcW w:w="3000" w:type="dxa"/>
            <w:vAlign w:val="bottom"/>
            <w:tcBorders>
              <w:top w:val="single" w:sz="8" w:color="auto"/>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Smile Brands Inc.</w:t>
            </w:r>
          </w:p>
        </w:tc>
        <w:tc>
          <w:tcPr>
            <w:tcW w:w="140" w:type="dxa"/>
            <w:vAlign w:val="bottom"/>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10/14/2025</w:t>
            </w:r>
          </w:p>
        </w:tc>
        <w:tc>
          <w:tcPr>
            <w:tcW w:w="180" w:type="dxa"/>
            <w:vAlign w:val="bottom"/>
            <w:shd w:val="clear" w:color="auto" w:fill="CCECFF"/>
          </w:tcPr>
          <w:p>
            <w:pPr>
              <w:spacing w:after="0"/>
              <w:rPr>
                <w:sz w:val="11"/>
                <w:szCs w:val="11"/>
                <w:color w:val="auto"/>
              </w:rPr>
            </w:pPr>
          </w:p>
        </w:tc>
        <w:tc>
          <w:tcPr>
            <w:tcW w:w="248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80" w:type="dxa"/>
            <w:vAlign w:val="bottom"/>
            <w:shd w:val="clear" w:color="auto" w:fill="CCECFF"/>
          </w:tcPr>
          <w:p>
            <w:pPr>
              <w:spacing w:after="0"/>
              <w:rPr>
                <w:sz w:val="11"/>
                <w:szCs w:val="11"/>
                <w:color w:val="auto"/>
              </w:rPr>
            </w:pPr>
          </w:p>
        </w:tc>
        <w:tc>
          <w:tcPr>
            <w:tcW w:w="7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5.25</w:t>
            </w:r>
          </w:p>
        </w:tc>
        <w:tc>
          <w:tcPr>
            <w:tcW w:w="420" w:type="dxa"/>
            <w:vAlign w:val="bottom"/>
            <w:shd w:val="clear" w:color="auto" w:fill="CCECFF"/>
          </w:tcPr>
          <w:p>
            <w:pPr>
              <w:jc w:val="right"/>
              <w:ind w:right="266"/>
              <w:spacing w:after="0"/>
              <w:rPr>
                <w:sz w:val="20"/>
                <w:szCs w:val="20"/>
                <w:color w:val="auto"/>
              </w:rPr>
            </w:pPr>
            <w:r>
              <w:rPr>
                <w:rFonts w:ascii="Times New Roman" w:cs="Times New Roman" w:eastAsia="Times New Roman" w:hAnsi="Times New Roman"/>
                <w:sz w:val="11"/>
                <w:szCs w:val="11"/>
                <w:color w:val="auto"/>
                <w:w w:val="86"/>
              </w:rPr>
              <w:t>%</w:t>
            </w:r>
          </w:p>
        </w:tc>
        <w:tc>
          <w:tcPr>
            <w:tcW w:w="7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160" w:type="dxa"/>
            <w:vAlign w:val="bottom"/>
            <w:shd w:val="clear" w:color="auto" w:fill="CCECFF"/>
          </w:tcPr>
          <w:p>
            <w:pPr>
              <w:spacing w:after="0"/>
              <w:rPr>
                <w:sz w:val="11"/>
                <w:szCs w:val="11"/>
                <w:color w:val="auto"/>
              </w:rPr>
            </w:pPr>
          </w:p>
        </w:tc>
        <w:tc>
          <w:tcPr>
            <w:tcW w:w="7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12,507</w:t>
            </w:r>
          </w:p>
        </w:tc>
        <w:tc>
          <w:tcPr>
            <w:tcW w:w="160" w:type="dxa"/>
            <w:vAlign w:val="bottom"/>
            <w:shd w:val="clear" w:color="auto" w:fill="CCECFF"/>
          </w:tcPr>
          <w:p>
            <w:pPr>
              <w:spacing w:after="0"/>
              <w:rPr>
                <w:sz w:val="11"/>
                <w:szCs w:val="11"/>
                <w:color w:val="auto"/>
              </w:rPr>
            </w:pPr>
          </w:p>
        </w:tc>
        <w:tc>
          <w:tcPr>
            <w:tcW w:w="180" w:type="dxa"/>
            <w:vAlign w:val="bottom"/>
            <w:tcBorders>
              <w:top w:val="single" w:sz="8" w:color="auto"/>
            </w:tcBorders>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12,370</w:t>
            </w:r>
          </w:p>
        </w:tc>
        <w:tc>
          <w:tcPr>
            <w:tcW w:w="180" w:type="dxa"/>
            <w:vAlign w:val="bottom"/>
            <w:shd w:val="clear" w:color="auto" w:fill="CCECFF"/>
          </w:tcPr>
          <w:p>
            <w:pPr>
              <w:spacing w:after="0"/>
              <w:rPr>
                <w:sz w:val="11"/>
                <w:szCs w:val="11"/>
                <w:color w:val="auto"/>
              </w:rPr>
            </w:pPr>
          </w:p>
        </w:tc>
        <w:tc>
          <w:tcPr>
            <w:tcW w:w="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12,163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Snak Club,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7/19/2022</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1260" w:type="dxa"/>
            <w:vAlign w:val="bottom"/>
            <w:gridSpan w:val="3"/>
          </w:tcPr>
          <w:p>
            <w:pPr>
              <w:jc w:val="right"/>
              <w:ind w:right="266"/>
              <w:spacing w:after="0"/>
              <w:rPr>
                <w:sz w:val="20"/>
                <w:szCs w:val="20"/>
                <w:color w:val="auto"/>
              </w:rPr>
            </w:pPr>
            <w:r>
              <w:rPr>
                <w:rFonts w:ascii="Times New Roman" w:cs="Times New Roman" w:eastAsia="Times New Roman" w:hAnsi="Times New Roman"/>
                <w:sz w:val="11"/>
                <w:szCs w:val="11"/>
                <w:color w:val="auto"/>
              </w:rPr>
              <w:t>7.00 %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4,301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4,291</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4,301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Solutionreach, Inc.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1/17/2024</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1260" w:type="dxa"/>
            <w:vAlign w:val="bottom"/>
            <w:gridSpan w:val="3"/>
            <w:shd w:val="clear" w:color="auto" w:fill="CCECFF"/>
          </w:tcPr>
          <w:p>
            <w:pPr>
              <w:jc w:val="right"/>
              <w:ind w:right="266"/>
              <w:spacing w:after="0"/>
              <w:rPr>
                <w:sz w:val="20"/>
                <w:szCs w:val="20"/>
                <w:color w:val="auto"/>
              </w:rPr>
            </w:pPr>
            <w:r>
              <w:rPr>
                <w:rFonts w:ascii="Times New Roman" w:cs="Times New Roman" w:eastAsia="Times New Roman" w:hAnsi="Times New Roman"/>
                <w:sz w:val="11"/>
                <w:szCs w:val="11"/>
                <w:color w:val="auto"/>
              </w:rPr>
              <w:t>6.75 %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5,859</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5,829</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5,601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SpendmendHoldings, LLC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3/1/2028</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1260" w:type="dxa"/>
            <w:vAlign w:val="bottom"/>
            <w:gridSpan w:val="3"/>
          </w:tcPr>
          <w:p>
            <w:pPr>
              <w:jc w:val="right"/>
              <w:ind w:right="266"/>
              <w:spacing w:after="0"/>
              <w:rPr>
                <w:sz w:val="20"/>
                <w:szCs w:val="20"/>
                <w:color w:val="auto"/>
              </w:rPr>
            </w:pPr>
            <w:r>
              <w:rPr>
                <w:rFonts w:ascii="Times New Roman" w:cs="Times New Roman" w:eastAsia="Times New Roman" w:hAnsi="Times New Roman"/>
                <w:sz w:val="11"/>
                <w:szCs w:val="11"/>
                <w:color w:val="auto"/>
              </w:rPr>
              <w:t>6.75 %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2,971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2,928</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2,923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STV Group Incorporated</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12/11/2026</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Construction and Building</w:t>
            </w:r>
          </w:p>
        </w:tc>
        <w:tc>
          <w:tcPr>
            <w:tcW w:w="1260" w:type="dxa"/>
            <w:vAlign w:val="bottom"/>
            <w:gridSpan w:val="3"/>
            <w:shd w:val="clear" w:color="auto" w:fill="CCECFF"/>
          </w:tcPr>
          <w:p>
            <w:pPr>
              <w:jc w:val="right"/>
              <w:ind w:right="266"/>
              <w:spacing w:after="0"/>
              <w:rPr>
                <w:sz w:val="20"/>
                <w:szCs w:val="20"/>
                <w:color w:val="auto"/>
              </w:rPr>
            </w:pPr>
            <w:r>
              <w:rPr>
                <w:rFonts w:ascii="Times New Roman" w:cs="Times New Roman" w:eastAsia="Times New Roman" w:hAnsi="Times New Roman"/>
                <w:sz w:val="11"/>
                <w:szCs w:val="11"/>
                <w:color w:val="auto"/>
              </w:rPr>
              <w:t>5.61 %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9,075</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9,006</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8,803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00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1"/>
                <w:szCs w:val="11"/>
                <w:color w:val="auto"/>
              </w:rPr>
              <w:t>System Planning and Analysis, Inc. (f/k/a Management Consulting</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&amp; Research,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8/16/2027</w:t>
            </w:r>
          </w:p>
        </w:tc>
        <w:tc>
          <w:tcPr>
            <w:tcW w:w="180" w:type="dxa"/>
            <w:vAlign w:val="bottom"/>
          </w:tcPr>
          <w:p>
            <w:pPr>
              <w:spacing w:after="0"/>
              <w:rPr>
                <w:sz w:val="12"/>
                <w:szCs w:val="12"/>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60" w:type="dxa"/>
            <w:vAlign w:val="bottom"/>
            <w:gridSpan w:val="3"/>
          </w:tcPr>
          <w:p>
            <w:pPr>
              <w:jc w:val="right"/>
              <w:ind w:right="266"/>
              <w:spacing w:after="0"/>
              <w:rPr>
                <w:sz w:val="20"/>
                <w:szCs w:val="20"/>
                <w:color w:val="auto"/>
              </w:rPr>
            </w:pPr>
            <w:r>
              <w:rPr>
                <w:rFonts w:ascii="Times New Roman" w:cs="Times New Roman" w:eastAsia="Times New Roman" w:hAnsi="Times New Roman"/>
                <w:sz w:val="11"/>
                <w:szCs w:val="11"/>
                <w:color w:val="auto"/>
              </w:rPr>
              <w:t>7.00 %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14,963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14,675</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14,469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TAC LifePort Purchaser, LLC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3/1/2026</w:t>
            </w:r>
          </w:p>
        </w:tc>
        <w:tc>
          <w:tcPr>
            <w:tcW w:w="180" w:type="dxa"/>
            <w:vAlign w:val="bottom"/>
            <w:shd w:val="clear" w:color="auto" w:fill="CCECFF"/>
          </w:tcPr>
          <w:p>
            <w:pPr>
              <w:spacing w:after="0"/>
              <w:rPr>
                <w:sz w:val="12"/>
                <w:szCs w:val="12"/>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60" w:type="dxa"/>
            <w:vAlign w:val="bottom"/>
            <w:gridSpan w:val="3"/>
            <w:shd w:val="clear" w:color="auto" w:fill="CCECFF"/>
          </w:tcPr>
          <w:p>
            <w:pPr>
              <w:jc w:val="right"/>
              <w:ind w:right="266"/>
              <w:spacing w:after="0"/>
              <w:rPr>
                <w:sz w:val="20"/>
                <w:szCs w:val="20"/>
                <w:color w:val="auto"/>
              </w:rPr>
            </w:pPr>
            <w:r>
              <w:rPr>
                <w:rFonts w:ascii="Times New Roman" w:cs="Times New Roman" w:eastAsia="Times New Roman" w:hAnsi="Times New Roman"/>
                <w:sz w:val="11"/>
                <w:szCs w:val="11"/>
                <w:color w:val="auto"/>
              </w:rPr>
              <w:t>7.00 %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4,630</w:t>
            </w:r>
          </w:p>
        </w:tc>
        <w:tc>
          <w:tcPr>
            <w:tcW w:w="1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4,555</w:t>
            </w:r>
          </w:p>
        </w:tc>
        <w:tc>
          <w:tcPr>
            <w:tcW w:w="18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4,630</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TeleGuam Holdings,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11/20/2025</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260" w:type="dxa"/>
            <w:vAlign w:val="bottom"/>
            <w:gridSpan w:val="3"/>
          </w:tcPr>
          <w:p>
            <w:pPr>
              <w:jc w:val="right"/>
              <w:ind w:right="266"/>
              <w:spacing w:after="0"/>
              <w:rPr>
                <w:sz w:val="20"/>
                <w:szCs w:val="20"/>
                <w:color w:val="auto"/>
              </w:rPr>
            </w:pPr>
            <w:r>
              <w:rPr>
                <w:rFonts w:ascii="Times New Roman" w:cs="Times New Roman" w:eastAsia="Times New Roman" w:hAnsi="Times New Roman"/>
                <w:sz w:val="11"/>
                <w:szCs w:val="11"/>
                <w:color w:val="auto"/>
              </w:rPr>
              <w:t>5.50 %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10,279</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10,258</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10,177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Teneo Holdings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7/18/2025</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60" w:type="dxa"/>
            <w:vAlign w:val="bottom"/>
            <w:gridSpan w:val="3"/>
            <w:shd w:val="clear" w:color="auto" w:fill="CCECFF"/>
          </w:tcPr>
          <w:p>
            <w:pPr>
              <w:jc w:val="right"/>
              <w:ind w:right="266"/>
              <w:spacing w:after="0"/>
              <w:rPr>
                <w:sz w:val="20"/>
                <w:szCs w:val="20"/>
                <w:color w:val="auto"/>
              </w:rPr>
            </w:pPr>
            <w:r>
              <w:rPr>
                <w:rFonts w:ascii="Times New Roman" w:cs="Times New Roman" w:eastAsia="Times New Roman" w:hAnsi="Times New Roman"/>
                <w:sz w:val="11"/>
                <w:szCs w:val="11"/>
                <w:color w:val="auto"/>
              </w:rPr>
              <w:t>6.25 %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2,298</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2,295</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2,270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The Aegis Technologies Group,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10/31/2025</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60" w:type="dxa"/>
            <w:vAlign w:val="bottom"/>
            <w:gridSpan w:val="3"/>
          </w:tcPr>
          <w:p>
            <w:pPr>
              <w:jc w:val="right"/>
              <w:ind w:right="266"/>
              <w:spacing w:after="0"/>
              <w:rPr>
                <w:sz w:val="20"/>
                <w:szCs w:val="20"/>
                <w:color w:val="auto"/>
              </w:rPr>
            </w:pPr>
            <w:r>
              <w:rPr>
                <w:rFonts w:ascii="Times New Roman" w:cs="Times New Roman" w:eastAsia="Times New Roman" w:hAnsi="Times New Roman"/>
                <w:sz w:val="11"/>
                <w:szCs w:val="11"/>
                <w:color w:val="auto"/>
              </w:rPr>
              <w:t>7.00 %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5,688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5,616</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5,631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Bluebird Group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7/27/2026</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260" w:type="dxa"/>
            <w:vAlign w:val="bottom"/>
            <w:gridSpan w:val="3"/>
            <w:shd w:val="clear" w:color="auto" w:fill="CCECFF"/>
          </w:tcPr>
          <w:p>
            <w:pPr>
              <w:jc w:val="right"/>
              <w:ind w:right="266"/>
              <w:spacing w:after="0"/>
              <w:rPr>
                <w:sz w:val="20"/>
                <w:szCs w:val="20"/>
                <w:color w:val="auto"/>
              </w:rPr>
            </w:pPr>
            <w:r>
              <w:rPr>
                <w:rFonts w:ascii="Times New Roman" w:cs="Times New Roman" w:eastAsia="Times New Roman" w:hAnsi="Times New Roman"/>
                <w:sz w:val="11"/>
                <w:szCs w:val="11"/>
                <w:color w:val="auto"/>
              </w:rPr>
              <w:t>7.50 %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L+650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1,724</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1,693</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1,758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The Infosoft Group,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9/16/2024</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Media: Broadcasting and Subscription</w:t>
            </w:r>
          </w:p>
        </w:tc>
        <w:tc>
          <w:tcPr>
            <w:tcW w:w="1260" w:type="dxa"/>
            <w:vAlign w:val="bottom"/>
            <w:gridSpan w:val="3"/>
          </w:tcPr>
          <w:p>
            <w:pPr>
              <w:jc w:val="right"/>
              <w:ind w:right="266"/>
              <w:spacing w:after="0"/>
              <w:rPr>
                <w:sz w:val="20"/>
                <w:szCs w:val="20"/>
                <w:color w:val="auto"/>
              </w:rPr>
            </w:pPr>
            <w:r>
              <w:rPr>
                <w:rFonts w:ascii="Times New Roman" w:cs="Times New Roman" w:eastAsia="Times New Roman" w:hAnsi="Times New Roman"/>
                <w:sz w:val="11"/>
                <w:szCs w:val="11"/>
                <w:color w:val="auto"/>
              </w:rPr>
              <w:t>6.75 %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13,208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13,202</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13,208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Vertex Companies,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8/30/2027</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Construction and Engineering</w:t>
            </w:r>
          </w:p>
        </w:tc>
        <w:tc>
          <w:tcPr>
            <w:tcW w:w="1260" w:type="dxa"/>
            <w:vAlign w:val="bottom"/>
            <w:gridSpan w:val="3"/>
            <w:shd w:val="clear" w:color="auto" w:fill="CCECFF"/>
          </w:tcPr>
          <w:p>
            <w:pPr>
              <w:jc w:val="right"/>
              <w:ind w:right="266"/>
              <w:spacing w:after="0"/>
              <w:rPr>
                <w:sz w:val="20"/>
                <w:szCs w:val="20"/>
                <w:color w:val="auto"/>
              </w:rPr>
            </w:pPr>
            <w:r>
              <w:rPr>
                <w:rFonts w:ascii="Times New Roman" w:cs="Times New Roman" w:eastAsia="Times New Roman" w:hAnsi="Times New Roman"/>
                <w:sz w:val="11"/>
                <w:szCs w:val="11"/>
                <w:color w:val="auto"/>
              </w:rPr>
              <w:t>6.50 %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5,606</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5,500</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5,533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TPC Canada Parent, Inc. and TPC US Parent,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11/24/2025</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Goods: Non-Durable</w:t>
            </w:r>
          </w:p>
        </w:tc>
        <w:tc>
          <w:tcPr>
            <w:tcW w:w="1260" w:type="dxa"/>
            <w:vAlign w:val="bottom"/>
            <w:gridSpan w:val="3"/>
          </w:tcPr>
          <w:p>
            <w:pPr>
              <w:jc w:val="right"/>
              <w:ind w:right="266"/>
              <w:spacing w:after="0"/>
              <w:rPr>
                <w:sz w:val="20"/>
                <w:szCs w:val="20"/>
                <w:color w:val="auto"/>
              </w:rPr>
            </w:pPr>
            <w:r>
              <w:rPr>
                <w:rFonts w:ascii="Times New Roman" w:cs="Times New Roman" w:eastAsia="Times New Roman" w:hAnsi="Times New Roman"/>
                <w:sz w:val="11"/>
                <w:szCs w:val="11"/>
                <w:color w:val="auto"/>
              </w:rPr>
              <w:t>6.25 %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8,789</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8,629</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TVC Enterprises,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3/26/2026</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1260" w:type="dxa"/>
            <w:vAlign w:val="bottom"/>
            <w:gridSpan w:val="3"/>
            <w:shd w:val="clear" w:color="auto" w:fill="CCECFF"/>
          </w:tcPr>
          <w:p>
            <w:pPr>
              <w:jc w:val="right"/>
              <w:ind w:right="266"/>
              <w:spacing w:after="0"/>
              <w:rPr>
                <w:sz w:val="20"/>
                <w:szCs w:val="20"/>
                <w:color w:val="auto"/>
              </w:rPr>
            </w:pPr>
            <w:r>
              <w:rPr>
                <w:rFonts w:ascii="Times New Roman" w:cs="Times New Roman" w:eastAsia="Times New Roman" w:hAnsi="Times New Roman"/>
                <w:sz w:val="11"/>
                <w:szCs w:val="11"/>
                <w:color w:val="auto"/>
              </w:rPr>
              <w:t>7.00 %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15,028</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14,924</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14,727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6/16/2025</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1260" w:type="dxa"/>
            <w:vAlign w:val="bottom"/>
            <w:gridSpan w:val="3"/>
          </w:tcPr>
          <w:p>
            <w:pPr>
              <w:jc w:val="right"/>
              <w:ind w:right="266"/>
              <w:spacing w:after="0"/>
              <w:rPr>
                <w:sz w:val="20"/>
                <w:szCs w:val="20"/>
                <w:color w:val="auto"/>
              </w:rPr>
            </w:pPr>
            <w:r>
              <w:rPr>
                <w:rFonts w:ascii="Times New Roman" w:cs="Times New Roman" w:eastAsia="Times New Roman" w:hAnsi="Times New Roman"/>
                <w:sz w:val="11"/>
                <w:szCs w:val="11"/>
                <w:color w:val="auto"/>
              </w:rPr>
              <w:t>7.25 %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6,291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6,262</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6,291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Tyto Athene, LLC (New Issue)</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4/1/2028</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260" w:type="dxa"/>
            <w:vAlign w:val="bottom"/>
            <w:gridSpan w:val="3"/>
            <w:shd w:val="clear" w:color="auto" w:fill="CCECFF"/>
          </w:tcPr>
          <w:p>
            <w:pPr>
              <w:jc w:val="right"/>
              <w:ind w:right="266"/>
              <w:spacing w:after="0"/>
              <w:rPr>
                <w:sz w:val="20"/>
                <w:szCs w:val="20"/>
                <w:color w:val="auto"/>
              </w:rPr>
            </w:pPr>
            <w:r>
              <w:rPr>
                <w:rFonts w:ascii="Times New Roman" w:cs="Times New Roman" w:eastAsia="Times New Roman" w:hAnsi="Times New Roman"/>
                <w:sz w:val="11"/>
                <w:szCs w:val="11"/>
                <w:color w:val="auto"/>
              </w:rPr>
              <w:t>6.25 %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15,628</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15,489</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15,238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UBEO, LLC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4/3/2024</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260" w:type="dxa"/>
            <w:vAlign w:val="bottom"/>
            <w:gridSpan w:val="3"/>
          </w:tcPr>
          <w:p>
            <w:pPr>
              <w:jc w:val="right"/>
              <w:ind w:right="266"/>
              <w:spacing w:after="0"/>
              <w:rPr>
                <w:sz w:val="20"/>
                <w:szCs w:val="20"/>
                <w:color w:val="auto"/>
              </w:rPr>
            </w:pPr>
            <w:r>
              <w:rPr>
                <w:rFonts w:ascii="Times New Roman" w:cs="Times New Roman" w:eastAsia="Times New Roman" w:hAnsi="Times New Roman"/>
                <w:sz w:val="11"/>
                <w:szCs w:val="11"/>
                <w:color w:val="auto"/>
              </w:rPr>
              <w:t>5.50 %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17,481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17,375</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17,131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Walker Edison Furniture Company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3/31/2027</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Wholesale</w:t>
            </w:r>
          </w:p>
        </w:tc>
        <w:tc>
          <w:tcPr>
            <w:tcW w:w="1260" w:type="dxa"/>
            <w:vAlign w:val="bottom"/>
            <w:gridSpan w:val="3"/>
            <w:shd w:val="clear" w:color="auto" w:fill="CCECFF"/>
          </w:tcPr>
          <w:p>
            <w:pPr>
              <w:jc w:val="right"/>
              <w:ind w:right="266"/>
              <w:spacing w:after="0"/>
              <w:rPr>
                <w:sz w:val="20"/>
                <w:szCs w:val="20"/>
                <w:color w:val="auto"/>
              </w:rPr>
            </w:pPr>
            <w:r>
              <w:rPr>
                <w:rFonts w:ascii="Times New Roman" w:cs="Times New Roman" w:eastAsia="Times New Roman" w:hAnsi="Times New Roman"/>
                <w:sz w:val="11"/>
                <w:szCs w:val="11"/>
                <w:color w:val="auto"/>
              </w:rPr>
              <w:t>9.75 %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12,555</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12,284</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12,367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Wildcat Buyerco, Inc.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2/27/2026</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1260" w:type="dxa"/>
            <w:vAlign w:val="bottom"/>
            <w:gridSpan w:val="3"/>
          </w:tcPr>
          <w:p>
            <w:pPr>
              <w:jc w:val="right"/>
              <w:ind w:right="266"/>
              <w:spacing w:after="0"/>
              <w:rPr>
                <w:sz w:val="20"/>
                <w:szCs w:val="20"/>
                <w:color w:val="auto"/>
              </w:rPr>
            </w:pPr>
            <w:r>
              <w:rPr>
                <w:rFonts w:ascii="Times New Roman" w:cs="Times New Roman" w:eastAsia="Times New Roman" w:hAnsi="Times New Roman"/>
                <w:sz w:val="11"/>
                <w:szCs w:val="11"/>
                <w:color w:val="auto"/>
              </w:rPr>
              <w:t>6.75 %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5,678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5,632</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5,678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Zips Car Wash, LLC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3/1/2024</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Automobiles</w:t>
            </w:r>
          </w:p>
        </w:tc>
        <w:tc>
          <w:tcPr>
            <w:tcW w:w="1260" w:type="dxa"/>
            <w:vAlign w:val="bottom"/>
            <w:gridSpan w:val="3"/>
            <w:shd w:val="clear" w:color="auto" w:fill="CCECFF"/>
          </w:tcPr>
          <w:p>
            <w:pPr>
              <w:jc w:val="right"/>
              <w:ind w:right="266"/>
              <w:spacing w:after="0"/>
              <w:rPr>
                <w:sz w:val="20"/>
                <w:szCs w:val="20"/>
                <w:color w:val="auto"/>
              </w:rPr>
            </w:pPr>
            <w:r>
              <w:rPr>
                <w:rFonts w:ascii="Times New Roman" w:cs="Times New Roman" w:eastAsia="Times New Roman" w:hAnsi="Times New Roman"/>
                <w:sz w:val="11"/>
                <w:szCs w:val="11"/>
                <w:color w:val="auto"/>
              </w:rPr>
              <w:t>7.75 %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L+725</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17,000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16,707</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16,830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248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42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702,338</w:t>
            </w:r>
          </w:p>
        </w:tc>
        <w:tc>
          <w:tcPr>
            <w:tcW w:w="18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701,494</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Second Lien Secured Debt - 4.6%</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vMerge w:val="restart"/>
          </w:tcPr>
          <w:p>
            <w:pPr>
              <w:jc w:val="right"/>
              <w:ind w:right="366"/>
              <w:spacing w:after="0"/>
              <w:rPr>
                <w:sz w:val="20"/>
                <w:szCs w:val="20"/>
                <w:color w:val="auto"/>
              </w:rPr>
            </w:pPr>
            <w:r>
              <w:rPr>
                <w:rFonts w:ascii="Times New Roman" w:cs="Times New Roman" w:eastAsia="Times New Roman" w:hAnsi="Times New Roman"/>
                <w:sz w:val="11"/>
                <w:szCs w:val="11"/>
                <w:color w:val="auto"/>
              </w:rPr>
              <w:t>P(IK 9.00%)</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8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300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Inventus Power, Inc.</w:t>
            </w:r>
          </w:p>
        </w:tc>
        <w:tc>
          <w:tcPr>
            <w:tcW w:w="780" w:type="dxa"/>
            <w:vAlign w:val="bottom"/>
            <w:tcBorders>
              <w:bottom w:val="single" w:sz="8" w:color="CCECFF"/>
            </w:tcBorders>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09/29/2024</w:t>
            </w:r>
          </w:p>
        </w:tc>
        <w:tc>
          <w:tcPr>
            <w:tcW w:w="180" w:type="dxa"/>
            <w:vAlign w:val="bottom"/>
            <w:tcBorders>
              <w:bottom w:val="single" w:sz="8" w:color="CCECFF"/>
            </w:tcBorders>
            <w:shd w:val="clear" w:color="auto" w:fill="CCECFF"/>
          </w:tcPr>
          <w:p>
            <w:pPr>
              <w:spacing w:after="0"/>
              <w:rPr>
                <w:sz w:val="12"/>
                <w:szCs w:val="12"/>
                <w:color w:val="auto"/>
              </w:rPr>
            </w:pPr>
          </w:p>
        </w:tc>
        <w:tc>
          <w:tcPr>
            <w:tcW w:w="248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1260" w:type="dxa"/>
            <w:vAlign w:val="bottom"/>
            <w:tcBorders>
              <w:bottom w:val="single" w:sz="8" w:color="CCECFF"/>
            </w:tcBorders>
            <w:gridSpan w:val="3"/>
            <w:shd w:val="clear" w:color="auto" w:fill="CCECFF"/>
          </w:tcPr>
          <w:p>
            <w:pPr>
              <w:jc w:val="right"/>
              <w:ind w:right="266"/>
              <w:spacing w:after="0"/>
              <w:rPr>
                <w:sz w:val="20"/>
                <w:szCs w:val="20"/>
                <w:color w:val="auto"/>
              </w:rPr>
            </w:pPr>
            <w:r>
              <w:rPr>
                <w:rFonts w:ascii="Times New Roman" w:cs="Times New Roman" w:eastAsia="Times New Roman" w:hAnsi="Times New Roman"/>
                <w:sz w:val="11"/>
                <w:szCs w:val="11"/>
                <w:color w:val="auto"/>
              </w:rPr>
              <w:t>9.50 %</w:t>
            </w:r>
          </w:p>
        </w:tc>
        <w:tc>
          <w:tcPr>
            <w:tcW w:w="7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L+850</w:t>
            </w:r>
          </w:p>
        </w:tc>
        <w:tc>
          <w:tcPr>
            <w:tcW w:w="94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16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spacing w:after="0"/>
              <w:rPr>
                <w:sz w:val="12"/>
                <w:szCs w:val="12"/>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2,955</w:t>
            </w:r>
          </w:p>
        </w:tc>
        <w:tc>
          <w:tcPr>
            <w:tcW w:w="180" w:type="dxa"/>
            <w:vAlign w:val="bottom"/>
            <w:tcBorders>
              <w:bottom w:val="single" w:sz="8" w:color="CCECFF"/>
            </w:tcBorders>
            <w:shd w:val="clear" w:color="auto" w:fill="CCECFF"/>
          </w:tcPr>
          <w:p>
            <w:pPr>
              <w:spacing w:after="0"/>
              <w:rPr>
                <w:sz w:val="12"/>
                <w:szCs w:val="12"/>
                <w:color w:val="auto"/>
              </w:rPr>
            </w:pPr>
          </w:p>
        </w:tc>
        <w:tc>
          <w:tcPr>
            <w:tcW w:w="60" w:type="dxa"/>
            <w:vAlign w:val="bottom"/>
            <w:tcBorders>
              <w:bottom w:val="single" w:sz="8" w:color="auto"/>
            </w:tcBorders>
            <w:shd w:val="clear" w:color="auto" w:fill="CCECFF"/>
          </w:tcPr>
          <w:p>
            <w:pPr>
              <w:spacing w:after="0"/>
              <w:rPr>
                <w:sz w:val="12"/>
                <w:szCs w:val="12"/>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2,925</w:t>
            </w:r>
          </w:p>
        </w:tc>
        <w:tc>
          <w:tcPr>
            <w:tcW w:w="4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2,955</w:t>
            </w:r>
          </w:p>
        </w:tc>
        <w:tc>
          <w:tcPr>
            <w:tcW w:w="1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Equity Securities - 2.6%</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42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New MPE Holdings, LLC</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80" w:type="dxa"/>
            <w:vAlign w:val="bottom"/>
          </w:tcPr>
          <w:p>
            <w:pPr>
              <w:spacing w:after="0"/>
              <w:rPr>
                <w:sz w:val="11"/>
                <w:szCs w:val="11"/>
                <w:color w:val="auto"/>
              </w:rPr>
            </w:pPr>
          </w:p>
        </w:tc>
        <w:tc>
          <w:tcPr>
            <w:tcW w:w="1180" w:type="dxa"/>
            <w:vAlign w:val="bottom"/>
            <w:gridSpan w:val="2"/>
          </w:tcPr>
          <w:p>
            <w:pPr>
              <w:jc w:val="right"/>
              <w:ind w:right="3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Equity Securities</w:t>
            </w: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248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42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539</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- 1,113.3%</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705,293</w:t>
            </w:r>
          </w:p>
        </w:tc>
        <w:tc>
          <w:tcPr>
            <w:tcW w:w="1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704,958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 - 32.2%</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42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20,373</w:t>
            </w:r>
          </w:p>
        </w:tc>
        <w:tc>
          <w:tcPr>
            <w:tcW w:w="1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20,383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248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42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20,373</w:t>
            </w:r>
          </w:p>
        </w:tc>
        <w:tc>
          <w:tcPr>
            <w:tcW w:w="18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20,383</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 —1,145.5%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725,666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725,341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 in Excess of Other Assets — (1,045.5)%</w:t>
            </w: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109"/>
        </w:trPr>
        <w:tc>
          <w:tcPr>
            <w:tcW w:w="30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(662,021</w:t>
            </w: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Members' Equity—100.0%</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63,320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880" w:type="dxa"/>
            <w:vAlign w:val="bottom"/>
            <w:tcBorders>
              <w:bottom w:val="single" w:sz="8" w:color="auto"/>
            </w:tcBorders>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6545580</wp:posOffset>
            </wp:positionH>
            <wp:positionV relativeFrom="paragraph">
              <wp:posOffset>-1388110</wp:posOffset>
            </wp:positionV>
            <wp:extent cx="2603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-1388110</wp:posOffset>
            </wp:positionV>
            <wp:extent cx="2603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-1122045</wp:posOffset>
            </wp:positionV>
            <wp:extent cx="2603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-1122045</wp:posOffset>
            </wp:positionV>
            <wp:extent cx="2603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-753745</wp:posOffset>
            </wp:positionV>
            <wp:extent cx="2603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-753745</wp:posOffset>
            </wp:positionV>
            <wp:extent cx="2603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-385445</wp:posOffset>
            </wp:positionV>
            <wp:extent cx="2603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-385445</wp:posOffset>
            </wp:positionV>
            <wp:extent cx="26035"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9398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7" w:lineRule="exact"/>
        <w:rPr>
          <w:sz w:val="20"/>
          <w:szCs w:val="20"/>
          <w:color w:val="auto"/>
        </w:rPr>
      </w:pPr>
    </w:p>
    <w:p>
      <w:pPr>
        <w:ind w:left="380" w:right="20" w:hanging="372"/>
        <w:spacing w:after="0" w:line="222" w:lineRule="auto"/>
        <w:tabs>
          <w:tab w:leader="none" w:pos="380" w:val="left"/>
        </w:tabs>
        <w:numPr>
          <w:ilvl w:val="0"/>
          <w:numId w:val="2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ind w:left="380" w:hanging="372"/>
        <w:spacing w:after="0" w:line="191" w:lineRule="auto"/>
        <w:tabs>
          <w:tab w:leader="none" w:pos="380" w:val="left"/>
        </w:tabs>
        <w:numPr>
          <w:ilvl w:val="0"/>
          <w:numId w:val="2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Valued based on PSSL’s accounting policy.</w:t>
      </w:r>
    </w:p>
    <w:p>
      <w:pPr>
        <w:ind w:left="380" w:hanging="372"/>
        <w:spacing w:after="0" w:line="181" w:lineRule="auto"/>
        <w:tabs>
          <w:tab w:leader="none" w:pos="380" w:val="left"/>
        </w:tabs>
        <w:numPr>
          <w:ilvl w:val="0"/>
          <w:numId w:val="2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Non-U.S. company or principal place of business outside the United States.</w:t>
      </w:r>
    </w:p>
    <w:p>
      <w:pPr>
        <w:ind w:left="380" w:hanging="372"/>
        <w:spacing w:after="0" w:line="181" w:lineRule="auto"/>
        <w:tabs>
          <w:tab w:leader="none" w:pos="380" w:val="left"/>
        </w:tabs>
        <w:numPr>
          <w:ilvl w:val="0"/>
          <w:numId w:val="2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Non-income producing security.</w:t>
      </w:r>
    </w:p>
    <w:p>
      <w:pPr>
        <w:ind w:left="380" w:hanging="372"/>
        <w:spacing w:after="0" w:line="191" w:lineRule="auto"/>
        <w:tabs>
          <w:tab w:leader="none" w:pos="380" w:val="left"/>
        </w:tabs>
        <w:numPr>
          <w:ilvl w:val="0"/>
          <w:numId w:val="2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49" w:name="page50"/>
    <w:bookmarkEnd w:id="49"/>
    <w:p>
      <w:pPr>
        <w:ind w:left="460"/>
        <w:spacing w:after="0"/>
        <w:rPr>
          <w:sz w:val="20"/>
          <w:szCs w:val="20"/>
          <w:color w:val="auto"/>
        </w:rPr>
      </w:pPr>
      <w:r>
        <w:rPr>
          <w:rFonts w:ascii="Times New Roman" w:cs="Times New Roman" w:eastAsia="Times New Roman" w:hAnsi="Times New Roman"/>
          <w:sz w:val="14"/>
          <w:szCs w:val="14"/>
          <w:color w:val="auto"/>
        </w:rPr>
        <w:t>Below is a listing of PSSL’s individual investments as of September 30, 2021 ($ in thousands):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8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0"/>
              </w:rPr>
              <w:t xml:space="preserve">Fair Value </w:t>
            </w:r>
            <w:r>
              <w:rPr>
                <w:rFonts w:ascii="Times New Roman" w:cs="Times New Roman" w:eastAsia="Times New Roman" w:hAnsi="Times New Roman"/>
                <w:sz w:val="14"/>
                <w:szCs w:val="14"/>
                <w:b w:val="1"/>
                <w:bCs w:val="1"/>
                <w:color w:val="auto"/>
                <w:w w:val="90"/>
                <w:vertAlign w:val="superscript"/>
              </w:rPr>
              <w:t>(2)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40" w:type="dxa"/>
            <w:vAlign w:val="bottom"/>
          </w:tcPr>
          <w:p>
            <w:pPr>
              <w:spacing w:after="0"/>
              <w:rPr>
                <w:sz w:val="14"/>
                <w:szCs w:val="14"/>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4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14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Par</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 - 1,088.%</w:t>
            </w:r>
          </w:p>
        </w:tc>
        <w:tc>
          <w:tcPr>
            <w:tcW w:w="1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5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Ad.net Acquisition,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05/06/2026</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7.00 %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8,978</w:t>
            </w:r>
          </w:p>
        </w:tc>
        <w:tc>
          <w:tcPr>
            <w:tcW w:w="3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8,852</w:t>
            </w:r>
          </w:p>
        </w:tc>
        <w:tc>
          <w:tcPr>
            <w:tcW w:w="2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8,843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Altamira Technologies,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07/24/2025</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8.00 %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5,525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5,376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5,180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12/21/2023</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Building Products</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5,721</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5,653</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5,663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07/31/2025</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6.25 %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1,021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B</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07/31/2025</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2,222</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2,222</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07/31/2025</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6.25 %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4,174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4,103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4,132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Applied Technical Services,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12/29/2026</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4,511</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4,419</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4,421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By Light Professional IT Services,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05/16/2022</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High Tech Industries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7.25 %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12,880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12,869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12,880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60" w:type="dxa"/>
            <w:vAlign w:val="bottom"/>
            <w:shd w:val="clear" w:color="auto" w:fill="CCECFF"/>
          </w:tcPr>
          <w:p>
            <w:pPr>
              <w:ind w:left="20"/>
              <w:spacing w:after="0" w:line="122" w:lineRule="exact"/>
              <w:rPr>
                <w:sz w:val="20"/>
                <w:szCs w:val="20"/>
                <w:color w:val="auto"/>
              </w:rPr>
            </w:pPr>
            <w:r>
              <w:rPr>
                <w:rFonts w:ascii="Times New Roman" w:cs="Times New Roman" w:eastAsia="Times New Roman" w:hAnsi="Times New Roman"/>
                <w:sz w:val="11"/>
                <w:szCs w:val="11"/>
                <w:color w:val="auto"/>
              </w:rPr>
              <w:t>Cadence Aerospace, LLC</w:t>
            </w:r>
          </w:p>
        </w:tc>
        <w:tc>
          <w:tcPr>
            <w:tcW w:w="80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11/14/2023</w:t>
            </w:r>
          </w:p>
        </w:tc>
        <w:tc>
          <w:tcPr>
            <w:tcW w:w="140" w:type="dxa"/>
            <w:vAlign w:val="bottom"/>
            <w:shd w:val="clear" w:color="auto" w:fill="CCECFF"/>
          </w:tcPr>
          <w:p>
            <w:pPr>
              <w:spacing w:after="0"/>
              <w:rPr>
                <w:sz w:val="10"/>
                <w:szCs w:val="10"/>
                <w:color w:val="auto"/>
              </w:rPr>
            </w:pPr>
          </w:p>
        </w:tc>
        <w:tc>
          <w:tcPr>
            <w:tcW w:w="25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120" w:type="dxa"/>
            <w:vAlign w:val="bottom"/>
            <w:gridSpan w:val="3"/>
            <w:shd w:val="clear" w:color="auto" w:fill="CCEC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9.50 %</w:t>
            </w:r>
          </w:p>
        </w:tc>
        <w:tc>
          <w:tcPr>
            <w:tcW w:w="8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L+850</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12,282</w:t>
            </w:r>
          </w:p>
        </w:tc>
        <w:tc>
          <w:tcPr>
            <w:tcW w:w="1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12,231</w:t>
            </w:r>
          </w:p>
        </w:tc>
        <w:tc>
          <w:tcPr>
            <w:tcW w:w="16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11,981</w:t>
            </w:r>
          </w:p>
        </w:tc>
        <w:tc>
          <w:tcPr>
            <w:tcW w:w="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25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8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P(IK 9.50%)</w:t>
            </w:r>
          </w:p>
        </w:tc>
        <w:tc>
          <w:tcPr>
            <w:tcW w:w="8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Cano Health</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11/23/2027</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&amp; Childcare</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5.25 %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2,653</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2,647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2,654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CHA Holdings,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04/10/2025</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Construction and Engineering</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5.50 %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5,615</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5,519</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5,530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Challenger Performance Optimization, Inc.</w:t>
            </w:r>
          </w:p>
        </w:tc>
        <w:tc>
          <w:tcPr>
            <w:tcW w:w="800" w:type="dxa"/>
            <w:vAlign w:val="bottom"/>
            <w:gridSpan w:val="2"/>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9"/>
              </w:rPr>
              <w:t>08/31/2023</w:t>
            </w:r>
          </w:p>
        </w:tc>
        <w:tc>
          <w:tcPr>
            <w:tcW w:w="140" w:type="dxa"/>
            <w:vAlign w:val="bottom"/>
          </w:tcPr>
          <w:p>
            <w:pPr>
              <w:spacing w:after="0"/>
              <w:rPr>
                <w:sz w:val="10"/>
                <w:szCs w:val="10"/>
                <w:color w:val="auto"/>
              </w:rPr>
            </w:pPr>
          </w:p>
        </w:tc>
        <w:tc>
          <w:tcPr>
            <w:tcW w:w="25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12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8.00 %</w:t>
            </w: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1M L+675</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9,501</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9,454</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9,216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P(IK 1.00%)</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Connatix Buyer,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07/13/2027</w:t>
            </w:r>
          </w:p>
        </w:tc>
        <w:tc>
          <w:tcPr>
            <w:tcW w:w="140" w:type="dxa"/>
            <w:vAlign w:val="bottom"/>
            <w:shd w:val="clear" w:color="auto" w:fill="CCECFF"/>
          </w:tcPr>
          <w:p>
            <w:pPr>
              <w:spacing w:after="0"/>
              <w:rPr>
                <w:sz w:val="12"/>
                <w:szCs w:val="12"/>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6.25 %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4,000</w:t>
            </w:r>
          </w:p>
        </w:tc>
        <w:tc>
          <w:tcPr>
            <w:tcW w:w="1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3,922</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3,920</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CoolSys, Inc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08/04/2028</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5.50 %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1,909</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Crane 1 Services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08/16/2027</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2,132</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2,100</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2,110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Crash Champions,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08/05/2025</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Automobiles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8,978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8,802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8,798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Digital Room Holdings,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05/22/2026</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5.08 %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3,228</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3,111</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3,186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Douglas Products and Packaging Company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10/19/2022</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8,746</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8,695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8,746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Douglas Sewer Intermediate,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10/19/2022</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7,323</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7,278</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7,323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Dr. Squatch, LLC</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8/27/2026</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Personal Products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9,803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DRS Holdings III, Inc.</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11/03/2025</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7.25 %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15,676</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15,584</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15,566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East Valley Tourist Development Authority</w:t>
            </w:r>
          </w:p>
        </w:tc>
        <w:tc>
          <w:tcPr>
            <w:tcW w:w="800" w:type="dxa"/>
            <w:vAlign w:val="bottom"/>
            <w:gridSpan w:val="2"/>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9"/>
              </w:rPr>
              <w:t>03/07/2022</w:t>
            </w:r>
          </w:p>
        </w:tc>
        <w:tc>
          <w:tcPr>
            <w:tcW w:w="140" w:type="dxa"/>
            <w:vAlign w:val="bottom"/>
          </w:tcPr>
          <w:p>
            <w:pPr>
              <w:spacing w:after="0"/>
              <w:rPr>
                <w:sz w:val="10"/>
                <w:szCs w:val="10"/>
                <w:color w:val="auto"/>
              </w:rPr>
            </w:pPr>
          </w:p>
        </w:tc>
        <w:tc>
          <w:tcPr>
            <w:tcW w:w="25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Hotels, Restaurants and Leisure</w:t>
            </w:r>
          </w:p>
        </w:tc>
        <w:tc>
          <w:tcPr>
            <w:tcW w:w="112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9.00 %</w:t>
            </w: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L+800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5,719</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5,624</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5,633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P(IK 3.50%)</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ECL Entertainment,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03/312028</w:t>
            </w:r>
          </w:p>
        </w:tc>
        <w:tc>
          <w:tcPr>
            <w:tcW w:w="140" w:type="dxa"/>
            <w:vAlign w:val="bottom"/>
            <w:shd w:val="clear" w:color="auto" w:fill="CCECFF"/>
          </w:tcPr>
          <w:p>
            <w:pPr>
              <w:spacing w:after="0"/>
              <w:rPr>
                <w:sz w:val="12"/>
                <w:szCs w:val="12"/>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Hotels, Restaurants and Leisure</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8.25 %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2,647</w:t>
            </w:r>
          </w:p>
        </w:tc>
        <w:tc>
          <w:tcPr>
            <w:tcW w:w="1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2,621</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2,707</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ECM Industries,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12/23/2025</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5.50 %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4,994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4,994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4,894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Fairbanks More Defense</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06/17/2028</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5.50 %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9,955</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FlexPrint,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01/02/2024</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6.02 %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L+590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4,770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4,732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4,746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Gantech Acquisition Corp.</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05/14/2026</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IT Services</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7.25 %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14,925</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14,648</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14,627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Global Holdings InterCo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03/16/2026</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Diversified Financial Services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3,968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3,948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3,948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Graffiti Buyer,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08/10/2027</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Trding Companies &amp; Distributors</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2,393</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2,346</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2,357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Hancock Roofing and Construction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12/31/2026</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2,481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Holdco Sands Intermediate,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12/19/2025</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7.50 %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6,474</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6,407</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6,441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IMIA Holdings, Inc.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04/09/2027</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13,589</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13,338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13,317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Integrative Nutrition,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09/29/2023</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5.50 %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11,567</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11,528</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11,567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12/20/2023</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8.00 %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19,450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19,193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18,933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60" w:type="dxa"/>
            <w:vAlign w:val="bottom"/>
            <w:shd w:val="clear" w:color="auto" w:fill="CCECFF"/>
          </w:tcPr>
          <w:p>
            <w:pPr>
              <w:ind w:left="20"/>
              <w:spacing w:after="0" w:line="122" w:lineRule="exact"/>
              <w:rPr>
                <w:sz w:val="20"/>
                <w:szCs w:val="20"/>
                <w:color w:val="auto"/>
              </w:rPr>
            </w:pPr>
            <w:r>
              <w:rPr>
                <w:rFonts w:ascii="Times New Roman" w:cs="Times New Roman" w:eastAsia="Times New Roman" w:hAnsi="Times New Roman"/>
                <w:sz w:val="11"/>
                <w:szCs w:val="11"/>
                <w:color w:val="auto"/>
              </w:rPr>
              <w:t>LAV Gear Holdings, Inc.</w:t>
            </w:r>
          </w:p>
        </w:tc>
        <w:tc>
          <w:tcPr>
            <w:tcW w:w="800" w:type="dxa"/>
            <w:vAlign w:val="bottom"/>
            <w:gridSpan w:val="2"/>
            <w:shd w:val="clear" w:color="auto" w:fill="CCECFF"/>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9"/>
              </w:rPr>
              <w:t>10/31/2024</w:t>
            </w:r>
          </w:p>
        </w:tc>
        <w:tc>
          <w:tcPr>
            <w:tcW w:w="140" w:type="dxa"/>
            <w:vAlign w:val="bottom"/>
            <w:shd w:val="clear" w:color="auto" w:fill="CCECFF"/>
          </w:tcPr>
          <w:p>
            <w:pPr>
              <w:spacing w:after="0"/>
              <w:rPr>
                <w:sz w:val="10"/>
                <w:szCs w:val="10"/>
                <w:color w:val="auto"/>
              </w:rPr>
            </w:pPr>
          </w:p>
        </w:tc>
        <w:tc>
          <w:tcPr>
            <w:tcW w:w="25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Capital Equipment</w:t>
            </w:r>
          </w:p>
        </w:tc>
        <w:tc>
          <w:tcPr>
            <w:tcW w:w="1120" w:type="dxa"/>
            <w:vAlign w:val="bottom"/>
            <w:gridSpan w:val="3"/>
            <w:shd w:val="clear" w:color="auto" w:fill="CCEC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8.50 %</w:t>
            </w:r>
          </w:p>
        </w:tc>
        <w:tc>
          <w:tcPr>
            <w:tcW w:w="8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L+750</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10,491</w:t>
            </w:r>
          </w:p>
        </w:tc>
        <w:tc>
          <w:tcPr>
            <w:tcW w:w="1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10,435</w:t>
            </w:r>
          </w:p>
        </w:tc>
        <w:tc>
          <w:tcPr>
            <w:tcW w:w="16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9,833</w:t>
            </w:r>
          </w:p>
        </w:tc>
        <w:tc>
          <w:tcPr>
            <w:tcW w:w="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25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8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P(IK 1.00%)</w:t>
            </w:r>
          </w:p>
        </w:tc>
        <w:tc>
          <w:tcPr>
            <w:tcW w:w="8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0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Lightspeed Buyer Inc.</w:t>
            </w:r>
          </w:p>
        </w:tc>
        <w:tc>
          <w:tcPr>
            <w:tcW w:w="80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8"/>
              </w:rPr>
              <w:t>02/3/2026</w:t>
            </w:r>
          </w:p>
        </w:tc>
        <w:tc>
          <w:tcPr>
            <w:tcW w:w="140" w:type="dxa"/>
            <w:vAlign w:val="bottom"/>
          </w:tcPr>
          <w:p>
            <w:pPr>
              <w:spacing w:after="0"/>
              <w:rPr>
                <w:sz w:val="10"/>
                <w:szCs w:val="10"/>
                <w:color w:val="auto"/>
              </w:rPr>
            </w:pPr>
          </w:p>
        </w:tc>
        <w:tc>
          <w:tcPr>
            <w:tcW w:w="25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Providers and Services</w:t>
            </w:r>
          </w:p>
        </w:tc>
        <w:tc>
          <w:tcPr>
            <w:tcW w:w="112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6.75 %</w:t>
            </w: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1M L+575</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5,707</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5,606</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5,707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06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Lucky Bucks,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07/20/2027</w:t>
            </w:r>
          </w:p>
        </w:tc>
        <w:tc>
          <w:tcPr>
            <w:tcW w:w="140" w:type="dxa"/>
            <w:vAlign w:val="bottom"/>
          </w:tcPr>
          <w:p>
            <w:pPr>
              <w:spacing w:after="0"/>
              <w:rPr>
                <w:sz w:val="10"/>
                <w:szCs w:val="10"/>
                <w:color w:val="auto"/>
              </w:rPr>
            </w:pPr>
          </w:p>
        </w:tc>
        <w:tc>
          <w:tcPr>
            <w:tcW w:w="25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6"/>
              </w:rPr>
              <w:t>Hotel, Gaming and Leisure</w:t>
            </w:r>
          </w:p>
        </w:tc>
        <w:tc>
          <w:tcPr>
            <w:tcW w:w="1120" w:type="dxa"/>
            <w:vAlign w:val="bottom"/>
            <w:gridSpan w:val="3"/>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6.25 %</w:t>
            </w:r>
          </w:p>
        </w:tc>
        <w:tc>
          <w:tcPr>
            <w:tcW w:w="8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L+550</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4,500</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4,411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4,424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6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Marketplace Events, LLC </w:t>
            </w:r>
            <w:r>
              <w:rPr>
                <w:rFonts w:ascii="Times New Roman" w:cs="Times New Roman" w:eastAsia="Times New Roman" w:hAnsi="Times New Roman"/>
                <w:sz w:val="14"/>
                <w:szCs w:val="14"/>
                <w:color w:val="auto"/>
                <w:vertAlign w:val="superscript"/>
              </w:rPr>
              <w:t>(3)(4)</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09/30/2025</w:t>
            </w:r>
          </w:p>
        </w:tc>
        <w:tc>
          <w:tcPr>
            <w:tcW w:w="140" w:type="dxa"/>
            <w:vAlign w:val="bottom"/>
          </w:tcPr>
          <w:p>
            <w:pPr>
              <w:spacing w:after="0"/>
              <w:rPr>
                <w:sz w:val="13"/>
                <w:szCs w:val="13"/>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1"/>
                <w:szCs w:val="11"/>
                <w:color w:val="auto"/>
              </w:rPr>
              <w:t>Media: Diversified and Production</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6.25 %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617</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617</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Super Priority First Lien Term Loan</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P(IK 6.25%)</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060" w:type="dxa"/>
            <w:vAlign w:val="bottom"/>
          </w:tcPr>
          <w:p>
            <w:pPr>
              <w:ind w:left="20"/>
              <w:spacing w:after="0" w:line="109" w:lineRule="exact"/>
              <w:rPr>
                <w:sz w:val="20"/>
                <w:szCs w:val="20"/>
                <w:color w:val="auto"/>
              </w:rPr>
            </w:pPr>
            <w:r>
              <w:rPr>
                <w:rFonts w:ascii="Times New Roman" w:cs="Times New Roman" w:eastAsia="Times New Roman" w:hAnsi="Times New Roman"/>
                <w:sz w:val="11"/>
                <w:szCs w:val="11"/>
                <w:color w:val="auto"/>
                <w:w w:val="99"/>
              </w:rPr>
              <w:t>Marketplace Events, LLC - Super Priority First Lien Unfunded Term</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060" w:type="dxa"/>
            <w:vAlign w:val="bottom"/>
          </w:tcPr>
          <w:p>
            <w:pPr>
              <w:ind w:left="20"/>
              <w:spacing w:after="0" w:line="130" w:lineRule="exact"/>
              <w:rPr>
                <w:sz w:val="20"/>
                <w:szCs w:val="20"/>
                <w:color w:val="auto"/>
              </w:rPr>
            </w:pPr>
            <w:r>
              <w:rPr>
                <w:rFonts w:ascii="Times New Roman" w:cs="Times New Roman" w:eastAsia="Times New Roman" w:hAnsi="Times New Roman"/>
                <w:sz w:val="15"/>
                <w:szCs w:val="15"/>
                <w:color w:val="auto"/>
                <w:vertAlign w:val="subscript"/>
              </w:rPr>
              <w:t>Loan</w:t>
            </w:r>
            <w:r>
              <w:rPr>
                <w:rFonts w:ascii="Times New Roman" w:cs="Times New Roman" w:eastAsia="Times New Roman" w:hAnsi="Times New Roman"/>
                <w:sz w:val="6"/>
                <w:szCs w:val="6"/>
                <w:color w:val="auto"/>
              </w:rPr>
              <w:t xml:space="preserve"> (3)(4)</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09/30/2025</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 Diversified and Production</w:t>
            </w:r>
          </w:p>
        </w:tc>
        <w:tc>
          <w:tcPr>
            <w:tcW w:w="140" w:type="dxa"/>
            <w:vAlign w:val="bottom"/>
          </w:tcPr>
          <w:p>
            <w:pPr>
              <w:spacing w:after="0"/>
              <w:rPr>
                <w:sz w:val="11"/>
                <w:szCs w:val="11"/>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589</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Marketplace Events LLC </w:t>
            </w:r>
            <w:r>
              <w:rPr>
                <w:rFonts w:ascii="Times New Roman" w:cs="Times New Roman" w:eastAsia="Times New Roman" w:hAnsi="Times New Roman"/>
                <w:sz w:val="14"/>
                <w:szCs w:val="14"/>
                <w:color w:val="auto"/>
                <w:vertAlign w:val="superscript"/>
              </w:rPr>
              <w:t>(4)</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09/30/2026</w:t>
            </w:r>
          </w:p>
        </w:tc>
        <w:tc>
          <w:tcPr>
            <w:tcW w:w="140" w:type="dxa"/>
            <w:vAlign w:val="bottom"/>
          </w:tcPr>
          <w:p>
            <w:pPr>
              <w:spacing w:after="0"/>
              <w:rPr>
                <w:sz w:val="14"/>
                <w:szCs w:val="14"/>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 Diversified and Production</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0.00 %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4,615</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3,441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Mars Acquisition Holdings Corp.</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05/14/2026</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9,813</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MBS Holdings, Inc.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04/16/2027</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Internet Software and Services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7,481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7,338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7,332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MeritDirect,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05/23/2024</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Media: Advertising, Printing &amp; Publishing</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5,532</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5,412</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5,477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Mission Critical Electronics, Inc.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09/28/2022</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5,890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5,877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5,890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NBH Group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08/19/2026</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Healthcare, Education &amp; Culture</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10,902</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10,687</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10,684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New Milani Group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06/06/2024</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Goods: Non-Durable</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14,550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14,481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13,895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OIS Management Services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07/09/2026</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5.75 %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L+475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1,995</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1,966</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1,965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One Stop Mailing,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05/07/2027</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Air Freight and Logistics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7.25 %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14,920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14,631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14,659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Output Services Group,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03/27/2024</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5.50 %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7,743</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7,733</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7,047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Ox Two,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05/18/2026</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Construction and Building</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4,975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4,876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PH Beauty Holdings III,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09/29/2025</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4"/>
              </w:rPr>
              <w:t>Wholesale</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5.12 %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9,693</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9,514</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9,467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Plant Health Intermediate, Inc.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10/19/2022</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1,578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PlayPower, Inc.</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05/8/2026</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5.63 %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3,805</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3,720</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3,736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Recteq,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01/29/2026</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4,975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Research Now Group, Inc. and Survey Sampling International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12/20/2024</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10,680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10,592</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10,544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Sales Benchmark Index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01/03/2025</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7.75 %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5,578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5,496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5,439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Sargent &amp; Greenleaf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12/20/2024</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4"/>
              </w:rPr>
              <w:t>Wholesale</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7.00 %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5,550</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5,493</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5,550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Schlesinger Global, Inc.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07/14/2025</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8.00 %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11,785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11,760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11,254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Smile Brands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10/14/2024</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Healthcare and Pharmaceuticals</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5.32 %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12,576</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12,459</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12,451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Snak Club,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07/19/2022</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Beverage, Food and Tobacco</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4,388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4,362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4,388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Solutionreach,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01/17/2024</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Healthcare and Pharmaceuticals</w:t>
            </w:r>
          </w:p>
        </w:tc>
        <w:tc>
          <w:tcPr>
            <w:tcW w:w="11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5,892</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5,854</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5,892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-2305685</wp:posOffset>
            </wp:positionV>
            <wp:extent cx="7132320" cy="8572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-2047875</wp:posOffset>
            </wp:positionV>
            <wp:extent cx="7132320" cy="16256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71450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26"/>
        </w:trPr>
        <w:tc>
          <w:tcPr>
            <w:tcW w:w="3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3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vMerge w:val="restart"/>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78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5"/>
              </w:rPr>
              <w:t>Spread</w:t>
            </w:r>
          </w:p>
        </w:tc>
        <w:tc>
          <w:tcPr>
            <w:tcW w:w="160" w:type="dxa"/>
            <w:vAlign w:val="bottom"/>
          </w:tcPr>
          <w:p>
            <w:pPr>
              <w:spacing w:after="0"/>
              <w:rPr>
                <w:sz w:val="9"/>
                <w:szCs w:val="9"/>
                <w:color w:val="auto"/>
              </w:rPr>
            </w:pPr>
          </w:p>
        </w:tc>
        <w:tc>
          <w:tcPr>
            <w:tcW w:w="110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5"/>
              </w:rPr>
              <w:t>Par /</w:t>
            </w: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7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3"/>
              </w:rPr>
              <w:t>Above</w:t>
            </w:r>
          </w:p>
        </w:tc>
        <w:tc>
          <w:tcPr>
            <w:tcW w:w="16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200" w:type="dxa"/>
            <w:vAlign w:val="bottom"/>
          </w:tcPr>
          <w:p>
            <w:pPr>
              <w:spacing w:after="0"/>
              <w:rPr>
                <w:sz w:val="14"/>
                <w:szCs w:val="14"/>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40" w:type="dxa"/>
            <w:vAlign w:val="bottom"/>
          </w:tcPr>
          <w:p>
            <w:pPr>
              <w:spacing w:after="0"/>
              <w:rPr>
                <w:sz w:val="14"/>
                <w:szCs w:val="14"/>
                <w:color w:val="auto"/>
              </w:rPr>
            </w:pPr>
          </w:p>
        </w:tc>
        <w:tc>
          <w:tcPr>
            <w:tcW w:w="960" w:type="dxa"/>
            <w:vAlign w:val="bottom"/>
            <w:gridSpan w:val="2"/>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(1)</w:t>
            </w:r>
          </w:p>
        </w:tc>
        <w:tc>
          <w:tcPr>
            <w:tcW w:w="160" w:type="dxa"/>
            <w:vAlign w:val="bottom"/>
          </w:tcPr>
          <w:p>
            <w:pPr>
              <w:spacing w:after="0"/>
              <w:rPr>
                <w:sz w:val="14"/>
                <w:szCs w:val="14"/>
                <w:color w:val="auto"/>
              </w:rPr>
            </w:pPr>
          </w:p>
        </w:tc>
        <w:tc>
          <w:tcPr>
            <w:tcW w:w="1100" w:type="dxa"/>
            <w:vAlign w:val="bottom"/>
            <w:gridSpan w:val="3"/>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60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b w:val="1"/>
                <w:bCs w:val="1"/>
                <w:color w:val="auto"/>
                <w:w w:val="90"/>
              </w:rPr>
              <w:t xml:space="preserve">Fair Value </w:t>
            </w:r>
            <w:r>
              <w:rPr>
                <w:rFonts w:ascii="Times New Roman" w:cs="Times New Roman" w:eastAsia="Times New Roman" w:hAnsi="Times New Roman"/>
                <w:sz w:val="14"/>
                <w:szCs w:val="14"/>
                <w:b w:val="1"/>
                <w:bCs w:val="1"/>
                <w:color w:val="auto"/>
                <w:w w:val="90"/>
                <w:vertAlign w:val="superscript"/>
              </w:rPr>
              <w:t>(2)</w:t>
            </w:r>
          </w:p>
        </w:tc>
        <w:tc>
          <w:tcPr>
            <w:tcW w:w="0" w:type="dxa"/>
            <w:vAlign w:val="bottom"/>
          </w:tcPr>
          <w:p>
            <w:pPr>
              <w:spacing w:after="0"/>
              <w:rPr>
                <w:sz w:val="1"/>
                <w:szCs w:val="1"/>
                <w:color w:val="auto"/>
              </w:rPr>
            </w:pPr>
          </w:p>
        </w:tc>
      </w:tr>
      <w:tr>
        <w:trPr>
          <w:trHeight w:val="128"/>
        </w:trPr>
        <w:tc>
          <w:tcPr>
            <w:tcW w:w="306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Spectacle Gary Holdings, LLC</w:t>
            </w:r>
          </w:p>
        </w:tc>
        <w:tc>
          <w:tcPr>
            <w:tcW w:w="140" w:type="dxa"/>
            <w:vAlign w:val="bottom"/>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12/23/2025</w:t>
            </w:r>
          </w:p>
        </w:tc>
        <w:tc>
          <w:tcPr>
            <w:tcW w:w="200" w:type="dxa"/>
            <w:vAlign w:val="bottom"/>
            <w:shd w:val="clear" w:color="auto" w:fill="CCECFF"/>
          </w:tcPr>
          <w:p>
            <w:pPr>
              <w:spacing w:after="0"/>
              <w:rPr>
                <w:sz w:val="11"/>
                <w:szCs w:val="11"/>
                <w:color w:val="auto"/>
              </w:rPr>
            </w:pPr>
          </w:p>
        </w:tc>
        <w:tc>
          <w:tcPr>
            <w:tcW w:w="252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Hotels, Restaurants and Leisure</w:t>
            </w:r>
          </w:p>
        </w:tc>
        <w:tc>
          <w:tcPr>
            <w:tcW w:w="140" w:type="dxa"/>
            <w:vAlign w:val="bottom"/>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11.00</w:t>
            </w:r>
          </w:p>
        </w:tc>
        <w:tc>
          <w:tcPr>
            <w:tcW w:w="260" w:type="dxa"/>
            <w:vAlign w:val="bottom"/>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w w:val="86"/>
              </w:rPr>
              <w:t>%</w:t>
            </w:r>
          </w:p>
        </w:tc>
        <w:tc>
          <w:tcPr>
            <w:tcW w:w="7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L+900</w:t>
            </w:r>
          </w:p>
        </w:tc>
        <w:tc>
          <w:tcPr>
            <w:tcW w:w="160" w:type="dxa"/>
            <w:vAlign w:val="bottom"/>
            <w:shd w:val="clear" w:color="auto" w:fill="CCECFF"/>
          </w:tcPr>
          <w:p>
            <w:pPr>
              <w:spacing w:after="0"/>
              <w:rPr>
                <w:sz w:val="11"/>
                <w:szCs w:val="11"/>
                <w:color w:val="auto"/>
              </w:rPr>
            </w:pPr>
          </w:p>
        </w:tc>
        <w:tc>
          <w:tcPr>
            <w:tcW w:w="7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4,389</w:t>
            </w:r>
          </w:p>
        </w:tc>
        <w:tc>
          <w:tcPr>
            <w:tcW w:w="160" w:type="dxa"/>
            <w:vAlign w:val="bottom"/>
            <w:shd w:val="clear" w:color="auto" w:fill="CCECFF"/>
          </w:tcPr>
          <w:p>
            <w:pPr>
              <w:spacing w:after="0"/>
              <w:rPr>
                <w:sz w:val="11"/>
                <w:szCs w:val="11"/>
                <w:color w:val="auto"/>
              </w:rPr>
            </w:pPr>
          </w:p>
        </w:tc>
        <w:tc>
          <w:tcPr>
            <w:tcW w:w="16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4,506</w:t>
            </w:r>
          </w:p>
        </w:tc>
        <w:tc>
          <w:tcPr>
            <w:tcW w:w="160" w:type="dxa"/>
            <w:vAlign w:val="bottom"/>
            <w:shd w:val="clear" w:color="auto" w:fill="CCECFF"/>
          </w:tcPr>
          <w:p>
            <w:pPr>
              <w:spacing w:after="0"/>
              <w:rPr>
                <w:sz w:val="11"/>
                <w:szCs w:val="11"/>
                <w:color w:val="auto"/>
              </w:rPr>
            </w:pPr>
          </w:p>
        </w:tc>
        <w:tc>
          <w:tcPr>
            <w:tcW w:w="60" w:type="dxa"/>
            <w:vAlign w:val="bottom"/>
            <w:tcBorders>
              <w:top w:val="single" w:sz="8" w:color="auto"/>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4,765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STV Group Incorporated</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12/11/2026</w:t>
            </w:r>
          </w:p>
        </w:tc>
        <w:tc>
          <w:tcPr>
            <w:tcW w:w="20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Construction and Building</w:t>
            </w:r>
          </w:p>
        </w:tc>
        <w:tc>
          <w:tcPr>
            <w:tcW w:w="110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5.33 %</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9,075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9,004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9,030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TAC LifePort Purchaser,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03/01/2026</w:t>
            </w:r>
          </w:p>
        </w:tc>
        <w:tc>
          <w:tcPr>
            <w:tcW w:w="20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0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7.00 %</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4,950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4,860</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4,948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TeleGuam Holdings,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11/20/2025</w:t>
            </w:r>
          </w:p>
        </w:tc>
        <w:tc>
          <w:tcPr>
            <w:tcW w:w="20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10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5.50 %</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10,337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10,313</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10,234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Teneo Holdings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07/18/2025</w:t>
            </w:r>
          </w:p>
        </w:tc>
        <w:tc>
          <w:tcPr>
            <w:tcW w:w="20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10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6.25 %</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2,309</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2,306</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2,297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The Aegis Technologies Group,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10/31/2025</w:t>
            </w:r>
          </w:p>
        </w:tc>
        <w:tc>
          <w:tcPr>
            <w:tcW w:w="20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0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6.77 %</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5,713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5,634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5,656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Bluebird Group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07/27/2026</w:t>
            </w:r>
          </w:p>
        </w:tc>
        <w:tc>
          <w:tcPr>
            <w:tcW w:w="20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110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8.00 %</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1,744</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1,710</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1,733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The Infosoft Group,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09/16/2024</w:t>
            </w:r>
          </w:p>
        </w:tc>
        <w:tc>
          <w:tcPr>
            <w:tcW w:w="20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Media: Broadcasting and Subscription</w:t>
            </w:r>
          </w:p>
        </w:tc>
        <w:tc>
          <w:tcPr>
            <w:tcW w:w="110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6.75 %</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6M L+575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13,383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13,376</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13,383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Vertex Companies,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08/30/2027</w:t>
            </w:r>
          </w:p>
        </w:tc>
        <w:tc>
          <w:tcPr>
            <w:tcW w:w="20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Construction and Engineering</w:t>
            </w:r>
          </w:p>
        </w:tc>
        <w:tc>
          <w:tcPr>
            <w:tcW w:w="110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6.50 %</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6M L+550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5,634</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5,523</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5,529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TPC Canada Parent, Inc. and TPC US Parent,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11/24/2025</w:t>
            </w:r>
          </w:p>
        </w:tc>
        <w:tc>
          <w:tcPr>
            <w:tcW w:w="20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Goods: Non-Durable</w:t>
            </w:r>
          </w:p>
        </w:tc>
        <w:tc>
          <w:tcPr>
            <w:tcW w:w="110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6.25 %</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8,834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8,655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8,569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TVC Enterprises,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03/26/2026</w:t>
            </w:r>
          </w:p>
        </w:tc>
        <w:tc>
          <w:tcPr>
            <w:tcW w:w="20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110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6.75 %</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8,558</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8,593</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8,558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06/16/2025</w:t>
            </w:r>
          </w:p>
        </w:tc>
        <w:tc>
          <w:tcPr>
            <w:tcW w:w="20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110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7.25 %</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6,636</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6,599</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6,636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Tyto Athene,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08/27/2024</w:t>
            </w:r>
          </w:p>
        </w:tc>
        <w:tc>
          <w:tcPr>
            <w:tcW w:w="20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10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6.25 %</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11,443</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11,334</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11,443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UBEO,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04/03/2024</w:t>
            </w:r>
          </w:p>
        </w:tc>
        <w:tc>
          <w:tcPr>
            <w:tcW w:w="20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10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5.50 %</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17,571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17,457</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17,483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Urology Management Associates,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08/30/2024</w:t>
            </w:r>
          </w:p>
        </w:tc>
        <w:tc>
          <w:tcPr>
            <w:tcW w:w="20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110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5.50 %</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11,030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10,849</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10,975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Walker Edison Furniture Company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03/31/2027</w:t>
            </w:r>
          </w:p>
        </w:tc>
        <w:tc>
          <w:tcPr>
            <w:tcW w:w="20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Wholesale</w:t>
            </w:r>
          </w:p>
        </w:tc>
        <w:tc>
          <w:tcPr>
            <w:tcW w:w="110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6.75 %</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12,438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12,142</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11,971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Wildcat Buyerco, Inc.</w:t>
            </w:r>
          </w:p>
        </w:tc>
        <w:tc>
          <w:tcPr>
            <w:tcW w:w="780" w:type="dxa"/>
            <w:vAlign w:val="bottom"/>
            <w:tcBorders>
              <w:bottom w:val="single" w:sz="8" w:color="CCECFF"/>
            </w:tcBorders>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02/27/2026</w:t>
            </w:r>
          </w:p>
        </w:tc>
        <w:tc>
          <w:tcPr>
            <w:tcW w:w="200" w:type="dxa"/>
            <w:vAlign w:val="bottom"/>
            <w:tcBorders>
              <w:bottom w:val="single" w:sz="8" w:color="CCECFF"/>
            </w:tcBorders>
            <w:shd w:val="clear" w:color="auto" w:fill="CCECFF"/>
          </w:tcPr>
          <w:p>
            <w:pPr>
              <w:spacing w:after="0"/>
              <w:rPr>
                <w:sz w:val="11"/>
                <w:szCs w:val="11"/>
                <w:color w:val="auto"/>
              </w:rPr>
            </w:pPr>
          </w:p>
        </w:tc>
        <w:tc>
          <w:tcPr>
            <w:tcW w:w="252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1100" w:type="dxa"/>
            <w:vAlign w:val="bottom"/>
            <w:tcBorders>
              <w:bottom w:val="single" w:sz="8" w:color="CCECFF"/>
            </w:tcBorders>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6.00 %</w:t>
            </w:r>
          </w:p>
        </w:tc>
        <w:tc>
          <w:tcPr>
            <w:tcW w:w="7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4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5,706</w:t>
            </w:r>
          </w:p>
        </w:tc>
        <w:tc>
          <w:tcPr>
            <w:tcW w:w="1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5,656</w:t>
            </w:r>
          </w:p>
        </w:tc>
        <w:tc>
          <w:tcPr>
            <w:tcW w:w="16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5,678</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558,880</w:t>
            </w: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557,732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Second Lien Secured Debt - 10.5%</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25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6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 xml:space="preserve">DBI Intermediate Holdco, LLC, Term Loan B </w:t>
            </w:r>
            <w:r>
              <w:rPr>
                <w:rFonts w:ascii="Times New Roman" w:cs="Times New Roman" w:eastAsia="Times New Roman" w:hAnsi="Times New Roman"/>
                <w:sz w:val="14"/>
                <w:szCs w:val="14"/>
                <w:color w:val="auto"/>
                <w:vertAlign w:val="superscript"/>
              </w:rPr>
              <w:t>(4)</w:t>
            </w:r>
          </w:p>
        </w:tc>
        <w:tc>
          <w:tcPr>
            <w:tcW w:w="780" w:type="dxa"/>
            <w:vAlign w:val="bottom"/>
            <w:gridSpan w:val="2"/>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5"/>
              </w:rPr>
              <w:t>02/02/2026</w:t>
            </w:r>
          </w:p>
        </w:tc>
        <w:tc>
          <w:tcPr>
            <w:tcW w:w="200" w:type="dxa"/>
            <w:vAlign w:val="bottom"/>
          </w:tcPr>
          <w:p>
            <w:pPr>
              <w:spacing w:after="0"/>
              <w:rPr>
                <w:sz w:val="10"/>
                <w:szCs w:val="10"/>
                <w:color w:val="auto"/>
              </w:rPr>
            </w:pPr>
          </w:p>
        </w:tc>
        <w:tc>
          <w:tcPr>
            <w:tcW w:w="25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100" w:type="dxa"/>
            <w:vAlign w:val="bottom"/>
            <w:gridSpan w:val="3"/>
          </w:tcPr>
          <w:p>
            <w:pPr>
              <w:jc w:val="right"/>
              <w:ind w:right="106"/>
              <w:spacing w:after="0" w:line="122" w:lineRule="exact"/>
              <w:rPr>
                <w:sz w:val="20"/>
                <w:szCs w:val="20"/>
                <w:color w:val="auto"/>
              </w:rPr>
            </w:pPr>
            <w:r>
              <w:rPr>
                <w:rFonts w:ascii="Times New Roman" w:cs="Times New Roman" w:eastAsia="Times New Roman" w:hAnsi="Times New Roman"/>
                <w:sz w:val="11"/>
                <w:szCs w:val="11"/>
                <w:color w:val="auto"/>
              </w:rPr>
              <w:t>11.00 %</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2,434</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2,434</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2,434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P(IK 9.00%)</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Inventus Power, Inc.</w:t>
            </w:r>
          </w:p>
        </w:tc>
        <w:tc>
          <w:tcPr>
            <w:tcW w:w="780" w:type="dxa"/>
            <w:vAlign w:val="bottom"/>
            <w:tcBorders>
              <w:bottom w:val="single" w:sz="8" w:color="CCECFF"/>
            </w:tcBorders>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09/29/2024</w:t>
            </w:r>
          </w:p>
        </w:tc>
        <w:tc>
          <w:tcPr>
            <w:tcW w:w="200" w:type="dxa"/>
            <w:vAlign w:val="bottom"/>
            <w:tcBorders>
              <w:bottom w:val="single" w:sz="8" w:color="CCECFF"/>
            </w:tcBorders>
            <w:shd w:val="clear" w:color="auto" w:fill="CCECFF"/>
          </w:tcPr>
          <w:p>
            <w:pPr>
              <w:spacing w:after="0"/>
              <w:rPr>
                <w:sz w:val="12"/>
                <w:szCs w:val="12"/>
                <w:color w:val="auto"/>
              </w:rPr>
            </w:pPr>
          </w:p>
        </w:tc>
        <w:tc>
          <w:tcPr>
            <w:tcW w:w="252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1100" w:type="dxa"/>
            <w:vAlign w:val="bottom"/>
            <w:tcBorders>
              <w:bottom w:val="single" w:sz="8" w:color="CCECFF"/>
            </w:tcBorders>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9.50 %</w:t>
            </w:r>
          </w:p>
        </w:tc>
        <w:tc>
          <w:tcPr>
            <w:tcW w:w="7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L+850</w:t>
            </w:r>
          </w:p>
        </w:tc>
        <w:tc>
          <w:tcPr>
            <w:tcW w:w="94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16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2,947</w:t>
            </w:r>
          </w:p>
        </w:tc>
        <w:tc>
          <w:tcPr>
            <w:tcW w:w="160" w:type="dxa"/>
            <w:vAlign w:val="bottom"/>
            <w:tcBorders>
              <w:bottom w:val="single" w:sz="8" w:color="CCECFF"/>
            </w:tcBorders>
            <w:shd w:val="clear" w:color="auto" w:fill="CCECFF"/>
          </w:tcPr>
          <w:p>
            <w:pPr>
              <w:spacing w:after="0"/>
              <w:rPr>
                <w:sz w:val="12"/>
                <w:szCs w:val="12"/>
                <w:color w:val="auto"/>
              </w:rPr>
            </w:pPr>
          </w:p>
        </w:tc>
        <w:tc>
          <w:tcPr>
            <w:tcW w:w="6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2,940</w:t>
            </w:r>
          </w:p>
        </w:tc>
        <w:tc>
          <w:tcPr>
            <w:tcW w:w="4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5,381</w:t>
            </w: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5,374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Equity Securities - 3.3%</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25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DBI Intermediate Holdco, LLC, Series A-1 </w:t>
            </w:r>
            <w:r>
              <w:rPr>
                <w:rFonts w:ascii="Times New Roman" w:cs="Times New Roman" w:eastAsia="Times New Roman" w:hAnsi="Times New Roman"/>
                <w:sz w:val="14"/>
                <w:szCs w:val="14"/>
                <w:color w:val="auto"/>
                <w:vertAlign w:val="superscript"/>
              </w:rPr>
              <w:t>(4)</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10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13.00 %</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5,034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DBI Intermediate Holdco, LLC, Series AA </w:t>
            </w:r>
            <w:r>
              <w:rPr>
                <w:rFonts w:ascii="Times New Roman" w:cs="Times New Roman" w:eastAsia="Times New Roman" w:hAnsi="Times New Roman"/>
                <w:sz w:val="14"/>
                <w:szCs w:val="14"/>
                <w:color w:val="auto"/>
                <w:vertAlign w:val="superscript"/>
              </w:rPr>
              <w:t>(4)</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6,731</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1,314.7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DBI Intermediate Holdco, LLC, Series B </w:t>
            </w:r>
            <w:r>
              <w:rPr>
                <w:rFonts w:ascii="Times New Roman" w:cs="Times New Roman" w:eastAsia="Times New Roman" w:hAnsi="Times New Roman"/>
                <w:sz w:val="14"/>
                <w:szCs w:val="14"/>
                <w:color w:val="auto"/>
                <w:vertAlign w:val="superscript"/>
              </w:rPr>
              <w:t>(4)</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1,065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237</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New MPE Holdings, LLC</w:t>
            </w: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Borders>
              <w:bottom w:val="single" w:sz="8" w:color="CCECFF"/>
            </w:tcBorders>
            <w:shd w:val="clear" w:color="auto" w:fill="CCECFF"/>
          </w:tcPr>
          <w:p>
            <w:pPr>
              <w:spacing w:after="0"/>
              <w:rPr>
                <w:sz w:val="11"/>
                <w:szCs w:val="11"/>
                <w:color w:val="auto"/>
              </w:rPr>
            </w:pPr>
          </w:p>
        </w:tc>
        <w:tc>
          <w:tcPr>
            <w:tcW w:w="252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40" w:type="dxa"/>
            <w:vAlign w:val="bottom"/>
            <w:tcBorders>
              <w:bottom w:val="single" w:sz="8" w:color="CCECFF"/>
            </w:tcBorders>
            <w:shd w:val="clear" w:color="auto" w:fill="CCECFF"/>
          </w:tcPr>
          <w:p>
            <w:pPr>
              <w:spacing w:after="0"/>
              <w:rPr>
                <w:sz w:val="11"/>
                <w:szCs w:val="11"/>
                <w:color w:val="auto"/>
              </w:rPr>
            </w:pPr>
          </w:p>
        </w:tc>
        <w:tc>
          <w:tcPr>
            <w:tcW w:w="960" w:type="dxa"/>
            <w:vAlign w:val="bottom"/>
            <w:tcBorders>
              <w:bottom w:val="single" w:sz="8" w:color="CCECFF"/>
            </w:tcBorders>
            <w:gridSpan w:val="2"/>
            <w:shd w:val="clear" w:color="auto" w:fill="CCEC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362.2</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Equity 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12,002</w:t>
            </w: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1,677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- 1101.7%</w:t>
            </w: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25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576,263</w:t>
            </w:r>
          </w:p>
        </w:tc>
        <w:tc>
          <w:tcPr>
            <w:tcW w:w="16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564,783</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 - 55.3%</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25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28,191</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28,191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US Bank Cash</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196</w:t>
            </w: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25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28,387</w:t>
            </w:r>
          </w:p>
        </w:tc>
        <w:tc>
          <w:tcPr>
            <w:tcW w:w="16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28,374</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 —1,157.1%</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4"/>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604,650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593,157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 in Excess of Other Assets — (1057.1)%</w:t>
            </w: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109"/>
        </w:trPr>
        <w:tc>
          <w:tcPr>
            <w:tcW w:w="30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(541,893</w:t>
            </w: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Members' Equity—100.0%</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51,264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6537325</wp:posOffset>
            </wp:positionH>
            <wp:positionV relativeFrom="paragraph">
              <wp:posOffset>-1851025</wp:posOffset>
            </wp:positionV>
            <wp:extent cx="2603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-1851025</wp:posOffset>
            </wp:positionV>
            <wp:extent cx="2603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-1405255</wp:posOffset>
            </wp:positionV>
            <wp:extent cx="26035"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-1405255</wp:posOffset>
            </wp:positionV>
            <wp:extent cx="26035"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-873760</wp:posOffset>
            </wp:positionV>
            <wp:extent cx="2603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-873760</wp:posOffset>
            </wp:positionV>
            <wp:extent cx="2603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-685165</wp:posOffset>
            </wp:positionV>
            <wp:extent cx="2603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-685165</wp:posOffset>
            </wp:positionV>
            <wp:extent cx="2603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-325120</wp:posOffset>
            </wp:positionV>
            <wp:extent cx="26035"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-325120</wp:posOffset>
            </wp:positionV>
            <wp:extent cx="26035"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9398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7" w:lineRule="exact"/>
        <w:rPr>
          <w:sz w:val="20"/>
          <w:szCs w:val="20"/>
          <w:color w:val="auto"/>
        </w:rPr>
      </w:pPr>
    </w:p>
    <w:p>
      <w:pPr>
        <w:ind w:left="380" w:right="20" w:hanging="372"/>
        <w:spacing w:after="0" w:line="218" w:lineRule="auto"/>
        <w:tabs>
          <w:tab w:leader="none" w:pos="380" w:val="left"/>
        </w:tabs>
        <w:numPr>
          <w:ilvl w:val="0"/>
          <w:numId w:val="2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ind w:left="380" w:hanging="372"/>
        <w:spacing w:after="0" w:line="191" w:lineRule="auto"/>
        <w:tabs>
          <w:tab w:leader="none" w:pos="380" w:val="left"/>
        </w:tabs>
        <w:numPr>
          <w:ilvl w:val="0"/>
          <w:numId w:val="2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Valued based on PSSL’s accounting policy.</w:t>
      </w:r>
    </w:p>
    <w:p>
      <w:pPr>
        <w:spacing w:after="0" w:line="6" w:lineRule="exact"/>
        <w:rPr>
          <w:rFonts w:ascii="Times New Roman" w:cs="Times New Roman" w:eastAsia="Times New Roman" w:hAnsi="Times New Roman"/>
          <w:sz w:val="14"/>
          <w:szCs w:val="14"/>
          <w:color w:val="auto"/>
          <w:vertAlign w:val="superscript"/>
        </w:rPr>
      </w:pPr>
    </w:p>
    <w:p>
      <w:pPr>
        <w:ind w:left="380" w:hanging="372"/>
        <w:spacing w:after="0" w:line="181" w:lineRule="auto"/>
        <w:tabs>
          <w:tab w:leader="none" w:pos="380" w:val="left"/>
        </w:tabs>
        <w:numPr>
          <w:ilvl w:val="0"/>
          <w:numId w:val="2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Non-U.S. company or principal place of business outside the United States.</w:t>
      </w:r>
    </w:p>
    <w:p>
      <w:pPr>
        <w:ind w:left="380" w:hanging="372"/>
        <w:spacing w:after="0" w:line="191" w:lineRule="auto"/>
        <w:tabs>
          <w:tab w:leader="none" w:pos="380" w:val="left"/>
        </w:tabs>
        <w:numPr>
          <w:ilvl w:val="0"/>
          <w:numId w:val="2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Non-income producing security.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Below is the financial information for PSSL:</w:t>
            </w:r>
          </w:p>
        </w:tc>
        <w:tc>
          <w:tcPr>
            <w:tcW w:w="1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8160" w:type="dxa"/>
            <w:vAlign w:val="bottom"/>
            <w:gridSpan w:val="4"/>
          </w:tcPr>
          <w:p>
            <w:pPr>
              <w:jc w:val="center"/>
              <w:ind w:left="2988"/>
              <w:spacing w:after="0"/>
              <w:rPr>
                <w:sz w:val="20"/>
                <w:szCs w:val="20"/>
                <w:color w:val="auto"/>
              </w:rPr>
            </w:pPr>
            <w:r>
              <w:rPr>
                <w:rFonts w:ascii="Times New Roman" w:cs="Times New Roman" w:eastAsia="Times New Roman" w:hAnsi="Times New Roman"/>
                <w:sz w:val="14"/>
                <w:szCs w:val="14"/>
                <w:b w:val="1"/>
                <w:bCs w:val="1"/>
                <w:color w:val="auto"/>
              </w:rPr>
              <w:t>Consolidated Statements of Assets and Liabilities</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600" w:type="dxa"/>
            <w:vAlign w:val="bottom"/>
          </w:tcPr>
          <w:p>
            <w:pPr>
              <w:spacing w:after="0"/>
              <w:rPr>
                <w:sz w:val="15"/>
                <w:szCs w:val="15"/>
                <w:color w:val="auto"/>
              </w:rPr>
            </w:pPr>
          </w:p>
        </w:tc>
        <w:tc>
          <w:tcPr>
            <w:tcW w:w="3560" w:type="dxa"/>
            <w:vAlign w:val="bottom"/>
            <w:gridSpan w:val="3"/>
          </w:tcPr>
          <w:p>
            <w:pPr>
              <w:jc w:val="center"/>
              <w:ind w:right="1488"/>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6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Borders>
              <w:bottom w:val="single" w:sz="8" w:color="auto"/>
            </w:tcBorders>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460" w:type="dxa"/>
            <w:vAlign w:val="bottom"/>
            <w:shd w:val="clear" w:color="auto" w:fill="CCECFF"/>
          </w:tcPr>
          <w:p>
            <w:pPr>
              <w:spacing w:after="0"/>
              <w:rPr>
                <w:sz w:val="14"/>
                <w:szCs w:val="14"/>
                <w:color w:val="auto"/>
              </w:rPr>
            </w:pPr>
          </w:p>
        </w:tc>
        <w:tc>
          <w:tcPr>
            <w:tcW w:w="5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02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at fair value (cost—$705,293 and $576,263, respectively)</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704,958</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564,783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Cash and cash equivalents (cost—$20,373 and $28,387, respectively)</w:t>
            </w:r>
          </w:p>
        </w:tc>
        <w:tc>
          <w:tcPr>
            <w:tcW w:w="18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460" w:type="dxa"/>
            <w:vAlign w:val="bottom"/>
            <w:shd w:val="clear" w:color="auto" w:fill="CCECFF"/>
          </w:tcPr>
          <w:p>
            <w:pPr>
              <w:spacing w:after="0"/>
              <w:rPr>
                <w:sz w:val="15"/>
                <w:szCs w:val="15"/>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20,383</w:t>
            </w:r>
          </w:p>
        </w:tc>
        <w:tc>
          <w:tcPr>
            <w:tcW w:w="2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28,374</w:t>
            </w:r>
          </w:p>
        </w:tc>
        <w:tc>
          <w:tcPr>
            <w:tcW w:w="4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receivable</w:t>
            </w:r>
          </w:p>
        </w:tc>
        <w:tc>
          <w:tcPr>
            <w:tcW w:w="1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Receivable for investment sold</w:t>
            </w:r>
          </w:p>
        </w:tc>
        <w:tc>
          <w:tcPr>
            <w:tcW w:w="18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460" w:type="dxa"/>
            <w:vAlign w:val="bottom"/>
            <w:shd w:val="clear" w:color="auto" w:fill="CCECFF"/>
          </w:tcPr>
          <w:p>
            <w:pPr>
              <w:spacing w:after="0"/>
              <w:rPr>
                <w:sz w:val="15"/>
                <w:szCs w:val="15"/>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7,323</w:t>
            </w:r>
          </w:p>
        </w:tc>
        <w:tc>
          <w:tcPr>
            <w:tcW w:w="4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8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1,675</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600" w:type="dxa"/>
            <w:vAlign w:val="bottom"/>
            <w:tcBorders>
              <w:bottom w:val="single" w:sz="8" w:color="CCECFF"/>
            </w:tcBorders>
            <w:shd w:val="clear" w:color="auto" w:fill="CCECFF"/>
          </w:tcPr>
          <w:p>
            <w:pPr>
              <w:ind w:left="56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88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460" w:type="dxa"/>
            <w:vAlign w:val="bottom"/>
            <w:tcBorders>
              <w:bottom w:val="single" w:sz="8" w:color="auto"/>
            </w:tcBorders>
            <w:shd w:val="clear" w:color="auto" w:fill="CCECFF"/>
          </w:tcPr>
          <w:p>
            <w:pPr>
              <w:spacing w:after="0"/>
              <w:rPr>
                <w:sz w:val="14"/>
                <w:szCs w:val="14"/>
                <w:color w:val="auto"/>
              </w:rPr>
            </w:pP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729,030</w:t>
            </w:r>
          </w:p>
        </w:tc>
        <w:tc>
          <w:tcPr>
            <w:tcW w:w="28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2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603,559</w:t>
            </w:r>
          </w:p>
        </w:tc>
        <w:tc>
          <w:tcPr>
            <w:tcW w:w="4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Payable for investments purchased</w:t>
            </w:r>
          </w:p>
        </w:tc>
        <w:tc>
          <w:tcPr>
            <w:tcW w:w="18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460" w:type="dxa"/>
            <w:vAlign w:val="bottom"/>
            <w:shd w:val="clear" w:color="auto" w:fill="CCECFF"/>
          </w:tcPr>
          <w:p>
            <w:pPr>
              <w:spacing w:after="0"/>
              <w:rPr>
                <w:sz w:val="15"/>
                <w:szCs w:val="15"/>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38,542</w:t>
            </w:r>
          </w:p>
        </w:tc>
        <w:tc>
          <w:tcPr>
            <w:tcW w:w="2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31,963</w:t>
            </w:r>
          </w:p>
        </w:tc>
        <w:tc>
          <w:tcPr>
            <w:tcW w:w="4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 facility payable</w:t>
            </w:r>
          </w:p>
        </w:tc>
        <w:tc>
          <w:tcPr>
            <w:tcW w:w="1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184,500</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2032 Asset-backed debt, net (par—$246,000)</w:t>
            </w:r>
          </w:p>
        </w:tc>
        <w:tc>
          <w:tcPr>
            <w:tcW w:w="18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460" w:type="dxa"/>
            <w:vAlign w:val="bottom"/>
            <w:shd w:val="clear" w:color="auto" w:fill="CCECFF"/>
          </w:tcPr>
          <w:p>
            <w:pPr>
              <w:spacing w:after="0"/>
              <w:rPr>
                <w:sz w:val="15"/>
                <w:szCs w:val="15"/>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243,061</w:t>
            </w:r>
          </w:p>
        </w:tc>
        <w:tc>
          <w:tcPr>
            <w:tcW w:w="2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242,757</w:t>
            </w:r>
          </w:p>
        </w:tc>
        <w:tc>
          <w:tcPr>
            <w:tcW w:w="4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payable to members</w:t>
            </w:r>
          </w:p>
        </w:tc>
        <w:tc>
          <w:tcPr>
            <w:tcW w:w="1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194,600</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Interest payable on Credit Facility</w:t>
            </w:r>
          </w:p>
        </w:tc>
        <w:tc>
          <w:tcPr>
            <w:tcW w:w="18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460" w:type="dxa"/>
            <w:vAlign w:val="bottom"/>
            <w:shd w:val="clear" w:color="auto" w:fill="CCECFF"/>
          </w:tcPr>
          <w:p>
            <w:pPr>
              <w:spacing w:after="0"/>
              <w:rPr>
                <w:sz w:val="15"/>
                <w:szCs w:val="15"/>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1,881</w:t>
            </w:r>
          </w:p>
        </w:tc>
        <w:tc>
          <w:tcPr>
            <w:tcW w:w="2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1,741</w:t>
            </w:r>
          </w:p>
        </w:tc>
        <w:tc>
          <w:tcPr>
            <w:tcW w:w="4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payable on notes to members</w:t>
            </w:r>
          </w:p>
        </w:tc>
        <w:tc>
          <w:tcPr>
            <w:tcW w:w="1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2,889</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Accrued other expenses</w:t>
            </w:r>
          </w:p>
        </w:tc>
        <w:tc>
          <w:tcPr>
            <w:tcW w:w="188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auto"/>
            </w:tcBorders>
            <w:shd w:val="clear" w:color="auto" w:fill="CCECFF"/>
          </w:tcPr>
          <w:p>
            <w:pPr>
              <w:spacing w:after="0"/>
              <w:rPr>
                <w:sz w:val="15"/>
                <w:szCs w:val="15"/>
                <w:color w:val="auto"/>
              </w:rPr>
            </w:pPr>
          </w:p>
        </w:tc>
        <w:tc>
          <w:tcPr>
            <w:tcW w:w="1460" w:type="dxa"/>
            <w:vAlign w:val="bottom"/>
            <w:tcBorders>
              <w:bottom w:val="single" w:sz="8" w:color="auto"/>
            </w:tcBorders>
            <w:shd w:val="clear" w:color="auto" w:fill="CCECFF"/>
          </w:tcPr>
          <w:p>
            <w:pPr>
              <w:spacing w:after="0"/>
              <w:rPr>
                <w:sz w:val="15"/>
                <w:szCs w:val="15"/>
                <w:color w:val="auto"/>
              </w:rPr>
            </w:pP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28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auto"/>
            </w:tcBorders>
            <w:shd w:val="clear" w:color="auto" w:fill="CCECFF"/>
          </w:tcPr>
          <w:p>
            <w:pPr>
              <w:spacing w:after="0"/>
              <w:rPr>
                <w:sz w:val="15"/>
                <w:szCs w:val="15"/>
                <w:color w:val="auto"/>
              </w:rPr>
            </w:pPr>
          </w:p>
        </w:tc>
        <w:tc>
          <w:tcPr>
            <w:tcW w:w="2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4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6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8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665,710</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552,295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00" w:type="dxa"/>
            <w:vAlign w:val="bottom"/>
            <w:tcBorders>
              <w:bottom w:val="single" w:sz="8" w:color="CCECFF"/>
            </w:tcBorders>
            <w:shd w:val="clear" w:color="auto" w:fill="CCECFF"/>
          </w:tcPr>
          <w:p>
            <w:pPr>
              <w:ind w:left="560"/>
              <w:spacing w:after="0"/>
              <w:rPr>
                <w:sz w:val="20"/>
                <w:szCs w:val="20"/>
                <w:color w:val="auto"/>
              </w:rPr>
            </w:pPr>
            <w:r>
              <w:rPr>
                <w:rFonts w:ascii="Times New Roman" w:cs="Times New Roman" w:eastAsia="Times New Roman" w:hAnsi="Times New Roman"/>
                <w:sz w:val="14"/>
                <w:szCs w:val="14"/>
                <w:b w:val="1"/>
                <w:bCs w:val="1"/>
                <w:color w:val="auto"/>
              </w:rPr>
              <w:t>Members' equity</w:t>
            </w:r>
          </w:p>
        </w:tc>
        <w:tc>
          <w:tcPr>
            <w:tcW w:w="188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460" w:type="dxa"/>
            <w:vAlign w:val="bottom"/>
            <w:tcBorders>
              <w:bottom w:val="single" w:sz="8" w:color="auto"/>
            </w:tcBorders>
            <w:shd w:val="clear" w:color="auto" w:fill="CCECFF"/>
          </w:tcPr>
          <w:p>
            <w:pPr>
              <w:spacing w:after="0"/>
              <w:rPr>
                <w:sz w:val="14"/>
                <w:szCs w:val="14"/>
                <w:color w:val="auto"/>
              </w:rPr>
            </w:pP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63,320</w:t>
            </w:r>
          </w:p>
        </w:tc>
        <w:tc>
          <w:tcPr>
            <w:tcW w:w="28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2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51,264</w:t>
            </w:r>
          </w:p>
        </w:tc>
        <w:tc>
          <w:tcPr>
            <w:tcW w:w="4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Total liabilities and members' equity</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729,030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603,559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880" w:type="dxa"/>
            <w:vAlign w:val="bottom"/>
            <w:vMerge w:val="restart"/>
          </w:tcPr>
          <w:p>
            <w:pPr>
              <w:jc w:val="right"/>
              <w:ind w:right="708"/>
              <w:spacing w:after="0"/>
              <w:rPr>
                <w:sz w:val="20"/>
                <w:szCs w:val="20"/>
                <w:color w:val="auto"/>
              </w:rPr>
            </w:pPr>
            <w:r>
              <w:rPr>
                <w:rFonts w:ascii="Times New Roman" w:cs="Times New Roman" w:eastAsia="Times New Roman" w:hAnsi="Times New Roman"/>
                <w:sz w:val="14"/>
                <w:szCs w:val="14"/>
                <w:color w:val="auto"/>
              </w:rPr>
              <w:t>51</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460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60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-1610995</wp:posOffset>
            </wp:positionV>
            <wp:extent cx="3429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-1610995</wp:posOffset>
            </wp:positionV>
            <wp:extent cx="2603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-711200</wp:posOffset>
            </wp:positionV>
            <wp:extent cx="3429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-711200</wp:posOffset>
            </wp:positionV>
            <wp:extent cx="26035"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-471170</wp:posOffset>
            </wp:positionV>
            <wp:extent cx="3429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-471170</wp:posOffset>
            </wp:positionV>
            <wp:extent cx="26035"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51" w:name="page52"/>
    <w:bookmarkEnd w:id="51"/>
    <w:p>
      <w:pPr>
        <w:ind w:left="160" w:hanging="152"/>
        <w:spacing w:after="0"/>
        <w:tabs>
          <w:tab w:leader="none" w:pos="160" w:val="left"/>
        </w:tabs>
        <w:numPr>
          <w:ilvl w:val="0"/>
          <w:numId w:val="25"/>
        </w:numPr>
        <w:rPr>
          <w:rFonts w:ascii="Times New Roman" w:cs="Times New Roman" w:eastAsia="Times New Roman" w:hAnsi="Times New Roman"/>
          <w:sz w:val="7"/>
          <w:szCs w:val="7"/>
          <w:b w:val="1"/>
          <w:bCs w:val="1"/>
          <w:color w:val="auto"/>
        </w:rPr>
      </w:pPr>
      <w:r>
        <w:rPr>
          <w:rFonts w:ascii="Times New Roman" w:cs="Times New Roman" w:eastAsia="Times New Roman" w:hAnsi="Times New Roman"/>
          <w:sz w:val="11"/>
          <w:szCs w:val="11"/>
          <w:color w:val="auto"/>
        </w:rPr>
        <w:t>As of March 31, 2022 and September 30, 2021, PSSL had unfunded commitments to fund investments of zero million and $0.6, respectively.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8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60" w:type="dxa"/>
            <w:vAlign w:val="bottom"/>
          </w:tcPr>
          <w:p>
            <w:pPr>
              <w:spacing w:after="0"/>
              <w:rPr>
                <w:sz w:val="15"/>
                <w:szCs w:val="15"/>
                <w:color w:val="auto"/>
              </w:rPr>
            </w:pPr>
          </w:p>
        </w:tc>
        <w:tc>
          <w:tcPr>
            <w:tcW w:w="154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60" w:type="dxa"/>
            <w:vAlign w:val="bottom"/>
          </w:tcPr>
          <w:p>
            <w:pPr>
              <w:spacing w:after="0"/>
              <w:rPr>
                <w:sz w:val="15"/>
                <w:szCs w:val="15"/>
                <w:color w:val="auto"/>
              </w:rPr>
            </w:pPr>
          </w:p>
        </w:tc>
        <w:tc>
          <w:tcPr>
            <w:tcW w:w="154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20" w:type="dxa"/>
            <w:vAlign w:val="bottom"/>
          </w:tcPr>
          <w:p>
            <w:pPr>
              <w:spacing w:after="0"/>
              <w:rPr>
                <w:sz w:val="15"/>
                <w:szCs w:val="15"/>
                <w:color w:val="auto"/>
              </w:rPr>
            </w:pPr>
          </w:p>
        </w:tc>
        <w:tc>
          <w:tcPr>
            <w:tcW w:w="274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0" w:type="dxa"/>
            <w:vAlign w:val="bottom"/>
          </w:tcPr>
          <w:p>
            <w:pPr>
              <w:spacing w:after="0"/>
              <w:rPr>
                <w:sz w:val="1"/>
                <w:szCs w:val="1"/>
                <w:color w:val="auto"/>
              </w:rPr>
            </w:pPr>
          </w:p>
        </w:tc>
      </w:tr>
      <w:tr>
        <w:trPr>
          <w:trHeight w:val="187"/>
        </w:trPr>
        <w:tc>
          <w:tcPr>
            <w:tcW w:w="5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1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1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0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06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11,981</w:t>
            </w:r>
          </w:p>
        </w:tc>
        <w:tc>
          <w:tcPr>
            <w:tcW w:w="1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8,305</w:t>
            </w:r>
          </w:p>
        </w:tc>
        <w:tc>
          <w:tcPr>
            <w:tcW w:w="24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22,932</w:t>
            </w:r>
          </w:p>
        </w:tc>
        <w:tc>
          <w:tcPr>
            <w:tcW w:w="24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6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Other income</w:t>
            </w:r>
          </w:p>
        </w:tc>
        <w:tc>
          <w:tcPr>
            <w:tcW w:w="16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80" w:type="dxa"/>
            <w:vAlign w:val="bottom"/>
            <w:tcBorders>
              <w:bottom w:val="single" w:sz="8" w:color="CCECFF"/>
            </w:tcBorders>
            <w:shd w:val="clear" w:color="auto" w:fill="CCECFF"/>
          </w:tcPr>
          <w:p>
            <w:pPr>
              <w:spacing w:after="0"/>
              <w:rPr>
                <w:sz w:val="15"/>
                <w:szCs w:val="15"/>
                <w:color w:val="auto"/>
              </w:rPr>
            </w:pPr>
          </w:p>
        </w:tc>
        <w:tc>
          <w:tcPr>
            <w:tcW w:w="200" w:type="dxa"/>
            <w:vAlign w:val="bottom"/>
            <w:tcBorders>
              <w:bottom w:val="single" w:sz="8" w:color="CCECFF"/>
            </w:tcBorders>
            <w:shd w:val="clear" w:color="auto" w:fill="CCECFF"/>
          </w:tcPr>
          <w:p>
            <w:pPr>
              <w:spacing w:after="0"/>
              <w:rPr>
                <w:sz w:val="15"/>
                <w:szCs w:val="15"/>
                <w:color w:val="auto"/>
              </w:rPr>
            </w:pPr>
          </w:p>
        </w:tc>
        <w:tc>
          <w:tcPr>
            <w:tcW w:w="1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240" w:type="dxa"/>
            <w:vAlign w:val="bottom"/>
            <w:tcBorders>
              <w:bottom w:val="single" w:sz="8" w:color="CCECFF"/>
            </w:tcBorders>
            <w:shd w:val="clear" w:color="auto" w:fill="CCECFF"/>
          </w:tcPr>
          <w:p>
            <w:pPr>
              <w:spacing w:after="0"/>
              <w:rPr>
                <w:sz w:val="15"/>
                <w:szCs w:val="15"/>
                <w:color w:val="auto"/>
              </w:rPr>
            </w:pPr>
          </w:p>
        </w:tc>
        <w:tc>
          <w:tcPr>
            <w:tcW w:w="320" w:type="dxa"/>
            <w:vAlign w:val="bottom"/>
            <w:tcBorders>
              <w:bottom w:val="single" w:sz="8" w:color="auto"/>
            </w:tcBorders>
            <w:shd w:val="clear" w:color="auto" w:fill="CCECFF"/>
          </w:tcPr>
          <w:p>
            <w:pPr>
              <w:spacing w:after="0"/>
              <w:rPr>
                <w:sz w:val="15"/>
                <w:szCs w:val="15"/>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1,020</w:t>
            </w:r>
          </w:p>
        </w:tc>
        <w:tc>
          <w:tcPr>
            <w:tcW w:w="240" w:type="dxa"/>
            <w:vAlign w:val="bottom"/>
            <w:tcBorders>
              <w:bottom w:val="single" w:sz="8" w:color="CCECFF"/>
            </w:tcBorders>
            <w:shd w:val="clear" w:color="auto" w:fill="CCECFF"/>
          </w:tcPr>
          <w:p>
            <w:pPr>
              <w:spacing w:after="0"/>
              <w:rPr>
                <w:sz w:val="15"/>
                <w:szCs w:val="15"/>
                <w:color w:val="auto"/>
              </w:rPr>
            </w:pPr>
          </w:p>
        </w:tc>
        <w:tc>
          <w:tcPr>
            <w:tcW w:w="320" w:type="dxa"/>
            <w:vAlign w:val="bottom"/>
            <w:tcBorders>
              <w:bottom w:val="single" w:sz="8" w:color="auto"/>
            </w:tcBorders>
            <w:shd w:val="clear" w:color="auto" w:fill="CCECFF"/>
          </w:tcPr>
          <w:p>
            <w:pPr>
              <w:spacing w:after="0"/>
              <w:rPr>
                <w:sz w:val="15"/>
                <w:szCs w:val="15"/>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6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12,130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8,401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23,951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1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0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06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and expense on credit facility and asset-backed debt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3,673</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2,533</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6,847</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Interest expense on notes to members</w:t>
            </w:r>
          </w:p>
        </w:tc>
        <w:tc>
          <w:tcPr>
            <w:tcW w:w="16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3,640</w:t>
            </w:r>
          </w:p>
        </w:tc>
        <w:tc>
          <w:tcPr>
            <w:tcW w:w="18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2,956</w:t>
            </w:r>
          </w:p>
        </w:tc>
        <w:tc>
          <w:tcPr>
            <w:tcW w:w="24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7,195</w:t>
            </w:r>
          </w:p>
        </w:tc>
        <w:tc>
          <w:tcPr>
            <w:tcW w:w="24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6,010</w:t>
            </w: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Administrative services expenses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6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Other general and administrative expenses</w:t>
            </w:r>
          </w:p>
        </w:tc>
        <w:tc>
          <w:tcPr>
            <w:tcW w:w="16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80" w:type="dxa"/>
            <w:vAlign w:val="bottom"/>
            <w:tcBorders>
              <w:bottom w:val="single" w:sz="8" w:color="CCECFF"/>
            </w:tcBorders>
            <w:shd w:val="clear" w:color="auto" w:fill="CCECFF"/>
          </w:tcPr>
          <w:p>
            <w:pPr>
              <w:spacing w:after="0"/>
              <w:rPr>
                <w:sz w:val="15"/>
                <w:szCs w:val="15"/>
                <w:color w:val="auto"/>
              </w:rPr>
            </w:pPr>
          </w:p>
        </w:tc>
        <w:tc>
          <w:tcPr>
            <w:tcW w:w="200" w:type="dxa"/>
            <w:vAlign w:val="bottom"/>
            <w:tcBorders>
              <w:bottom w:val="single" w:sz="8" w:color="CCECFF"/>
            </w:tcBorders>
            <w:shd w:val="clear" w:color="auto" w:fill="CCECFF"/>
          </w:tcPr>
          <w:p>
            <w:pPr>
              <w:spacing w:after="0"/>
              <w:rPr>
                <w:sz w:val="15"/>
                <w:szCs w:val="15"/>
                <w:color w:val="auto"/>
              </w:rPr>
            </w:pPr>
          </w:p>
        </w:tc>
        <w:tc>
          <w:tcPr>
            <w:tcW w:w="1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240" w:type="dxa"/>
            <w:vAlign w:val="bottom"/>
            <w:tcBorders>
              <w:bottom w:val="single" w:sz="8" w:color="CCECFF"/>
            </w:tcBorders>
            <w:shd w:val="clear" w:color="auto" w:fill="CCECFF"/>
          </w:tcPr>
          <w:p>
            <w:pPr>
              <w:spacing w:after="0"/>
              <w:rPr>
                <w:sz w:val="15"/>
                <w:szCs w:val="15"/>
                <w:color w:val="auto"/>
              </w:rPr>
            </w:pPr>
          </w:p>
        </w:tc>
        <w:tc>
          <w:tcPr>
            <w:tcW w:w="320" w:type="dxa"/>
            <w:vAlign w:val="bottom"/>
            <w:tcBorders>
              <w:bottom w:val="single" w:sz="8" w:color="auto"/>
            </w:tcBorders>
            <w:shd w:val="clear" w:color="auto" w:fill="CCECFF"/>
          </w:tcPr>
          <w:p>
            <w:pPr>
              <w:spacing w:after="0"/>
              <w:rPr>
                <w:sz w:val="15"/>
                <w:szCs w:val="15"/>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240" w:type="dxa"/>
            <w:vAlign w:val="bottom"/>
            <w:tcBorders>
              <w:bottom w:val="single" w:sz="8" w:color="CCECFF"/>
            </w:tcBorders>
            <w:shd w:val="clear" w:color="auto" w:fill="CCECFF"/>
          </w:tcPr>
          <w:p>
            <w:pPr>
              <w:spacing w:after="0"/>
              <w:rPr>
                <w:sz w:val="15"/>
                <w:szCs w:val="15"/>
                <w:color w:val="auto"/>
              </w:rPr>
            </w:pPr>
          </w:p>
        </w:tc>
        <w:tc>
          <w:tcPr>
            <w:tcW w:w="320" w:type="dxa"/>
            <w:vAlign w:val="bottom"/>
            <w:tcBorders>
              <w:bottom w:val="single" w:sz="8" w:color="auto"/>
            </w:tcBorders>
            <w:shd w:val="clear" w:color="auto" w:fill="CCECFF"/>
          </w:tcPr>
          <w:p>
            <w:pPr>
              <w:spacing w:after="0"/>
              <w:rPr>
                <w:sz w:val="15"/>
                <w:szCs w:val="15"/>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6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Total expenses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7,902</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5,984</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15,219</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6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160" w:type="dxa"/>
            <w:vAlign w:val="bottom"/>
            <w:tcBorders>
              <w:bottom w:val="single" w:sz="8" w:color="CCECFF"/>
            </w:tcBorders>
            <w:shd w:val="clear" w:color="auto" w:fill="CCECFF"/>
          </w:tcPr>
          <w:p>
            <w:pPr>
              <w:spacing w:after="0"/>
              <w:rPr>
                <w:sz w:val="14"/>
                <w:szCs w:val="14"/>
                <w:color w:val="auto"/>
              </w:rPr>
            </w:pPr>
          </w:p>
        </w:tc>
        <w:tc>
          <w:tcPr>
            <w:tcW w:w="180" w:type="dxa"/>
            <w:vAlign w:val="bottom"/>
            <w:tcBorders>
              <w:bottom w:val="single" w:sz="8" w:color="CCECFF"/>
            </w:tcBorders>
            <w:shd w:val="clear" w:color="auto" w:fill="CCECFF"/>
          </w:tcPr>
          <w:p>
            <w:pPr>
              <w:spacing w:after="0"/>
              <w:rPr>
                <w:sz w:val="14"/>
                <w:szCs w:val="14"/>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4,227</w:t>
            </w:r>
          </w:p>
        </w:tc>
        <w:tc>
          <w:tcPr>
            <w:tcW w:w="180" w:type="dxa"/>
            <w:vAlign w:val="bottom"/>
            <w:tcBorders>
              <w:bottom w:val="single" w:sz="8" w:color="CCECFF"/>
            </w:tcBorders>
            <w:shd w:val="clear" w:color="auto" w:fill="CCECFF"/>
          </w:tcPr>
          <w:p>
            <w:pPr>
              <w:spacing w:after="0"/>
              <w:rPr>
                <w:sz w:val="14"/>
                <w:szCs w:val="14"/>
                <w:color w:val="auto"/>
              </w:rPr>
            </w:pPr>
          </w:p>
        </w:tc>
        <w:tc>
          <w:tcPr>
            <w:tcW w:w="200" w:type="dxa"/>
            <w:vAlign w:val="bottom"/>
            <w:tcBorders>
              <w:bottom w:val="single" w:sz="8" w:color="CCECFF"/>
            </w:tcBorders>
            <w:shd w:val="clear" w:color="auto" w:fill="CCECFF"/>
          </w:tcPr>
          <w:p>
            <w:pPr>
              <w:spacing w:after="0"/>
              <w:rPr>
                <w:sz w:val="14"/>
                <w:szCs w:val="14"/>
                <w:color w:val="auto"/>
              </w:rPr>
            </w:pPr>
          </w:p>
        </w:tc>
        <w:tc>
          <w:tcPr>
            <w:tcW w:w="1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2,416</w:t>
            </w:r>
          </w:p>
        </w:tc>
        <w:tc>
          <w:tcPr>
            <w:tcW w:w="240" w:type="dxa"/>
            <w:vAlign w:val="bottom"/>
            <w:tcBorders>
              <w:bottom w:val="single" w:sz="8" w:color="CCECFF"/>
            </w:tcBorders>
            <w:shd w:val="clear" w:color="auto" w:fill="CCECFF"/>
          </w:tcPr>
          <w:p>
            <w:pPr>
              <w:spacing w:after="0"/>
              <w:rPr>
                <w:sz w:val="14"/>
                <w:szCs w:val="14"/>
                <w:color w:val="auto"/>
              </w:rPr>
            </w:pPr>
          </w:p>
        </w:tc>
        <w:tc>
          <w:tcPr>
            <w:tcW w:w="320" w:type="dxa"/>
            <w:vAlign w:val="bottom"/>
            <w:tcBorders>
              <w:bottom w:val="single" w:sz="8" w:color="auto"/>
            </w:tcBorders>
            <w:shd w:val="clear" w:color="auto" w:fill="CCECFF"/>
          </w:tcPr>
          <w:p>
            <w:pPr>
              <w:spacing w:after="0"/>
              <w:rPr>
                <w:sz w:val="14"/>
                <w:szCs w:val="14"/>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8,732</w:t>
            </w:r>
          </w:p>
        </w:tc>
        <w:tc>
          <w:tcPr>
            <w:tcW w:w="240" w:type="dxa"/>
            <w:vAlign w:val="bottom"/>
            <w:tcBorders>
              <w:bottom w:val="single" w:sz="8" w:color="CCECFF"/>
            </w:tcBorders>
            <w:shd w:val="clear" w:color="auto" w:fill="CCECFF"/>
          </w:tcPr>
          <w:p>
            <w:pPr>
              <w:spacing w:after="0"/>
              <w:rPr>
                <w:sz w:val="14"/>
                <w:szCs w:val="14"/>
                <w:color w:val="auto"/>
              </w:rPr>
            </w:pPr>
          </w:p>
        </w:tc>
        <w:tc>
          <w:tcPr>
            <w:tcW w:w="320" w:type="dxa"/>
            <w:vAlign w:val="bottom"/>
            <w:tcBorders>
              <w:bottom w:val="single" w:sz="8" w:color="auto"/>
            </w:tcBorders>
            <w:shd w:val="clear" w:color="auto" w:fill="CCECFF"/>
          </w:tcPr>
          <w:p>
            <w:pPr>
              <w:spacing w:after="0"/>
              <w:rPr>
                <w:sz w:val="14"/>
                <w:szCs w:val="14"/>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4,354</w:t>
            </w:r>
          </w:p>
        </w:tc>
        <w:tc>
          <w:tcPr>
            <w:tcW w:w="6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060" w:type="dxa"/>
            <w:vAlign w:val="bottom"/>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Realized and unrealized (loss) gain on investments and credit facility foreign</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currency translation currency translations:</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Net realized loss on investments</w:t>
            </w:r>
          </w:p>
        </w:tc>
        <w:tc>
          <w:tcPr>
            <w:tcW w:w="16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2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(14,584 )</w:t>
            </w:r>
          </w:p>
        </w:tc>
        <w:tc>
          <w:tcPr>
            <w:tcW w:w="200" w:type="dxa"/>
            <w:vAlign w:val="bottom"/>
            <w:shd w:val="clear" w:color="auto" w:fill="CCECFF"/>
          </w:tcPr>
          <w:p>
            <w:pPr>
              <w:spacing w:after="0"/>
              <w:rPr>
                <w:sz w:val="15"/>
                <w:szCs w:val="15"/>
                <w:color w:val="auto"/>
              </w:rPr>
            </w:pPr>
          </w:p>
        </w:tc>
        <w:tc>
          <w:tcPr>
            <w:tcW w:w="13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(484 )</w:t>
            </w:r>
          </w:p>
        </w:tc>
        <w:tc>
          <w:tcPr>
            <w:tcW w:w="320" w:type="dxa"/>
            <w:vAlign w:val="bottom"/>
            <w:shd w:val="clear" w:color="auto" w:fill="CCECFF"/>
          </w:tcPr>
          <w:p>
            <w:pPr>
              <w:spacing w:after="0"/>
              <w:rPr>
                <w:sz w:val="15"/>
                <w:szCs w:val="15"/>
                <w:color w:val="auto"/>
              </w:rPr>
            </w:pPr>
          </w:p>
        </w:tc>
        <w:tc>
          <w:tcPr>
            <w:tcW w:w="13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(14,932 )</w:t>
            </w:r>
          </w:p>
        </w:tc>
        <w:tc>
          <w:tcPr>
            <w:tcW w:w="320" w:type="dxa"/>
            <w:vAlign w:val="bottom"/>
            <w:shd w:val="clear" w:color="auto" w:fill="CCECFF"/>
          </w:tcPr>
          <w:p>
            <w:pPr>
              <w:spacing w:after="0"/>
              <w:rPr>
                <w:sz w:val="15"/>
                <w:szCs w:val="15"/>
                <w:color w:val="auto"/>
              </w:rPr>
            </w:pPr>
          </w:p>
        </w:tc>
        <w:tc>
          <w:tcPr>
            <w:tcW w:w="11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(1,276 )</w:t>
            </w:r>
          </w:p>
        </w:tc>
        <w:tc>
          <w:tcPr>
            <w:tcW w:w="0" w:type="dxa"/>
            <w:vAlign w:val="bottom"/>
          </w:tcPr>
          <w:p>
            <w:pPr>
              <w:spacing w:after="0"/>
              <w:rPr>
                <w:sz w:val="1"/>
                <w:szCs w:val="1"/>
                <w:color w:val="auto"/>
              </w:rPr>
            </w:pPr>
          </w:p>
        </w:tc>
      </w:tr>
      <w:tr>
        <w:trPr>
          <w:trHeight w:val="176"/>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unrealized (depreciation) appreciation on:</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Investments</w:t>
            </w:r>
          </w:p>
        </w:tc>
        <w:tc>
          <w:tcPr>
            <w:tcW w:w="16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14,760</w:t>
            </w:r>
          </w:p>
        </w:tc>
        <w:tc>
          <w:tcPr>
            <w:tcW w:w="18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3,480</w:t>
            </w:r>
          </w:p>
        </w:tc>
        <w:tc>
          <w:tcPr>
            <w:tcW w:w="24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11,556</w:t>
            </w:r>
          </w:p>
        </w:tc>
        <w:tc>
          <w:tcPr>
            <w:tcW w:w="24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7,664</w:t>
            </w: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Credit facility foreign currency translation</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(489 )</w:t>
            </w:r>
          </w:p>
        </w:tc>
        <w:tc>
          <w:tcPr>
            <w:tcW w:w="0" w:type="dxa"/>
            <w:vAlign w:val="bottom"/>
          </w:tcPr>
          <w:p>
            <w:pPr>
              <w:spacing w:after="0"/>
              <w:rPr>
                <w:sz w:val="1"/>
                <w:szCs w:val="1"/>
                <w:color w:val="auto"/>
              </w:rPr>
            </w:pPr>
          </w:p>
        </w:tc>
      </w:tr>
      <w:tr>
        <w:trPr>
          <w:trHeight w:val="131"/>
        </w:trPr>
        <w:tc>
          <w:tcPr>
            <w:tcW w:w="5060" w:type="dxa"/>
            <w:vAlign w:val="bottom"/>
            <w:shd w:val="clear" w:color="auto" w:fill="CCECFF"/>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Net change in unrealized (depreciation) appreciation on investments and credit</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1020" w:type="dxa"/>
            <w:vAlign w:val="bottom"/>
            <w:tcBorders>
              <w:top w:val="single" w:sz="8" w:color="auto"/>
            </w:tcBorders>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14,760</w:t>
            </w:r>
          </w:p>
        </w:tc>
        <w:tc>
          <w:tcPr>
            <w:tcW w:w="18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1140" w:type="dxa"/>
            <w:vAlign w:val="bottom"/>
            <w:tcBorders>
              <w:top w:val="single" w:sz="8" w:color="auto"/>
            </w:tcBorders>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3,651</w:t>
            </w:r>
          </w:p>
        </w:tc>
        <w:tc>
          <w:tcPr>
            <w:tcW w:w="240" w:type="dxa"/>
            <w:vAlign w:val="bottom"/>
            <w:shd w:val="clear" w:color="auto" w:fill="CCECFF"/>
          </w:tcPr>
          <w:p>
            <w:pPr>
              <w:spacing w:after="0"/>
              <w:rPr>
                <w:sz w:val="11"/>
                <w:szCs w:val="11"/>
                <w:color w:val="auto"/>
              </w:rPr>
            </w:pPr>
          </w:p>
        </w:tc>
        <w:tc>
          <w:tcPr>
            <w:tcW w:w="320" w:type="dxa"/>
            <w:vAlign w:val="bottom"/>
            <w:tcBorders>
              <w:top w:val="single" w:sz="8" w:color="auto"/>
            </w:tcBorders>
            <w:shd w:val="clear" w:color="auto" w:fill="CCECFF"/>
          </w:tcPr>
          <w:p>
            <w:pPr>
              <w:spacing w:after="0"/>
              <w:rPr>
                <w:sz w:val="11"/>
                <w:szCs w:val="11"/>
                <w:color w:val="auto"/>
              </w:rPr>
            </w:pPr>
          </w:p>
        </w:tc>
        <w:tc>
          <w:tcPr>
            <w:tcW w:w="1060" w:type="dxa"/>
            <w:vAlign w:val="bottom"/>
            <w:tcBorders>
              <w:top w:val="single" w:sz="8" w:color="auto"/>
            </w:tcBorders>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11,556</w:t>
            </w:r>
          </w:p>
        </w:tc>
        <w:tc>
          <w:tcPr>
            <w:tcW w:w="240" w:type="dxa"/>
            <w:vAlign w:val="bottom"/>
            <w:shd w:val="clear" w:color="auto" w:fill="CCECFF"/>
          </w:tcPr>
          <w:p>
            <w:pPr>
              <w:spacing w:after="0"/>
              <w:rPr>
                <w:sz w:val="11"/>
                <w:szCs w:val="11"/>
                <w:color w:val="auto"/>
              </w:rPr>
            </w:pPr>
          </w:p>
        </w:tc>
        <w:tc>
          <w:tcPr>
            <w:tcW w:w="320" w:type="dxa"/>
            <w:vAlign w:val="bottom"/>
            <w:tcBorders>
              <w:top w:val="single" w:sz="8" w:color="auto"/>
            </w:tcBorders>
            <w:shd w:val="clear" w:color="auto" w:fill="CCECFF"/>
          </w:tcPr>
          <w:p>
            <w:pPr>
              <w:spacing w:after="0"/>
              <w:rPr>
                <w:sz w:val="11"/>
                <w:szCs w:val="11"/>
                <w:color w:val="auto"/>
              </w:rPr>
            </w:pPr>
          </w:p>
        </w:tc>
        <w:tc>
          <w:tcPr>
            <w:tcW w:w="1060" w:type="dxa"/>
            <w:vAlign w:val="bottom"/>
            <w:tcBorders>
              <w:top w:val="single" w:sz="8" w:color="auto"/>
            </w:tcBorders>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7,175</w:t>
            </w:r>
          </w:p>
        </w:tc>
        <w:tc>
          <w:tcPr>
            <w:tcW w:w="6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06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facility foreign currency translations</w:t>
            </w:r>
          </w:p>
        </w:tc>
        <w:tc>
          <w:tcPr>
            <w:tcW w:w="16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1020" w:type="dxa"/>
            <w:vAlign w:val="bottom"/>
            <w:tcBorders>
              <w:bottom w:val="single" w:sz="8" w:color="auto"/>
            </w:tcBorders>
            <w:vMerge w:val="continue"/>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200" w:type="dxa"/>
            <w:vAlign w:val="bottom"/>
            <w:tcBorders>
              <w:bottom w:val="single" w:sz="8" w:color="CCECFF"/>
            </w:tcBorders>
            <w:shd w:val="clear" w:color="auto" w:fill="CCECFF"/>
          </w:tcPr>
          <w:p>
            <w:pPr>
              <w:spacing w:after="0"/>
              <w:rPr>
                <w:sz w:val="15"/>
                <w:szCs w:val="15"/>
                <w:color w:val="auto"/>
              </w:rPr>
            </w:pPr>
          </w:p>
        </w:tc>
        <w:tc>
          <w:tcPr>
            <w:tcW w:w="1140" w:type="dxa"/>
            <w:vAlign w:val="bottom"/>
            <w:tcBorders>
              <w:bottom w:val="single" w:sz="8" w:color="auto"/>
            </w:tcBorders>
            <w:vMerge w:val="continue"/>
            <w:shd w:val="clear" w:color="auto" w:fill="CCECFF"/>
          </w:tcPr>
          <w:p>
            <w:pPr>
              <w:spacing w:after="0"/>
              <w:rPr>
                <w:sz w:val="15"/>
                <w:szCs w:val="15"/>
                <w:color w:val="auto"/>
              </w:rPr>
            </w:pPr>
          </w:p>
        </w:tc>
        <w:tc>
          <w:tcPr>
            <w:tcW w:w="240" w:type="dxa"/>
            <w:vAlign w:val="bottom"/>
            <w:tcBorders>
              <w:bottom w:val="single" w:sz="8" w:color="CCECFF"/>
            </w:tcBorders>
            <w:shd w:val="clear" w:color="auto" w:fill="CCECFF"/>
          </w:tcPr>
          <w:p>
            <w:pPr>
              <w:spacing w:after="0"/>
              <w:rPr>
                <w:sz w:val="15"/>
                <w:szCs w:val="15"/>
                <w:color w:val="auto"/>
              </w:rPr>
            </w:pPr>
          </w:p>
        </w:tc>
        <w:tc>
          <w:tcPr>
            <w:tcW w:w="320" w:type="dxa"/>
            <w:vAlign w:val="bottom"/>
            <w:tcBorders>
              <w:bottom w:val="single" w:sz="8" w:color="auto"/>
            </w:tcBorders>
            <w:shd w:val="clear" w:color="auto" w:fill="CCECFF"/>
          </w:tcPr>
          <w:p>
            <w:pPr>
              <w:spacing w:after="0"/>
              <w:rPr>
                <w:sz w:val="15"/>
                <w:szCs w:val="15"/>
                <w:color w:val="auto"/>
              </w:rPr>
            </w:pPr>
          </w:p>
        </w:tc>
        <w:tc>
          <w:tcPr>
            <w:tcW w:w="1060" w:type="dxa"/>
            <w:vAlign w:val="bottom"/>
            <w:tcBorders>
              <w:bottom w:val="single" w:sz="8" w:color="auto"/>
            </w:tcBorders>
            <w:vMerge w:val="continue"/>
            <w:shd w:val="clear" w:color="auto" w:fill="CCECFF"/>
          </w:tcPr>
          <w:p>
            <w:pPr>
              <w:spacing w:after="0"/>
              <w:rPr>
                <w:sz w:val="15"/>
                <w:szCs w:val="15"/>
                <w:color w:val="auto"/>
              </w:rPr>
            </w:pPr>
          </w:p>
        </w:tc>
        <w:tc>
          <w:tcPr>
            <w:tcW w:w="240" w:type="dxa"/>
            <w:vAlign w:val="bottom"/>
            <w:tcBorders>
              <w:bottom w:val="single" w:sz="8" w:color="CCECFF"/>
            </w:tcBorders>
            <w:shd w:val="clear" w:color="auto" w:fill="CCECFF"/>
          </w:tcPr>
          <w:p>
            <w:pPr>
              <w:spacing w:after="0"/>
              <w:rPr>
                <w:sz w:val="15"/>
                <w:szCs w:val="15"/>
                <w:color w:val="auto"/>
              </w:rPr>
            </w:pPr>
          </w:p>
        </w:tc>
        <w:tc>
          <w:tcPr>
            <w:tcW w:w="320" w:type="dxa"/>
            <w:vAlign w:val="bottom"/>
            <w:tcBorders>
              <w:bottom w:val="single" w:sz="8" w:color="auto"/>
            </w:tcBorders>
            <w:shd w:val="clear" w:color="auto" w:fill="CCECFF"/>
          </w:tcPr>
          <w:p>
            <w:pPr>
              <w:spacing w:after="0"/>
              <w:rPr>
                <w:sz w:val="15"/>
                <w:szCs w:val="15"/>
                <w:color w:val="auto"/>
              </w:rPr>
            </w:pPr>
          </w:p>
        </w:tc>
        <w:tc>
          <w:tcPr>
            <w:tcW w:w="1060" w:type="dxa"/>
            <w:vAlign w:val="bottom"/>
            <w:tcBorders>
              <w:bottom w:val="single" w:sz="8" w:color="auto"/>
            </w:tcBorders>
            <w:vMerge w:val="continue"/>
            <w:shd w:val="clear" w:color="auto" w:fill="CCECFF"/>
          </w:tcPr>
          <w:p>
            <w:pPr>
              <w:spacing w:after="0"/>
              <w:rPr>
                <w:sz w:val="15"/>
                <w:szCs w:val="15"/>
                <w:color w:val="auto"/>
              </w:rPr>
            </w:pPr>
          </w:p>
        </w:tc>
        <w:tc>
          <w:tcPr>
            <w:tcW w:w="6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060" w:type="dxa"/>
            <w:vAlign w:val="bottom"/>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Net realized and unrealized (loss) gain from investments and credit facility</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3,167</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(3,376 )</w:t>
            </w:r>
          </w:p>
        </w:tc>
        <w:tc>
          <w:tcPr>
            <w:tcW w:w="3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0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foreign currency translations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in members' equity resulting from operations</w:t>
            </w:r>
          </w:p>
        </w:tc>
        <w:tc>
          <w:tcPr>
            <w:tcW w:w="160" w:type="dxa"/>
            <w:vAlign w:val="bottom"/>
          </w:tcPr>
          <w:p>
            <w:pPr>
              <w:spacing w:after="0"/>
              <w:rPr>
                <w:sz w:val="15"/>
                <w:szCs w:val="15"/>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4,403</w:t>
            </w:r>
          </w:p>
        </w:tc>
        <w:tc>
          <w:tcPr>
            <w:tcW w:w="180" w:type="dxa"/>
            <w:vAlign w:val="bottom"/>
          </w:tcPr>
          <w:p>
            <w:pPr>
              <w:spacing w:after="0"/>
              <w:rPr>
                <w:sz w:val="15"/>
                <w:szCs w:val="15"/>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5,582</w:t>
            </w:r>
          </w:p>
        </w:tc>
        <w:tc>
          <w:tcPr>
            <w:tcW w:w="240" w:type="dxa"/>
            <w:vAlign w:val="bottom"/>
          </w:tcPr>
          <w:p>
            <w:pPr>
              <w:spacing w:after="0"/>
              <w:rPr>
                <w:sz w:val="15"/>
                <w:szCs w:val="15"/>
                <w:color w:val="auto"/>
              </w:rPr>
            </w:pPr>
          </w:p>
        </w:tc>
        <w:tc>
          <w:tcPr>
            <w:tcW w:w="32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5,356</w:t>
            </w:r>
          </w:p>
        </w:tc>
        <w:tc>
          <w:tcPr>
            <w:tcW w:w="240" w:type="dxa"/>
            <w:vAlign w:val="bottom"/>
          </w:tcPr>
          <w:p>
            <w:pPr>
              <w:spacing w:after="0"/>
              <w:rPr>
                <w:sz w:val="15"/>
                <w:szCs w:val="15"/>
                <w:color w:val="auto"/>
              </w:rPr>
            </w:pPr>
          </w:p>
        </w:tc>
        <w:tc>
          <w:tcPr>
            <w:tcW w:w="32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10,254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-2124710</wp:posOffset>
            </wp:positionV>
            <wp:extent cx="5143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-2124710</wp:posOffset>
            </wp:positionV>
            <wp:extent cx="4318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-2124710</wp:posOffset>
            </wp:positionV>
            <wp:extent cx="4318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-2124710</wp:posOffset>
            </wp:positionV>
            <wp:extent cx="4318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-1438910</wp:posOffset>
            </wp:positionV>
            <wp:extent cx="5143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-1438910</wp:posOffset>
            </wp:positionV>
            <wp:extent cx="4318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-1438910</wp:posOffset>
            </wp:positionV>
            <wp:extent cx="4318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-1438910</wp:posOffset>
            </wp:positionV>
            <wp:extent cx="4318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-1198880</wp:posOffset>
            </wp:positionV>
            <wp:extent cx="5143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-1198880</wp:posOffset>
            </wp:positionV>
            <wp:extent cx="4318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-1198880</wp:posOffset>
            </wp:positionV>
            <wp:extent cx="4318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-1198880</wp:posOffset>
            </wp:positionV>
            <wp:extent cx="4318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-333375</wp:posOffset>
            </wp:positionV>
            <wp:extent cx="5143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-333375</wp:posOffset>
            </wp:positionV>
            <wp:extent cx="4318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-333375</wp:posOffset>
            </wp:positionV>
            <wp:extent cx="4318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-333375</wp:posOffset>
            </wp:positionV>
            <wp:extent cx="4318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3716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80" w:hanging="372"/>
        <w:spacing w:after="0" w:line="229" w:lineRule="auto"/>
        <w:tabs>
          <w:tab w:leader="none" w:pos="380" w:val="left"/>
        </w:tabs>
        <w:numPr>
          <w:ilvl w:val="0"/>
          <w:numId w:val="2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Currently, no management or incentive fees are payable by PSSL. If any fees were to be charged, they would be separately disclosed in the Statements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Off-Balance Sheet Arrangements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We currently engage in no off-balance sheet arrangements other than our funding requirements for the unfunded investments described above.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Developments</w:t>
      </w:r>
    </w:p>
    <w:p>
      <w:pPr>
        <w:spacing w:after="0" w:line="18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4"/>
          <w:szCs w:val="14"/>
          <w:color w:val="auto"/>
        </w:rPr>
        <w:t>On May 2, 2022, the PSSL Credit Facility was amended to, among other things, to allow PSSL Subsidiary II to borrow up to $325.0 million (increased from $225.0 million) at any one time outstanding, subject to leverage and borrowing base restrictions.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Distributions</w:t>
      </w:r>
    </w:p>
    <w:p>
      <w:pPr>
        <w:spacing w:after="0" w:line="181" w:lineRule="exact"/>
        <w:rPr>
          <w:sz w:val="20"/>
          <w:szCs w:val="20"/>
          <w:color w:val="auto"/>
        </w:rPr>
      </w:pPr>
    </w:p>
    <w:p>
      <w:pPr>
        <w:jc w:val="both"/>
        <w:ind w:right="140" w:firstLine="449"/>
        <w:spacing w:after="0" w:line="261" w:lineRule="auto"/>
        <w:rPr>
          <w:sz w:val="20"/>
          <w:szCs w:val="20"/>
          <w:color w:val="auto"/>
        </w:rPr>
      </w:pPr>
      <w:r>
        <w:rPr>
          <w:rFonts w:ascii="Times New Roman" w:cs="Times New Roman" w:eastAsia="Times New Roman" w:hAnsi="Times New Roman"/>
          <w:sz w:val="14"/>
          <w:szCs w:val="14"/>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36"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4"/>
          <w:szCs w:val="14"/>
          <w:color w:val="auto"/>
        </w:rPr>
        <w:t>Although not required for us to maintain our RIC tax status, in order to preclude the imposition of a 4% nondeductible federal excise tax imposed on RICs, we must distribute dividends for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27" w:lineRule="exact"/>
        <w:rPr>
          <w:sz w:val="20"/>
          <w:szCs w:val="20"/>
          <w:color w:val="auto"/>
        </w:rPr>
      </w:pPr>
    </w:p>
    <w:p>
      <w:pPr>
        <w:ind w:right="140" w:firstLine="449"/>
        <w:spacing w:after="0" w:line="256" w:lineRule="auto"/>
        <w:rPr>
          <w:sz w:val="20"/>
          <w:szCs w:val="20"/>
          <w:color w:val="auto"/>
        </w:rPr>
      </w:pPr>
      <w:r>
        <w:rPr>
          <w:rFonts w:ascii="Times New Roman" w:cs="Times New Roman" w:eastAsia="Times New Roman" w:hAnsi="Times New Roman"/>
          <w:sz w:val="14"/>
          <w:szCs w:val="14"/>
          <w:color w:val="auto"/>
        </w:rPr>
        <w:t>During the three and six months ended March 31, 2022, we declared distributions of $0.285 and $0.57 per share, respectively, for total distributions of $11.3 and $22.4 million, respectively. During the three and six months ended March 31, 2021, we declared distributions of $0.285 and $0.57 per share, respectively, for total distributions of $11.1 and $22.1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We intend to continue to make monthly distributions to our stockholders. Our monthly distributions, if any, are determined by our board of directors quarterly.</w:t>
      </w:r>
    </w:p>
    <w:p>
      <w:pPr>
        <w:spacing w:after="0" w:line="163"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208" w:lineRule="exact"/>
        <w:rPr>
          <w:sz w:val="20"/>
          <w:szCs w:val="20"/>
          <w:color w:val="auto"/>
        </w:rPr>
      </w:pPr>
    </w:p>
    <w:p>
      <w:pPr>
        <w:ind w:right="180" w:firstLine="449"/>
        <w:spacing w:after="0" w:line="261" w:lineRule="auto"/>
        <w:rPr>
          <w:sz w:val="20"/>
          <w:szCs w:val="20"/>
          <w:color w:val="auto"/>
        </w:rPr>
      </w:pPr>
      <w:r>
        <w:rPr>
          <w:rFonts w:ascii="Times New Roman" w:cs="Times New Roman" w:eastAsia="Times New Roman" w:hAnsi="Times New Roman"/>
          <w:sz w:val="14"/>
          <w:szCs w:val="14"/>
          <w:color w:val="auto"/>
        </w:rPr>
        <w:t>In March 2020, the FASB issued Accounting Standards Update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 The Company is evaluating the potential impact that the adoption of this guidance will have on the Company’s financial statements.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65"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4"/>
          <w:szCs w:val="14"/>
          <w:color w:val="auto"/>
        </w:rPr>
        <w:t>We are subject to financial market risks, including changes in interest rates. As of March 31, 2022, our debt portfolio consisted of 100% variable-rate investments. The variable-rate loans are usually based on a LIBOR (or an alternative risk-free floating interest rate index)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40" w:lineRule="exact"/>
        <w:rPr>
          <w:sz w:val="20"/>
          <w:szCs w:val="20"/>
          <w:color w:val="auto"/>
        </w:rPr>
      </w:pPr>
    </w:p>
    <w:p>
      <w:pPr>
        <w:ind w:right="500" w:firstLine="449"/>
        <w:spacing w:after="0" w:line="282" w:lineRule="auto"/>
        <w:rPr>
          <w:sz w:val="20"/>
          <w:szCs w:val="20"/>
          <w:color w:val="auto"/>
        </w:rPr>
      </w:pPr>
      <w:r>
        <w:rPr>
          <w:rFonts w:ascii="Times New Roman" w:cs="Times New Roman" w:eastAsia="Times New Roman" w:hAnsi="Times New Roman"/>
          <w:sz w:val="14"/>
          <w:szCs w:val="14"/>
          <w:color w:val="auto"/>
        </w:rPr>
        <w:t>Assuming that the most recent Consolidated Statements of Assets and Liabilities was to remain constant, and no actions were taken to alter the existing interest rate sensitivity, the following table shows the annualized impact of hypothetical base rate changes in interest rates: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40" w:type="dxa"/>
            <w:vAlign w:val="bottom"/>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Change in Interest Income,</w:t>
            </w: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60" w:type="dxa"/>
            <w:vAlign w:val="bottom"/>
            <w:gridSpan w:val="2"/>
          </w:tcPr>
          <w:p>
            <w:pPr>
              <w:jc w:val="center"/>
              <w:ind w:right="488"/>
              <w:spacing w:after="0"/>
              <w:rPr>
                <w:sz w:val="20"/>
                <w:szCs w:val="20"/>
                <w:color w:val="auto"/>
              </w:rPr>
            </w:pPr>
            <w:r>
              <w:rPr>
                <w:rFonts w:ascii="Times New Roman" w:cs="Times New Roman" w:eastAsia="Times New Roman" w:hAnsi="Times New Roman"/>
                <w:sz w:val="14"/>
                <w:szCs w:val="14"/>
                <w:b w:val="1"/>
                <w:bCs w:val="1"/>
                <w:color w:val="auto"/>
              </w:rPr>
              <w:t>Change in Interest Income,</w:t>
            </w:r>
          </w:p>
        </w:tc>
      </w:tr>
      <w:tr>
        <w:trPr>
          <w:trHeight w:val="148"/>
        </w:trPr>
        <w:tc>
          <w:tcPr>
            <w:tcW w:w="3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40" w:type="dxa"/>
            <w:vAlign w:val="bottom"/>
          </w:tcPr>
          <w:p>
            <w:pPr>
              <w:jc w:val="center"/>
              <w:ind w:left="608"/>
              <w:spacing w:after="0" w:line="149" w:lineRule="exact"/>
              <w:rPr>
                <w:sz w:val="20"/>
                <w:szCs w:val="20"/>
                <w:color w:val="auto"/>
              </w:rPr>
            </w:pPr>
            <w:r>
              <w:rPr>
                <w:rFonts w:ascii="Times New Roman" w:cs="Times New Roman" w:eastAsia="Times New Roman" w:hAnsi="Times New Roman"/>
                <w:sz w:val="14"/>
                <w:szCs w:val="14"/>
                <w:b w:val="1"/>
                <w:bCs w:val="1"/>
                <w:color w:val="auto"/>
              </w:rPr>
              <w:t>Net of Interest Expense</w:t>
            </w: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60" w:type="dxa"/>
            <w:vAlign w:val="bottom"/>
            <w:gridSpan w:val="2"/>
          </w:tcPr>
          <w:p>
            <w:pPr>
              <w:jc w:val="center"/>
              <w:ind w:right="488"/>
              <w:spacing w:after="0" w:line="149" w:lineRule="exact"/>
              <w:rPr>
                <w:sz w:val="20"/>
                <w:szCs w:val="20"/>
                <w:color w:val="auto"/>
              </w:rPr>
            </w:pPr>
            <w:r>
              <w:rPr>
                <w:rFonts w:ascii="Times New Roman" w:cs="Times New Roman" w:eastAsia="Times New Roman" w:hAnsi="Times New Roman"/>
                <w:sz w:val="14"/>
                <w:szCs w:val="14"/>
                <w:b w:val="1"/>
                <w:bCs w:val="1"/>
                <w:color w:val="auto"/>
              </w:rPr>
              <w:t>Net of Interest</w:t>
            </w:r>
          </w:p>
        </w:tc>
      </w:tr>
      <w:tr>
        <w:trPr>
          <w:trHeight w:val="20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Interest Rates</w:t>
            </w:r>
          </w:p>
        </w:tc>
        <w:tc>
          <w:tcPr>
            <w:tcW w:w="260" w:type="dxa"/>
            <w:vAlign w:val="bottom"/>
          </w:tcPr>
          <w:p>
            <w:pPr>
              <w:spacing w:after="0"/>
              <w:rPr>
                <w:sz w:val="17"/>
                <w:szCs w:val="17"/>
                <w:color w:val="auto"/>
              </w:rPr>
            </w:pPr>
          </w:p>
        </w:tc>
        <w:tc>
          <w:tcPr>
            <w:tcW w:w="284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60" w:type="dxa"/>
            <w:vAlign w:val="bottom"/>
            <w:gridSpan w:val="2"/>
          </w:tcPr>
          <w:p>
            <w:pPr>
              <w:jc w:val="center"/>
              <w:ind w:right="488"/>
              <w:spacing w:after="0"/>
              <w:rPr>
                <w:sz w:val="20"/>
                <w:szCs w:val="20"/>
                <w:color w:val="auto"/>
              </w:rPr>
            </w:pPr>
            <w:r>
              <w:rPr>
                <w:rFonts w:ascii="Times New Roman" w:cs="Times New Roman" w:eastAsia="Times New Roman" w:hAnsi="Times New Roman"/>
                <w:sz w:val="14"/>
                <w:szCs w:val="14"/>
                <w:b w:val="1"/>
                <w:bCs w:val="1"/>
                <w:color w:val="auto"/>
              </w:rPr>
              <w:t>Expense Per Share</w:t>
            </w:r>
          </w:p>
        </w:tc>
      </w:tr>
      <w:tr>
        <w:trPr>
          <w:trHeight w:val="169"/>
        </w:trPr>
        <w:tc>
          <w:tcPr>
            <w:tcW w:w="358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Down 1%</w:t>
            </w:r>
          </w:p>
        </w:tc>
        <w:tc>
          <w:tcPr>
            <w:tcW w:w="260" w:type="dxa"/>
            <w:vAlign w:val="bottom"/>
            <w:shd w:val="clear" w:color="auto" w:fill="CCECFF"/>
          </w:tcPr>
          <w:p>
            <w:pPr>
              <w:spacing w:after="0"/>
              <w:rPr>
                <w:sz w:val="14"/>
                <w:szCs w:val="14"/>
                <w:color w:val="auto"/>
              </w:rPr>
            </w:pPr>
          </w:p>
        </w:tc>
        <w:tc>
          <w:tcPr>
            <w:tcW w:w="2840" w:type="dxa"/>
            <w:vAlign w:val="bottom"/>
            <w:tcBorders>
              <w:top w:val="single" w:sz="8" w:color="auto"/>
            </w:tcBorders>
            <w:shd w:val="clear" w:color="auto" w:fill="CCECFF"/>
          </w:tcPr>
          <w:p>
            <w:pPr>
              <w:jc w:val="right"/>
              <w:ind w:right="26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320" w:type="dxa"/>
            <w:vAlign w:val="bottom"/>
            <w:shd w:val="clear" w:color="auto" w:fill="CCECFF"/>
          </w:tcPr>
          <w:p>
            <w:pPr>
              <w:jc w:val="right"/>
              <w:ind w:right="188"/>
              <w:spacing w:after="0"/>
              <w:rPr>
                <w:sz w:val="20"/>
                <w:szCs w:val="20"/>
                <w:color w:val="auto"/>
              </w:rPr>
            </w:pPr>
            <w:r>
              <w:rPr>
                <w:rFonts w:ascii="Times New Roman" w:cs="Times New Roman" w:eastAsia="Times New Roman" w:hAnsi="Times New Roman"/>
                <w:sz w:val="14"/>
                <w:szCs w:val="14"/>
                <w:color w:val="auto"/>
                <w:w w:val="84"/>
              </w:rPr>
              <w:t>)</w:t>
            </w:r>
          </w:p>
        </w:tc>
        <w:tc>
          <w:tcPr>
            <w:tcW w:w="500" w:type="dxa"/>
            <w:vAlign w:val="bottom"/>
            <w:tcBorders>
              <w:top w:val="single" w:sz="8" w:color="auto"/>
            </w:tcBorders>
            <w:shd w:val="clear" w:color="auto" w:fill="CCEC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30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75"/>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Up 1%</w:t>
            </w:r>
          </w:p>
        </w:tc>
        <w:tc>
          <w:tcPr>
            <w:tcW w:w="2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2,460</w:t>
            </w: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60" w:type="dxa"/>
            <w:vAlign w:val="bottom"/>
          </w:tcPr>
          <w:p>
            <w:pPr>
              <w:spacing w:after="0"/>
              <w:rPr>
                <w:sz w:val="15"/>
                <w:szCs w:val="15"/>
                <w:color w:val="auto"/>
              </w:rPr>
            </w:pPr>
          </w:p>
        </w:tc>
      </w:tr>
      <w:tr>
        <w:trPr>
          <w:trHeight w:val="176"/>
        </w:trPr>
        <w:tc>
          <w:tcPr>
            <w:tcW w:w="3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Up 2%</w:t>
            </w:r>
          </w:p>
        </w:tc>
        <w:tc>
          <w:tcPr>
            <w:tcW w:w="260" w:type="dxa"/>
            <w:vAlign w:val="bottom"/>
            <w:shd w:val="clear" w:color="auto" w:fill="CCECFF"/>
          </w:tcPr>
          <w:p>
            <w:pPr>
              <w:spacing w:after="0"/>
              <w:rPr>
                <w:sz w:val="15"/>
                <w:szCs w:val="15"/>
                <w:color w:val="auto"/>
              </w:rPr>
            </w:pPr>
          </w:p>
        </w:tc>
        <w:tc>
          <w:tcPr>
            <w:tcW w:w="284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8,231</w:t>
            </w:r>
          </w:p>
        </w:tc>
        <w:tc>
          <w:tcPr>
            <w:tcW w:w="320" w:type="dxa"/>
            <w:vAlign w:val="bottom"/>
            <w:shd w:val="clear" w:color="auto" w:fill="CCECFF"/>
          </w:tcPr>
          <w:p>
            <w:pPr>
              <w:spacing w:after="0"/>
              <w:rPr>
                <w:sz w:val="15"/>
                <w:szCs w:val="15"/>
                <w:color w:val="auto"/>
              </w:rPr>
            </w:pPr>
          </w:p>
        </w:tc>
        <w:tc>
          <w:tcPr>
            <w:tcW w:w="500" w:type="dxa"/>
            <w:vAlign w:val="bottom"/>
            <w:shd w:val="clear" w:color="auto" w:fill="CCECFF"/>
          </w:tcPr>
          <w:p>
            <w:pPr>
              <w:spacing w:after="0"/>
              <w:rPr>
                <w:sz w:val="15"/>
                <w:szCs w:val="15"/>
                <w:color w:val="auto"/>
              </w:rPr>
            </w:pPr>
          </w:p>
        </w:tc>
        <w:tc>
          <w:tcPr>
            <w:tcW w:w="3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60" w:type="dxa"/>
            <w:vAlign w:val="bottom"/>
            <w:shd w:val="clear" w:color="auto" w:fill="CCECFF"/>
          </w:tcPr>
          <w:p>
            <w:pPr>
              <w:spacing w:after="0"/>
              <w:rPr>
                <w:sz w:val="15"/>
                <w:szCs w:val="15"/>
                <w:color w:val="auto"/>
              </w:rPr>
            </w:pPr>
          </w:p>
        </w:tc>
      </w:tr>
      <w:tr>
        <w:trPr>
          <w:trHeight w:val="175"/>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Up 3%</w:t>
            </w:r>
          </w:p>
        </w:tc>
        <w:tc>
          <w:tcPr>
            <w:tcW w:w="2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14,002</w:t>
            </w: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60" w:type="dxa"/>
            <w:vAlign w:val="bottom"/>
          </w:tcPr>
          <w:p>
            <w:pPr>
              <w:spacing w:after="0"/>
              <w:rPr>
                <w:sz w:val="15"/>
                <w:szCs w:val="15"/>
                <w:color w:val="auto"/>
              </w:rPr>
            </w:pPr>
          </w:p>
        </w:tc>
      </w:tr>
      <w:tr>
        <w:trPr>
          <w:trHeight w:val="176"/>
        </w:trPr>
        <w:tc>
          <w:tcPr>
            <w:tcW w:w="3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Up 4%</w:t>
            </w:r>
          </w:p>
        </w:tc>
        <w:tc>
          <w:tcPr>
            <w:tcW w:w="3100" w:type="dxa"/>
            <w:vAlign w:val="bottom"/>
            <w:gridSpan w:val="2"/>
            <w:shd w:val="clear" w:color="auto" w:fill="CCECFF"/>
          </w:tcPr>
          <w:p>
            <w:pPr>
              <w:jc w:val="right"/>
              <w:ind w:right="26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19,773</w:t>
            </w:r>
          </w:p>
        </w:tc>
        <w:tc>
          <w:tcPr>
            <w:tcW w:w="320" w:type="dxa"/>
            <w:vAlign w:val="bottom"/>
            <w:shd w:val="clear" w:color="auto" w:fill="CCECFF"/>
          </w:tcPr>
          <w:p>
            <w:pPr>
              <w:spacing w:after="0"/>
              <w:rPr>
                <w:sz w:val="15"/>
                <w:szCs w:val="15"/>
                <w:color w:val="auto"/>
              </w:rPr>
            </w:pPr>
          </w:p>
        </w:tc>
        <w:tc>
          <w:tcPr>
            <w:tcW w:w="500" w:type="dxa"/>
            <w:vAlign w:val="bottom"/>
            <w:shd w:val="clear" w:color="auto" w:fill="CCEC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3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0.48</w:t>
            </w:r>
          </w:p>
        </w:tc>
        <w:tc>
          <w:tcPr>
            <w:tcW w:w="60" w:type="dxa"/>
            <w:vAlign w:val="bottom"/>
            <w:shd w:val="clear" w:color="auto" w:fill="CCECFF"/>
          </w:tcPr>
          <w:p>
            <w:pPr>
              <w:spacing w:after="0"/>
              <w:rPr>
                <w:sz w:val="15"/>
                <w:szCs w:val="15"/>
                <w:color w:val="auto"/>
              </w:rPr>
            </w:pPr>
          </w:p>
        </w:tc>
      </w:tr>
    </w:tbl>
    <w:p>
      <w:pPr>
        <w:spacing w:after="0" w:line="139"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36" w:lineRule="exact"/>
        <w:rPr>
          <w:sz w:val="20"/>
          <w:szCs w:val="20"/>
          <w:color w:val="auto"/>
        </w:rPr>
      </w:pPr>
    </w:p>
    <w:p>
      <w:pPr>
        <w:jc w:val="both"/>
        <w:ind w:right="160" w:firstLine="449"/>
        <w:spacing w:after="0" w:line="261" w:lineRule="auto"/>
        <w:rPr>
          <w:sz w:val="20"/>
          <w:szCs w:val="20"/>
          <w:color w:val="auto"/>
        </w:rPr>
      </w:pPr>
      <w:r>
        <w:rPr>
          <w:rFonts w:ascii="Times New Roman" w:cs="Times New Roman" w:eastAsia="Times New Roman" w:hAnsi="Times New Roman"/>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36"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4"/>
          <w:szCs w:val="14"/>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79" w:lineRule="exact"/>
        <w:rPr>
          <w:sz w:val="20"/>
          <w:szCs w:val="20"/>
          <w:color w:val="auto"/>
        </w:rPr>
      </w:pPr>
    </w:p>
    <w:p>
      <w:pPr>
        <w:ind w:right="80" w:firstLine="449"/>
        <w:spacing w:after="0" w:line="251" w:lineRule="auto"/>
        <w:rPr>
          <w:sz w:val="20"/>
          <w:szCs w:val="20"/>
          <w:color w:val="auto"/>
        </w:rPr>
      </w:pPr>
      <w:r>
        <w:rPr>
          <w:rFonts w:ascii="Times New Roman" w:cs="Times New Roman" w:eastAsia="Times New Roman" w:hAnsi="Times New Roman"/>
          <w:sz w:val="14"/>
          <w:szCs w:val="14"/>
          <w:color w:val="auto"/>
        </w:rPr>
        <w:t>As of the period covered by this Report, we, including our Chief Executive Officer and Chief Financial Officer, evaluated the effectiveness of the design and operation of our disclosure controls and procedures (as defined in Rule 13a-15(e) under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44"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4"/>
          <w:szCs w:val="14"/>
          <w:color w:val="auto"/>
        </w:rPr>
        <w:t>There have been no changes in our internal control over financial reporting that occurred during the quarter ended March 31, 2022 that have materially affected, or are reasonably likely to materially affect, our internal control over financial reporting.</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79"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and any future legal proceedings cannot be predicted with certainty, we do not expect that these proceedings will have a material effect upon our financial condition or results of operations.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79"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4"/>
          <w:szCs w:val="14"/>
          <w:color w:val="auto"/>
        </w:rPr>
        <w:t>In addition to the other information set forth in this Report, you should consider carefully the factors discussed below, as well as in Part I “Item 1A. Risk Factors” in our Annual Report on Form 10-K for the fiscal year ended September 30, 2021 filed on November 17, 2021, which could materially affect our business, financial condition and/or operating results. The risks described below, as well as in our Annual Report on Form 10-K are not the only risks facing PennantPark Floating Rate Capital Ltd. Additional risks and uncertainties not currently known to us or that we currently deem to be immaterial also may materially and adversely affect our business, financial condition and/or operating results.</w:t>
      </w:r>
    </w:p>
    <w:p>
      <w:pPr>
        <w:spacing w:after="0" w:line="119" w:lineRule="exact"/>
        <w:rPr>
          <w:sz w:val="20"/>
          <w:szCs w:val="20"/>
          <w:color w:val="auto"/>
        </w:rPr>
      </w:pPr>
    </w:p>
    <w:p>
      <w:pPr>
        <w:ind w:right="280" w:firstLine="449"/>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The ongoing invasion of Ukraine by Russia and related sanctions have increased global political and economic uncertainty, which may have a material impact on the Company's portfolio and the value of your investment in the Company.</w:t>
      </w:r>
    </w:p>
    <w:p>
      <w:pPr>
        <w:spacing w:after="0" w:line="117" w:lineRule="exact"/>
        <w:rPr>
          <w:sz w:val="20"/>
          <w:szCs w:val="20"/>
          <w:color w:val="auto"/>
        </w:rPr>
      </w:pPr>
    </w:p>
    <w:p>
      <w:pPr>
        <w:ind w:right="160" w:firstLine="449"/>
        <w:spacing w:after="0" w:line="253" w:lineRule="auto"/>
        <w:rPr>
          <w:sz w:val="20"/>
          <w:szCs w:val="20"/>
          <w:color w:val="auto"/>
        </w:rPr>
      </w:pPr>
      <w:r>
        <w:rPr>
          <w:rFonts w:ascii="Times New Roman" w:cs="Times New Roman" w:eastAsia="Times New Roman" w:hAnsi="Times New Roman"/>
          <w:sz w:val="14"/>
          <w:szCs w:val="14"/>
          <w:color w:val="auto"/>
        </w:rPr>
        <w:t>The ongoing invasion of Ukraine by Russia and related sanctions have increased global political and economic uncertainty. In February 2022. Russia invaded Ukraine and, in response, the United States and many other countries placed economic sanction on certain Russian entities and individuals. Because Russia is a major exporter of oil and natural gas, the invasion and related sanctions have reduced the supply, and increased the price, of energy, which is accelerating inflation and may exacerbate ongoing supply chain issues. There is also the risk of retaliatory actions by Russia against countries which have enacted sanctions, including cyberattacks against financial and governmental institutions, which could result in business disruptions and further economic turbulence. Although the Company has no direct exposure to Russia or Ukraine, the broader consequences of the invasion may have a material adverse impact on the Company's portfolio and the value of your investment in the Company. Because this is an uncertain and evolving situation, its full impact is unknown at this time.</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Legislation enacted in 2018 allows us to incur additional leverage.</w:t>
      </w:r>
    </w:p>
    <w:p>
      <w:pPr>
        <w:spacing w:after="0" w:line="167" w:lineRule="exact"/>
        <w:rPr>
          <w:sz w:val="20"/>
          <w:szCs w:val="20"/>
          <w:color w:val="auto"/>
        </w:rPr>
      </w:pPr>
    </w:p>
    <w:p>
      <w:pPr>
        <w:ind w:firstLine="449"/>
        <w:spacing w:after="0" w:line="250" w:lineRule="auto"/>
        <w:rPr>
          <w:sz w:val="20"/>
          <w:szCs w:val="20"/>
          <w:color w:val="auto"/>
        </w:rPr>
      </w:pPr>
      <w:r>
        <w:rPr>
          <w:rFonts w:ascii="Times New Roman" w:cs="Times New Roman" w:eastAsia="Times New Roman" w:hAnsi="Times New Roman"/>
          <w:sz w:val="14"/>
          <w:szCs w:val="14"/>
          <w:color w:val="auto"/>
        </w:rPr>
        <w:t>A BDC has historically been able to issue “senior securities,” including borrowing money from banks or other financial institutions, only in amounts such that its asset coverage, as defined in Section 61(a)(2) of the 1940 Act, equals at least 200% after such incurrence or issuance. In March 2018, the Consolidated Appropriations Act of 2018 (which includes the SBCAA) was enacted which amended the 1940 Act to decrease this percentage from 200% (i.e., $1 of debt outstanding for each $1 of equity) to 150% (i.e., $2 of debt outstanding for each $1 of equity) for a BDC that has received either stockholder approval or approval of a “required majority” (as defined in Section 57(o) of the 1940 Act) of its board of directors of the application of such lower asset coverage ratio to the BDC. On April 5, 2018, our board of directors approved such reduction. As of April 5, 2019, we are able to incur additional indebtedness so long as we comply with the applicable disclosure requirement, which may increase the risk of investing in us. Under the 200% minimum asset coverage ratio, we were permitted to borrow up to one dollar for investment purposes for every one dollar of investor equity and, under the 150% minimum asset coverage ratio, we are permitted to borrow up to two dollars for investment purposes for every one dollar of investor equity. In other words, Section 61(a)(2) of the 1940 Act permits BDCs to potentially increase their debt-to-equity ratio from a maximum of 1-to-1 to a maximum of 2-to-1. In addition, since our base management fee is determined and payable based upon our average adjusted gross assets, which includes any borrowings for investment purposes, our base management fee expense may increase if we incur additional leverage.</w:t>
      </w:r>
    </w:p>
    <w:p>
      <w:pPr>
        <w:spacing w:after="0" w:line="309" w:lineRule="exact"/>
        <w:rPr>
          <w:sz w:val="20"/>
          <w:szCs w:val="20"/>
          <w:color w:val="auto"/>
        </w:rPr>
      </w:pPr>
    </w:p>
    <w:p>
      <w:pPr>
        <w:ind w:right="340" w:firstLine="449"/>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Because we intend to distribute substantially all of our income to our stockholders to maintain our ability to be subject to tax as a RIC, we may need to raise additional capital to finance our growth. If funds are not available to us, we may need to curtail new investments, and our common stock value could decline.</w:t>
      </w:r>
    </w:p>
    <w:p>
      <w:pPr>
        <w:spacing w:after="0" w:line="117" w:lineRule="exact"/>
        <w:rPr>
          <w:sz w:val="20"/>
          <w:szCs w:val="20"/>
          <w:color w:val="auto"/>
        </w:rPr>
      </w:pPr>
    </w:p>
    <w:p>
      <w:pPr>
        <w:jc w:val="both"/>
        <w:ind w:right="100" w:firstLine="449"/>
        <w:spacing w:after="0" w:line="261" w:lineRule="auto"/>
        <w:rPr>
          <w:sz w:val="20"/>
          <w:szCs w:val="20"/>
          <w:color w:val="auto"/>
        </w:rPr>
      </w:pPr>
      <w:r>
        <w:rPr>
          <w:rFonts w:ascii="Times New Roman" w:cs="Times New Roman" w:eastAsia="Times New Roman" w:hAnsi="Times New Roman"/>
          <w:sz w:val="14"/>
          <w:szCs w:val="14"/>
          <w:color w:val="auto"/>
        </w:rPr>
        <w:t>In connection with satisfying the requirements to be subject to tax as a RIC for federal income tax purposes, we intend to distribute to our stockholders substantially all of our investment company taxable income and net capital gains each taxable year. However, we may retain all or a portion of our net capital gains and incur applicable income taxes with respect thereto and elect to treat such retained net capital gains as deemed dividend distributions to our stockholders.</w:t>
      </w:r>
    </w:p>
    <w:p>
      <w:pPr>
        <w:spacing w:after="0" w:line="136" w:lineRule="exact"/>
        <w:rPr>
          <w:sz w:val="20"/>
          <w:szCs w:val="20"/>
          <w:color w:val="auto"/>
        </w:rPr>
      </w:pPr>
    </w:p>
    <w:p>
      <w:pPr>
        <w:ind w:right="80" w:firstLine="449"/>
        <w:spacing w:after="0" w:line="253" w:lineRule="auto"/>
        <w:rPr>
          <w:sz w:val="20"/>
          <w:szCs w:val="20"/>
          <w:color w:val="auto"/>
        </w:rPr>
      </w:pPr>
      <w:r>
        <w:rPr>
          <w:rFonts w:ascii="Times New Roman" w:cs="Times New Roman" w:eastAsia="Times New Roman" w:hAnsi="Times New Roman"/>
          <w:sz w:val="14"/>
          <w:szCs w:val="14"/>
          <w:color w:val="auto"/>
        </w:rPr>
        <w:t>As noted above, on April 5, 2018, our board of directors, including a “required majority” (as such term is defined in Section 57(o) of the 1940 Act), approved a reduction of our asset coverage ratio from 200% to 150%. As a result, as of April 5, 2019, the asset coverage requirement applicable to us for senior securities was reduced from 200% (i.e., $1 of debt outstanding for each $1 of equity) to 150% (i.e., $2 of debt outstanding for each $1 of equity). If we incur additional indebtedness under this provision, the risk of investing in us will increase. If the value of our assets declines, we may be unable to satisfy this asset coverage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29" w:lineRule="exact"/>
        <w:rPr>
          <w:sz w:val="20"/>
          <w:szCs w:val="20"/>
          <w:color w:val="auto"/>
        </w:rPr>
      </w:pPr>
    </w:p>
    <w:p>
      <w:pPr>
        <w:jc w:val="both"/>
        <w:ind w:right="60" w:firstLine="449"/>
        <w:spacing w:after="0" w:line="261" w:lineRule="auto"/>
        <w:rPr>
          <w:sz w:val="20"/>
          <w:szCs w:val="20"/>
          <w:color w:val="auto"/>
        </w:rPr>
      </w:pPr>
      <w:r>
        <w:rPr>
          <w:rFonts w:ascii="Times New Roman" w:cs="Times New Roman" w:eastAsia="Times New Roman" w:hAnsi="Times New Roman"/>
          <w:sz w:val="14"/>
          <w:szCs w:val="14"/>
          <w:color w:val="auto"/>
        </w:rPr>
        <w:t>We are partially dependent on our subsidiary, Funding I, for cash distributions to enable us to meet the distribution requirements in order to permit us to be subject to tax as a RIC. In this regard, Funding I is limited by its covenants from making certain distributions to us that may be necessary to fulfill our requirements to be subject to tax as a RIC. In such case, we would need to request a waiver of these covenants’ restrictions for Funding I to make certain distributions to enable us to be subject to tax as a RIC. We cannot assure you that Funding I will be granted such a waiver, and if Funding I is unable to obtain a waiver, compliance with the covenants may cause us to incur a corporate-level income tax.</w:t>
      </w:r>
    </w:p>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If we incur additional debt, it could increase the risk of investing in our shares.</w:t>
      </w:r>
    </w:p>
    <w:p>
      <w:pPr>
        <w:spacing w:after="0" w:line="167" w:lineRule="exact"/>
        <w:rPr>
          <w:sz w:val="20"/>
          <w:szCs w:val="20"/>
          <w:color w:val="auto"/>
        </w:rPr>
      </w:pPr>
    </w:p>
    <w:p>
      <w:pPr>
        <w:ind w:right="140" w:firstLine="449"/>
        <w:spacing w:after="0" w:line="249" w:lineRule="auto"/>
        <w:rPr>
          <w:sz w:val="20"/>
          <w:szCs w:val="20"/>
          <w:color w:val="auto"/>
        </w:rPr>
      </w:pPr>
      <w:r>
        <w:rPr>
          <w:rFonts w:ascii="Times New Roman" w:cs="Times New Roman" w:eastAsia="Times New Roman" w:hAnsi="Times New Roman"/>
          <w:sz w:val="14"/>
          <w:szCs w:val="14"/>
          <w:color w:val="auto"/>
        </w:rPr>
        <w:t>We have indebtedness outstanding pursuant to our Credit Facility, 2023 Notes, 2026 Notes and the 2031 Asset-Backed Debt and expect in the future to borrow additional amounts under our Credit Facility or other debt securities, subject to market availability, and, may increase the size of our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Funding I’s assets in connection with our Credit Facility borrowings. In the case of a liquidation event, those lenders would receive proceeds before our stockholders. Any future debt issuance will increase our leverage and may be subordinate to our Credit Facility. In addition, borrowings or debt issuances, also known as leverage, magnify the potential for loss or gain on amounts invested and, therefore, increase the risks associated with investing in our securities. Leverage is generally considered a speculative investment technique. If the value of our assets decreases, then the use of leverage would cause the net asset value attributable to our common stock to decline more than it otherwise would have had we not utilized leverage. Similarly, any decrease in our revenue would cause our net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7" w:right="339" w:bottom="1440" w:gutter="0" w:footer="0" w:header="0"/>
        </w:sectPr>
      </w:pPr>
    </w:p>
    <w:bookmarkStart w:id="54" w:name="page55"/>
    <w:bookmarkEnd w:id="54"/>
    <w:p>
      <w:pPr>
        <w:spacing w:after="0" w:line="302" w:lineRule="auto"/>
        <w:rPr>
          <w:sz w:val="20"/>
          <w:szCs w:val="20"/>
          <w:color w:val="auto"/>
        </w:rPr>
      </w:pPr>
      <w:r>
        <w:rPr>
          <w:rFonts w:ascii="Times New Roman" w:cs="Times New Roman" w:eastAsia="Times New Roman" w:hAnsi="Times New Roman"/>
          <w:sz w:val="14"/>
          <w:szCs w:val="14"/>
          <w:color w:val="auto"/>
        </w:rPr>
        <w:t>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94" w:lineRule="exact"/>
        <w:rPr>
          <w:sz w:val="20"/>
          <w:szCs w:val="20"/>
          <w:color w:val="auto"/>
        </w:rPr>
      </w:pPr>
    </w:p>
    <w:p>
      <w:pPr>
        <w:ind w:right="180" w:firstLine="449"/>
        <w:spacing w:after="0" w:line="271" w:lineRule="auto"/>
        <w:rPr>
          <w:sz w:val="20"/>
          <w:szCs w:val="20"/>
          <w:color w:val="auto"/>
        </w:rPr>
      </w:pPr>
      <w:r>
        <w:rPr>
          <w:rFonts w:ascii="Times New Roman" w:cs="Times New Roman" w:eastAsia="Times New Roman" w:hAnsi="Times New Roman"/>
          <w:sz w:val="14"/>
          <w:szCs w:val="14"/>
          <w:color w:val="auto"/>
        </w:rPr>
        <w:t>As noted above, on April 5, 2018, our board of directors, including a “required majority” (as such term is defined in Section 57(o) of the 1940 Act), approved a reduction of our asset coverage ratio. As a result, as of April 5, 2019, the asset coverage requirement applicable to us for senior securities was reduced from 200% to 150%. As of such date, we are able to incur additional indebtedness so long as we comply with the applicable disclosure requirements, which may increase the risk of investing in us.</w:t>
      </w:r>
    </w:p>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79"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None.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None.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Not applicable.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341"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77"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Unless specifically indicated otherwise, the following exhibits are incorporated by reference to exhibits previously filed with the SEC:</w:t>
      </w:r>
    </w:p>
    <w:p>
      <w:pPr>
        <w:spacing w:after="0" w:line="190" w:lineRule="exact"/>
        <w:rPr>
          <w:sz w:val="20"/>
          <w:szCs w:val="20"/>
          <w:color w:val="auto"/>
        </w:rPr>
      </w:pPr>
    </w:p>
    <w:p>
      <w:pPr>
        <w:ind w:left="600" w:hanging="508"/>
        <w:spacing w:after="0" w:line="261" w:lineRule="auto"/>
        <w:tabs>
          <w:tab w:leader="none" w:pos="5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3.1</w:t>
      </w:r>
      <w:r>
        <w:rPr>
          <w:sz w:val="20"/>
          <w:szCs w:val="20"/>
          <w:color w:val="auto"/>
        </w:rPr>
        <w:tab/>
      </w:r>
      <w:hyperlink r:id="rId617">
        <w:r>
          <w:rPr>
            <w:rFonts w:ascii="Times New Roman" w:cs="Times New Roman" w:eastAsia="Times New Roman" w:hAnsi="Times New Roman"/>
            <w:sz w:val="14"/>
            <w:szCs w:val="14"/>
            <w:u w:val="single" w:color="auto"/>
            <w:color w:val="0000FF"/>
          </w:rPr>
          <w:t>Articles of Amendment and Restatement of the Registrant (Incorporated by reference to Exhibit 99(A) to the Registrant's Pre-Effective Amendment No. 3 to the Registration Statement</w:t>
        </w:r>
      </w:hyperlink>
      <w:r>
        <w:rPr>
          <w:rFonts w:ascii="Times New Roman" w:cs="Times New Roman" w:eastAsia="Times New Roman" w:hAnsi="Times New Roman"/>
          <w:sz w:val="14"/>
          <w:szCs w:val="14"/>
          <w:u w:val="single" w:color="auto"/>
          <w:color w:val="0000FF"/>
        </w:rPr>
        <w:t xml:space="preserve"> </w:t>
      </w:r>
      <w:hyperlink r:id="rId617">
        <w:r>
          <w:rPr>
            <w:rFonts w:ascii="Times New Roman" w:cs="Times New Roman" w:eastAsia="Times New Roman" w:hAnsi="Times New Roman"/>
            <w:sz w:val="14"/>
            <w:szCs w:val="14"/>
            <w:u w:val="single" w:color="auto"/>
            <w:color w:val="0000FF"/>
          </w:rPr>
          <w:t>on Form N-2 (File No. 333-170243), filed on March 29, 2011).</w:t>
        </w:r>
      </w:hyperlink>
    </w:p>
    <w:p>
      <w:pPr>
        <w:spacing w:after="0" w:line="109" w:lineRule="exact"/>
        <w:rPr>
          <w:sz w:val="20"/>
          <w:szCs w:val="20"/>
          <w:color w:val="auto"/>
        </w:rPr>
      </w:pPr>
    </w:p>
    <w:p>
      <w:pPr>
        <w:ind w:left="600" w:right="200" w:hanging="508"/>
        <w:spacing w:after="0" w:line="261" w:lineRule="auto"/>
        <w:tabs>
          <w:tab w:leader="none" w:pos="5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3.2</w:t>
      </w:r>
      <w:r>
        <w:rPr>
          <w:sz w:val="20"/>
          <w:szCs w:val="20"/>
          <w:color w:val="auto"/>
        </w:rPr>
        <w:tab/>
      </w:r>
      <w:hyperlink r:id="rId618">
        <w:r>
          <w:rPr>
            <w:rFonts w:ascii="Times New Roman" w:cs="Times New Roman" w:eastAsia="Times New Roman" w:hAnsi="Times New Roman"/>
            <w:sz w:val="14"/>
            <w:szCs w:val="14"/>
            <w:u w:val="single" w:color="auto"/>
            <w:color w:val="0000FF"/>
          </w:rPr>
          <w:t>Second Amended and Restated Bylaws of the Registrant (Incorporated by reference to Exhibit 3.2 to the Registrant's Quarterly Report on Form 10-Q (File No. 814-00891), filed on</w:t>
        </w:r>
      </w:hyperlink>
      <w:r>
        <w:rPr>
          <w:rFonts w:ascii="Times New Roman" w:cs="Times New Roman" w:eastAsia="Times New Roman" w:hAnsi="Times New Roman"/>
          <w:sz w:val="14"/>
          <w:szCs w:val="14"/>
          <w:u w:val="single" w:color="auto"/>
          <w:color w:val="0000FF"/>
        </w:rPr>
        <w:t xml:space="preserve"> </w:t>
      </w:r>
      <w:hyperlink r:id="rId618">
        <w:r>
          <w:rPr>
            <w:rFonts w:ascii="Times New Roman" w:cs="Times New Roman" w:eastAsia="Times New Roman" w:hAnsi="Times New Roman"/>
            <w:sz w:val="14"/>
            <w:szCs w:val="14"/>
            <w:u w:val="single" w:color="auto"/>
            <w:color w:val="0000FF"/>
          </w:rPr>
          <w:t>May 11, 2020).</w:t>
        </w:r>
      </w:hyperlink>
    </w:p>
    <w:p>
      <w:pPr>
        <w:spacing w:after="0" w:line="109" w:lineRule="exact"/>
        <w:rPr>
          <w:sz w:val="20"/>
          <w:szCs w:val="20"/>
          <w:color w:val="auto"/>
        </w:rPr>
      </w:pPr>
    </w:p>
    <w:p>
      <w:pPr>
        <w:ind w:left="100"/>
        <w:spacing w:after="0"/>
        <w:tabs>
          <w:tab w:leader="none" w:pos="5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4.1</w:t>
      </w:r>
      <w:r>
        <w:rPr>
          <w:sz w:val="20"/>
          <w:szCs w:val="20"/>
          <w:color w:val="auto"/>
        </w:rPr>
        <w:tab/>
      </w:r>
      <w:hyperlink r:id="rId619">
        <w:r>
          <w:rPr>
            <w:rFonts w:ascii="Times New Roman" w:cs="Times New Roman" w:eastAsia="Times New Roman" w:hAnsi="Times New Roman"/>
            <w:sz w:val="14"/>
            <w:szCs w:val="14"/>
            <w:u w:val="single" w:color="auto"/>
            <w:color w:val="0000FF"/>
          </w:rPr>
          <w:t>Form of Share Certificate (Incorporated by reference to Exhibit 99(D) to the Registrant's Pre-Effective Amendment No. 5 to the Registration Statement on Form N-2 (File No. 333-</w:t>
        </w:r>
      </w:hyperlink>
    </w:p>
    <w:p>
      <w:pPr>
        <w:spacing w:after="0" w:line="4" w:lineRule="exact"/>
        <w:rPr>
          <w:sz w:val="20"/>
          <w:szCs w:val="20"/>
          <w:color w:val="auto"/>
        </w:rPr>
      </w:pPr>
    </w:p>
    <w:p>
      <w:pPr>
        <w:ind w:left="600"/>
        <w:spacing w:after="0"/>
        <w:rPr>
          <w:rFonts w:ascii="Times New Roman" w:cs="Times New Roman" w:eastAsia="Times New Roman" w:hAnsi="Times New Roman"/>
          <w:sz w:val="14"/>
          <w:szCs w:val="14"/>
          <w:u w:val="single" w:color="auto"/>
          <w:color w:val="0000FF"/>
        </w:rPr>
      </w:pPr>
      <w:hyperlink r:id="rId619">
        <w:r>
          <w:rPr>
            <w:rFonts w:ascii="Times New Roman" w:cs="Times New Roman" w:eastAsia="Times New Roman" w:hAnsi="Times New Roman"/>
            <w:sz w:val="14"/>
            <w:szCs w:val="14"/>
            <w:u w:val="single" w:color="auto"/>
            <w:color w:val="0000FF"/>
          </w:rPr>
          <w:t>170243), filed on April 5, 2011).</w:t>
        </w:r>
      </w:hyperlink>
    </w:p>
    <w:p>
      <w:pPr>
        <w:spacing w:after="0" w:line="174"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14"/>
          <w:szCs w:val="14"/>
          <w:color w:val="auto"/>
        </w:rPr>
        <w:t>14.1*</w:t>
      </w:r>
      <w:r>
        <w:rPr>
          <w:sz w:val="20"/>
          <w:szCs w:val="20"/>
          <w:color w:val="auto"/>
        </w:rPr>
        <w:tab/>
      </w:r>
      <w:r>
        <w:rPr>
          <w:rFonts w:ascii="Times New Roman" w:cs="Times New Roman" w:eastAsia="Times New Roman" w:hAnsi="Times New Roman"/>
          <w:sz w:val="14"/>
          <w:szCs w:val="14"/>
          <w:u w:val="single" w:color="auto"/>
          <w:color w:val="0000FF"/>
        </w:rPr>
        <w:t>Joint Code of Ethics of the Registrant</w:t>
      </w:r>
    </w:p>
    <w:p>
      <w:pPr>
        <w:spacing w:after="0" w:line="190"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14"/>
          <w:szCs w:val="14"/>
          <w:color w:val="auto"/>
        </w:rPr>
        <w:t>31.1*</w:t>
      </w:r>
      <w:r>
        <w:rPr>
          <w:sz w:val="20"/>
          <w:szCs w:val="20"/>
          <w:color w:val="auto"/>
        </w:rPr>
        <w:tab/>
      </w:r>
      <w:r>
        <w:rPr>
          <w:rFonts w:ascii="Times New Roman" w:cs="Times New Roman" w:eastAsia="Times New Roman" w:hAnsi="Times New Roman"/>
          <w:sz w:val="14"/>
          <w:szCs w:val="14"/>
          <w:u w:val="single" w:color="auto"/>
          <w:color w:val="0000FF"/>
        </w:rPr>
        <w:t>Certification of Chief Executive Officer pursuant to Rule 13a-14 of the Securities Exchange Act of 1934, as amended.</w:t>
      </w:r>
    </w:p>
    <w:p>
      <w:pPr>
        <w:spacing w:after="0" w:line="150"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14"/>
          <w:szCs w:val="14"/>
          <w:color w:val="auto"/>
        </w:rPr>
        <w:t>31.2*</w:t>
      </w:r>
      <w:r>
        <w:rPr>
          <w:sz w:val="20"/>
          <w:szCs w:val="20"/>
          <w:color w:val="auto"/>
        </w:rPr>
        <w:tab/>
      </w:r>
      <w:r>
        <w:rPr>
          <w:rFonts w:ascii="Times New Roman" w:cs="Times New Roman" w:eastAsia="Times New Roman" w:hAnsi="Times New Roman"/>
          <w:sz w:val="14"/>
          <w:szCs w:val="14"/>
          <w:u w:val="single" w:color="auto"/>
          <w:color w:val="0000FF"/>
        </w:rPr>
        <w:t>Certification of Chief Financial Officer pursuant to Rule 13a-14 of the Securities Exchange Act of 1934, as amended.</w:t>
      </w:r>
    </w:p>
    <w:p>
      <w:pPr>
        <w:spacing w:after="0" w:line="150"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14"/>
          <w:szCs w:val="14"/>
          <w:color w:val="auto"/>
        </w:rPr>
        <w:t>32.1*</w:t>
      </w:r>
      <w:r>
        <w:rPr>
          <w:sz w:val="20"/>
          <w:szCs w:val="20"/>
          <w:color w:val="auto"/>
        </w:rPr>
        <w:tab/>
      </w:r>
      <w:r>
        <w:rPr>
          <w:rFonts w:ascii="Times New Roman" w:cs="Times New Roman" w:eastAsia="Times New Roman" w:hAnsi="Times New Roman"/>
          <w:sz w:val="14"/>
          <w:szCs w:val="14"/>
          <w:u w:val="single" w:color="auto"/>
          <w:color w:val="0000FF"/>
        </w:rPr>
        <w:t>Certification of Chief Executive Officer pursuant to section 906 of The Sarbanes-Oxley Act of 2002.</w:t>
      </w:r>
    </w:p>
    <w:p>
      <w:pPr>
        <w:spacing w:after="0" w:line="150"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14"/>
          <w:szCs w:val="14"/>
          <w:color w:val="auto"/>
        </w:rPr>
        <w:t>32.2*</w:t>
      </w:r>
      <w:r>
        <w:rPr>
          <w:sz w:val="20"/>
          <w:szCs w:val="20"/>
          <w:color w:val="auto"/>
        </w:rPr>
        <w:tab/>
      </w:r>
      <w:r>
        <w:rPr>
          <w:rFonts w:ascii="Times New Roman" w:cs="Times New Roman" w:eastAsia="Times New Roman" w:hAnsi="Times New Roman"/>
          <w:sz w:val="14"/>
          <w:szCs w:val="14"/>
          <w:u w:val="single" w:color="auto"/>
          <w:color w:val="0000FF"/>
        </w:rPr>
        <w:t>Certification of Chief Financial Officer pursuant to section 906 of The Sarbanes-Oxley Act of 2002.</w:t>
      </w:r>
    </w:p>
    <w:p>
      <w:pPr>
        <w:spacing w:after="0" w:line="150" w:lineRule="exact"/>
        <w:rPr>
          <w:sz w:val="20"/>
          <w:szCs w:val="20"/>
          <w:color w:val="auto"/>
        </w:rPr>
      </w:pPr>
    </w:p>
    <w:p>
      <w:pPr>
        <w:ind w:left="20"/>
        <w:spacing w:after="0"/>
        <w:tabs>
          <w:tab w:leader="none" w:pos="5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99.1</w:t>
      </w:r>
      <w:r>
        <w:rPr>
          <w:sz w:val="20"/>
          <w:szCs w:val="20"/>
          <w:color w:val="auto"/>
        </w:rPr>
        <w:tab/>
      </w:r>
      <w:hyperlink r:id="rId620">
        <w:r>
          <w:rPr>
            <w:rFonts w:ascii="Times New Roman" w:cs="Times New Roman" w:eastAsia="Times New Roman" w:hAnsi="Times New Roman"/>
            <w:sz w:val="14"/>
            <w:szCs w:val="14"/>
            <w:u w:val="single" w:color="auto"/>
            <w:color w:val="0000FF"/>
          </w:rPr>
          <w:t>Privacy Policy of the Registrant (Incorporated by reference to Exhibit 99.1 to the Registrant’s Annual Report on Form 10-K (File No. 814-00891), filed on November 17, 2011).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171450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Filed herewith.</w:t>
      </w: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77" w:right="399"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300"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on Form 10-Q to be signed on its behalf by the undersigned, thereunto duly authorized.</w:t>
      </w:r>
    </w:p>
    <w:p>
      <w:pPr>
        <w:sectPr>
          <w:pgSz w:w="11900" w:h="16838" w:orient="portrait"/>
          <w:cols w:equalWidth="0" w:num="1">
            <w:col w:w="11220"/>
          </w:cols>
          <w:pgMar w:left="320" w:top="27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May 4, 2022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May 4,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PENNANTPARK FLOATING RATE CAPITAL LTD.</w:t>
      </w:r>
    </w:p>
    <w:p>
      <w:pPr>
        <w:spacing w:after="0" w:line="23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6350</wp:posOffset>
            </wp:positionV>
            <wp:extent cx="322326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3">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Arthur H. Penn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Chief Executive Officer and Chairman of the Board of Directors</w:t>
      </w:r>
    </w:p>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2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/s/ Richard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6350</wp:posOffset>
            </wp:positionV>
            <wp:extent cx="322326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4">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Richard Cheung</w:t>
      </w:r>
    </w:p>
    <w:p>
      <w:pPr>
        <w:spacing w:after="0" w:line="19"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Chief Financial Officer and Treasurer</w:t>
      </w:r>
    </w:p>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(Principal Financial and Accounting Officer)</w:t>
      </w:r>
    </w:p>
    <w:p>
      <w:pPr>
        <w:spacing w:after="0" w:line="200" w:lineRule="exact"/>
        <w:rPr>
          <w:sz w:val="20"/>
          <w:szCs w:val="20"/>
          <w:color w:val="auto"/>
        </w:rPr>
      </w:pPr>
    </w:p>
    <w:p>
      <w:pPr>
        <w:sectPr>
          <w:pgSz w:w="11900" w:h="16838" w:orient="portrait"/>
          <w:cols w:equalWidth="0" w:num="3">
            <w:col w:w="5100" w:space="720"/>
            <w:col w:w="200" w:space="700"/>
            <w:col w:w="4500"/>
          </w:cols>
          <w:pgMar w:left="320" w:top="277" w:right="359" w:bottom="1440" w:gutter="0" w:footer="0" w:header="0"/>
          <w:type w:val="continuous"/>
        </w:sectPr>
      </w:pPr>
    </w:p>
    <w:p>
      <w:pPr>
        <w:spacing w:after="0" w:line="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7" w:right="359" w:bottom="1440" w:gutter="0" w:footer="0" w:header="0"/>
          <w:type w:val="continuous"/>
        </w:sectPr>
      </w:pPr>
    </w:p>
    <w:bookmarkStart w:id="58" w:name="page59"/>
    <w:bookmarkEnd w:id="58"/>
    <w:p>
      <w:pPr>
        <w:ind w:left="10120"/>
        <w:spacing w:after="0"/>
        <w:rPr>
          <w:sz w:val="20"/>
          <w:szCs w:val="20"/>
          <w:color w:val="auto"/>
        </w:rPr>
      </w:pPr>
      <w:r>
        <w:rPr>
          <w:rFonts w:ascii="Times New Roman" w:cs="Times New Roman" w:eastAsia="Times New Roman" w:hAnsi="Times New Roman"/>
          <w:sz w:val="21"/>
          <w:szCs w:val="21"/>
          <w:b w:val="1"/>
          <w:bCs w:val="1"/>
          <w:color w:val="auto"/>
        </w:rPr>
        <w:t>Exhibit 14.1</w:t>
      </w:r>
    </w:p>
    <w:p>
      <w:pPr>
        <w:spacing w:after="0" w:line="2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JOINT CODE OF ETHICS</w:t>
      </w:r>
    </w:p>
    <w:p>
      <w:pPr>
        <w:spacing w:after="0" w:line="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FOR</w:t>
      </w:r>
    </w:p>
    <w:p>
      <w:pPr>
        <w:jc w:val="center"/>
        <w:ind w:right="60"/>
        <w:spacing w:after="0" w:line="233" w:lineRule="auto"/>
        <w:rPr>
          <w:sz w:val="20"/>
          <w:szCs w:val="20"/>
          <w:color w:val="auto"/>
        </w:rPr>
      </w:pPr>
      <w:r>
        <w:rPr>
          <w:rFonts w:ascii="Times New Roman" w:cs="Times New Roman" w:eastAsia="Times New Roman" w:hAnsi="Times New Roman"/>
          <w:sz w:val="22"/>
          <w:szCs w:val="22"/>
          <w:b w:val="1"/>
          <w:bCs w:val="1"/>
          <w:color w:val="auto"/>
        </w:rPr>
        <w:t>PENNANTPARK INVESTMENT CORPORATION</w:t>
      </w:r>
    </w:p>
    <w:p>
      <w:pPr>
        <w:spacing w:after="0" w:line="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4" w:lineRule="exact"/>
        <w:rPr>
          <w:sz w:val="20"/>
          <w:szCs w:val="20"/>
          <w:color w:val="auto"/>
        </w:rPr>
      </w:pPr>
    </w:p>
    <w:p>
      <w:pPr>
        <w:ind w:right="3200" w:firstLine="3194"/>
        <w:spacing w:after="0" w:line="372" w:lineRule="auto"/>
        <w:rPr>
          <w:sz w:val="20"/>
          <w:szCs w:val="20"/>
          <w:color w:val="auto"/>
        </w:rPr>
      </w:pPr>
      <w:r>
        <w:rPr>
          <w:rFonts w:ascii="Times New Roman" w:cs="Times New Roman" w:eastAsia="Times New Roman" w:hAnsi="Times New Roman"/>
          <w:sz w:val="22"/>
          <w:szCs w:val="22"/>
          <w:b w:val="1"/>
          <w:bCs w:val="1"/>
          <w:color w:val="auto"/>
        </w:rPr>
        <w:t>PENNANTPARK INVESTMENT ADVISERS, LLC Section IStatement of General Fiduciary Principles</w:t>
      </w:r>
    </w:p>
    <w:p>
      <w:pPr>
        <w:spacing w:after="0" w:line="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This Joint Code of Ethics (the “Code”) has been adopted by each of PennantPark Investment Corporation, PennantPark Floating Rate Capital, Ltd. (each individually, the “Corporation”), and PennantPark Investment Advisers, LLC, the Corporations’ investment adviser (the “Adviser”), in compliance with Rule 17j-1 under the Investment Company Act of 1940 (the “Act”) and Section 204A of the Investment Advisers Act of 1940 (the “Advisers Act”). The purpose of the Code is to establish standards and procedures for the detection and prevention of activities by which persons having knowledge of the investments and investment intentions of the Corporations may abuse their fiduciary duty to the Corporations, and otherwise to deal with the types of conflict of interest situations to which Rule 17j-1 under the Act (“Rule 17j-1”) is addressed. As it relates to Section 204A of the Advisers Act, the purpose of this Code is to establish procedures that, taking into consideration the nature of the Adviser’s business, are reasonably designed to prevent misuse of material non-public information in violation of the federal securities laws by persons associated with the Adviser.</w:t>
      </w:r>
    </w:p>
    <w:p>
      <w:pPr>
        <w:spacing w:after="0" w:line="73"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The Code is based on the principle that the directors and officers of the Corporations, and the managers, partners, officers and employees of the Adviser, who provide services to the Corporations, owe a fiduciary duty to the Corporations to conduct their personal securities transactions in a manner that does not interfere with the Corporations’ transactions or otherwise take unfair advantage of their relationship with the Corporations. All directors, managers, partners, officers and employees of the Corporations, and the Adviser (“Covered Personnel”) are expected to adhere to this general principle as well as to comply with all of the specific provisions of this Code that are applicable to them. Any Covered Personnel who is affiliated with another entity that is a registered investment adviser is, in addition, expected to comply with the provisions of the code of ethics that has been adopted by such other investment adviser.</w:t>
      </w:r>
    </w:p>
    <w:p>
      <w:pPr>
        <w:spacing w:after="0" w:line="6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2"/>
          <w:szCs w:val="22"/>
          <w:color w:val="auto"/>
        </w:rPr>
        <w:t>Technical compliance with the Code will not automatically insulate any Covered Personnel from scrutiny of transactions that show a pattern of compromise or abuse of the individual’s fiduciary duty to the Corporation. Accordingly, all Covered Personnel must seek to avoid any actual or potential conflicts between their personal interests and the interests of the Corporation and its shareholders. In sum, all Covered Personnel shall place the interests of the Corporation before their own personal interests.</w:t>
      </w:r>
    </w:p>
    <w:p>
      <w:pPr>
        <w:spacing w:after="0" w:line="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All Covered Personnel must read and retain this Code.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IIDefinitions</w:t>
      </w:r>
    </w:p>
    <w:p>
      <w:pPr>
        <w:spacing w:after="0" w:line="116" w:lineRule="exact"/>
        <w:rPr>
          <w:sz w:val="20"/>
          <w:szCs w:val="20"/>
          <w:color w:val="auto"/>
        </w:rPr>
      </w:pPr>
    </w:p>
    <w:p>
      <w:pPr>
        <w:ind w:left="860" w:hanging="478"/>
        <w:spacing w:after="0" w:line="258" w:lineRule="auto"/>
        <w:tabs>
          <w:tab w:leader="none" w:pos="8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“Access Person” means any director, officer, general partner or Advisory Person (as defined below) of the Corporations or the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59" w:name="page60"/>
    <w:bookmarkEnd w:id="59"/>
    <w:p>
      <w:pPr>
        <w:jc w:val="both"/>
        <w:ind w:left="480" w:hanging="478"/>
        <w:spacing w:after="0" w:line="239" w:lineRule="auto"/>
        <w:tabs>
          <w:tab w:leader="none" w:pos="4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“Advisory Person” of the Corporation or the Adviser means: (i) any employee of the Corporation or the Adviser, or any company in a Control (as defined below) relationship to the Corporation or the Adviser, who in connection with his or her regular functions or duties makes, participates in, or obtains information regarding the purchase or sale of any Covered Security (as defined below) by the Corporation, or whose functions relate to the making of any recommendation with respect to such purchases or sales; and (ii) any natural person in a Control relationship to the Corporation or the Adviser, who obtains information concerning recommendations made to the Corporation with regard to the purchase or sale of any Covered Security by the Corporation.</w:t>
      </w:r>
    </w:p>
    <w:p>
      <w:pPr>
        <w:spacing w:after="0" w:line="86" w:lineRule="exact"/>
        <w:rPr>
          <w:rFonts w:ascii="Times New Roman" w:cs="Times New Roman" w:eastAsia="Times New Roman" w:hAnsi="Times New Roman"/>
          <w:sz w:val="22"/>
          <w:szCs w:val="22"/>
          <w:color w:val="auto"/>
        </w:rPr>
      </w:pPr>
    </w:p>
    <w:p>
      <w:pPr>
        <w:jc w:val="both"/>
        <w:ind w:left="480" w:hanging="478"/>
        <w:spacing w:after="0" w:line="250" w:lineRule="auto"/>
        <w:tabs>
          <w:tab w:leader="none" w:pos="4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“Beneficial Ownership” is interpreted in the same manner as it would be under Rule 16a-1(a)(2) under the Securities Exchange Act of 1934 (the “1934 Act”) in determining whether a person is a beneficial owner of a security for purposes of Section 16 of the 1934 Act and the rules and regulations thereunder.</w:t>
      </w:r>
    </w:p>
    <w:p>
      <w:pPr>
        <w:spacing w:after="0" w:line="59" w:lineRule="exact"/>
        <w:rPr>
          <w:rFonts w:ascii="Times New Roman" w:cs="Times New Roman" w:eastAsia="Times New Roman" w:hAnsi="Times New Roman"/>
          <w:sz w:val="22"/>
          <w:szCs w:val="22"/>
          <w:color w:val="auto"/>
        </w:rPr>
      </w:pPr>
    </w:p>
    <w:p>
      <w:pPr>
        <w:ind w:left="480" w:hanging="478"/>
        <w:spacing w:after="0" w:line="258" w:lineRule="auto"/>
        <w:tabs>
          <w:tab w:leader="none" w:pos="4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“Chief Compliance Officer” means the Chief Compliance Officer of the Corporation (who also may serve as the compliance officer of the Adviser and/or one or more affiliates of the Adviser).</w:t>
      </w:r>
    </w:p>
    <w:p>
      <w:pPr>
        <w:spacing w:after="0" w:line="63" w:lineRule="exact"/>
        <w:rPr>
          <w:rFonts w:ascii="Times New Roman" w:cs="Times New Roman" w:eastAsia="Times New Roman" w:hAnsi="Times New Roman"/>
          <w:sz w:val="22"/>
          <w:szCs w:val="22"/>
          <w:color w:val="auto"/>
        </w:rPr>
      </w:pPr>
    </w:p>
    <w:p>
      <w:pPr>
        <w:ind w:left="480" w:hanging="478"/>
        <w:spacing w:after="0"/>
        <w:tabs>
          <w:tab w:leader="none" w:pos="4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“Control” shall have the same meaning as that set forth in Section 2(a)(9) of the Act.</w:t>
      </w:r>
    </w:p>
    <w:p>
      <w:pPr>
        <w:spacing w:after="0" w:line="98" w:lineRule="exact"/>
        <w:rPr>
          <w:rFonts w:ascii="Times New Roman" w:cs="Times New Roman" w:eastAsia="Times New Roman" w:hAnsi="Times New Roman"/>
          <w:sz w:val="22"/>
          <w:szCs w:val="22"/>
          <w:color w:val="auto"/>
        </w:rPr>
      </w:pPr>
    </w:p>
    <w:p>
      <w:pPr>
        <w:jc w:val="both"/>
        <w:ind w:left="480" w:hanging="478"/>
        <w:spacing w:after="0" w:line="248" w:lineRule="auto"/>
        <w:tabs>
          <w:tab w:leader="none" w:pos="48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“Covered Security” means a security as defined in Section 2(a)(36) of the Act, which includes: any note, stock, treasury stock, security future, bond, debenture, evidence of indebtedness, certificate of interest or participation in any profit-sharing agreement, collateral-trust certificate, pre-organization certificate or subscription, transferable share, investment contract, voting-trust certificate, certificate of deposit for a security, fractional undivided interest in oil, gas, or other mineral rights, any put, call, straddle, option, or privilege on any security (including a certificate of deposit) or on any group or index of securities (including any interest therein or based on the value thereof), or any put, call, straddle, option, or privilege entered into on a national securities exchange relating to foreign currency, or, in general, any interest or instrument commonly known as a “security,” or any certificate of interest or participation in, temporary or interim certificate for, receipt for, guarantee of, or warrant or right to subscribe to or purchase, any of the foregoing. However, a “Covered Security” does not include: (i) direct obligations of the Government of the United States; (ii) bankers’ acceptances, bank certificates of deposit, commercial paper and high quality short-term debt instruments, including repurchase agreements; and (iii) shares issued by open-end investment companies registered under the Act. References to a Covered Security in this Code (e.g., a prohibition or requirement applicable to the purchase or sale of a Covered Security) shall be deemed to refer to and to include any warrant for, option in, or security immediately convertible into that Covered Security, and shall also include any instrument that has an investment return or value that is based, in whole or in part, on that Covered Security (collectively, “Derivatives”). Therefore, except as otherwise specifically provided by this Code: (i) any prohibition or requirement of this Code applicable to the purchase or sale of a Covered Security shall also be applicable to the purchase or sale of a Derivative relating to that Covered Security; and (ii) any prohibition or requirement of this Code applicable to the purchase or sale of a</w:t>
      </w:r>
    </w:p>
    <w:p>
      <w:pPr>
        <w:spacing w:after="0" w:line="9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452755</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12" w:right="339" w:bottom="1440" w:gutter="0" w:footer="0" w:header="0"/>
        </w:sectPr>
      </w:pPr>
    </w:p>
    <w:bookmarkStart w:id="60" w:name="page61"/>
    <w:bookmarkEnd w:id="60"/>
    <w:p>
      <w:pPr>
        <w:ind w:left="860"/>
        <w:spacing w:after="0"/>
        <w:rPr>
          <w:sz w:val="20"/>
          <w:szCs w:val="20"/>
          <w:color w:val="auto"/>
        </w:rPr>
      </w:pPr>
      <w:r>
        <w:rPr>
          <w:rFonts w:ascii="Times New Roman" w:cs="Times New Roman" w:eastAsia="Times New Roman" w:hAnsi="Times New Roman"/>
          <w:sz w:val="22"/>
          <w:szCs w:val="22"/>
          <w:color w:val="auto"/>
        </w:rPr>
        <w:t>Derivative shall also be applicable to the purchase or sale of a Covered Security relating to that Derivative.</w:t>
      </w:r>
    </w:p>
    <w:p>
      <w:pPr>
        <w:spacing w:after="0" w:line="99" w:lineRule="exact"/>
        <w:rPr>
          <w:sz w:val="20"/>
          <w:szCs w:val="20"/>
          <w:color w:val="auto"/>
        </w:rPr>
      </w:pPr>
    </w:p>
    <w:p>
      <w:pPr>
        <w:ind w:left="860" w:hanging="478"/>
        <w:spacing w:after="0" w:line="271" w:lineRule="auto"/>
        <w:tabs>
          <w:tab w:leader="none" w:pos="8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“Independent Director” means a director of the Corporation who is not an “interested person” of the Corporation within the meaning of Section 2(a)(19) of the Act.</w:t>
      </w:r>
    </w:p>
    <w:p>
      <w:pPr>
        <w:spacing w:after="0" w:line="36" w:lineRule="exact"/>
        <w:rPr>
          <w:rFonts w:ascii="Times New Roman" w:cs="Times New Roman" w:eastAsia="Times New Roman" w:hAnsi="Times New Roman"/>
          <w:sz w:val="22"/>
          <w:szCs w:val="22"/>
          <w:color w:val="auto"/>
        </w:rPr>
      </w:pPr>
    </w:p>
    <w:p>
      <w:pPr>
        <w:jc w:val="both"/>
        <w:ind w:left="860" w:hanging="478"/>
        <w:spacing w:after="0" w:line="250" w:lineRule="auto"/>
        <w:tabs>
          <w:tab w:leader="none" w:pos="8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“Initial Public Offering” means an offering of securities registered under the Securities Act of 1933, as amended (the “1933 Act”), the issuer of which, immediately before the registration, was not subject to the reporting requirements of Sections 13 or 15(d) of the 1934 Act.</w:t>
      </w:r>
    </w:p>
    <w:p>
      <w:pPr>
        <w:spacing w:after="0" w:line="59" w:lineRule="exact"/>
        <w:rPr>
          <w:rFonts w:ascii="Times New Roman" w:cs="Times New Roman" w:eastAsia="Times New Roman" w:hAnsi="Times New Roman"/>
          <w:sz w:val="22"/>
          <w:szCs w:val="22"/>
          <w:color w:val="auto"/>
        </w:rPr>
      </w:pPr>
    </w:p>
    <w:p>
      <w:pPr>
        <w:ind w:left="860" w:hanging="478"/>
        <w:spacing w:after="0" w:line="271" w:lineRule="auto"/>
        <w:tabs>
          <w:tab w:leader="none" w:pos="8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“Limited Offering” means an offering that is exempt from registration under the 1933 Act pursuant to Section 4(2) or Section 4(6) thereof or pursuant to Rule 504, Rule 505, or Rule 506 thereunder.</w:t>
      </w:r>
    </w:p>
    <w:p>
      <w:pPr>
        <w:spacing w:after="0" w:line="36" w:lineRule="exact"/>
        <w:rPr>
          <w:rFonts w:ascii="Times New Roman" w:cs="Times New Roman" w:eastAsia="Times New Roman" w:hAnsi="Times New Roman"/>
          <w:sz w:val="22"/>
          <w:szCs w:val="22"/>
          <w:color w:val="auto"/>
        </w:rPr>
      </w:pPr>
    </w:p>
    <w:p>
      <w:pPr>
        <w:ind w:left="860" w:hanging="478"/>
        <w:spacing w:after="0" w:line="271" w:lineRule="auto"/>
        <w:tabs>
          <w:tab w:leader="none" w:pos="8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List” means the “Pipeline” report of potential investments combined with the current holdings of the clients. PennantPark Access Persons are restricted from trading any security on the Restricted List.</w:t>
      </w:r>
    </w:p>
    <w:p>
      <w:pPr>
        <w:spacing w:after="0" w:line="36" w:lineRule="exact"/>
        <w:rPr>
          <w:rFonts w:ascii="Times New Roman" w:cs="Times New Roman" w:eastAsia="Times New Roman" w:hAnsi="Times New Roman"/>
          <w:sz w:val="22"/>
          <w:szCs w:val="22"/>
          <w:color w:val="auto"/>
        </w:rPr>
      </w:pPr>
    </w:p>
    <w:p>
      <w:pPr>
        <w:ind w:left="860" w:hanging="478"/>
        <w:spacing w:after="0"/>
        <w:tabs>
          <w:tab w:leader="none" w:pos="86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“Security Held or to be Acquired” by the Corporation means: (i) any Covered Security which, within the most recent 15</w:t>
      </w:r>
    </w:p>
    <w:p>
      <w:pPr>
        <w:spacing w:after="0" w:line="25" w:lineRule="exact"/>
        <w:rPr>
          <w:rFonts w:ascii="Times New Roman" w:cs="Times New Roman" w:eastAsia="Times New Roman" w:hAnsi="Times New Roman"/>
          <w:sz w:val="21"/>
          <w:szCs w:val="21"/>
          <w:color w:val="auto"/>
        </w:rPr>
      </w:pPr>
    </w:p>
    <w:p>
      <w:pPr>
        <w:jc w:val="both"/>
        <w:ind w:left="860"/>
        <w:spacing w:after="0" w:line="23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days: (A) is or has been held by the Corporation; or (B) is being or has been considered by the Corporation or the Adviser for purchase by the Corporation; and (ii) any option to purchase or sell, and any security convertible into or exchangeable for, a Covered Security described in Section II (K)(i) of this Code.</w:t>
      </w:r>
    </w:p>
    <w:p>
      <w:pPr>
        <w:spacing w:after="0" w:line="70" w:lineRule="exact"/>
        <w:rPr>
          <w:rFonts w:ascii="Times New Roman" w:cs="Times New Roman" w:eastAsia="Times New Roman" w:hAnsi="Times New Roman"/>
          <w:sz w:val="21"/>
          <w:szCs w:val="21"/>
          <w:color w:val="auto"/>
        </w:rPr>
      </w:pPr>
    </w:p>
    <w:p>
      <w:pPr>
        <w:ind w:left="860" w:hanging="478"/>
        <w:spacing w:after="0"/>
        <w:tabs>
          <w:tab w:leader="none" w:pos="8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“17j-1 Organization” means the Corporation or the Adviser, as the context requires.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IIIObjective and General Prohibitions</w:t>
      </w:r>
    </w:p>
    <w:p>
      <w:pPr>
        <w:spacing w:after="0" w:line="1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Covered Personnel may not engage in any investment transaction under circumstances in which the Covered Personnel benefits from or interferes with the purchase or sale of investments by the Corporation. In addition, Covered Personnel may not use information concerning the investments or investment intentions of the Corporation, or their ability to influence such investment intentions, for personal gain or in a manner detrimental to the interests of the Corporation.</w:t>
      </w:r>
    </w:p>
    <w:p>
      <w:pPr>
        <w:spacing w:after="0" w:line="65"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2"/>
          <w:szCs w:val="22"/>
          <w:color w:val="auto"/>
        </w:rPr>
        <w:t>Covered Personnel may not engage in conduct that is deceitful, fraudulent or manipulative, or that involves false or misleading statements, in connection with the purchase or sale of investments by the Corporation. In this regard, Covered Personnel should recognize that Rule 17j-1 makes it unlawful for any affiliated person of the Corporation, or any affiliated person of an investment adviser for the Corporation, in connection with the purchase or sale, directly or indirectly, by the person of a Security Held or to be Acquired by the Corporation to:</w:t>
      </w:r>
    </w:p>
    <w:p>
      <w:pPr>
        <w:spacing w:after="0" w:line="69" w:lineRule="exact"/>
        <w:rPr>
          <w:sz w:val="20"/>
          <w:szCs w:val="20"/>
          <w:color w:val="auto"/>
        </w:rPr>
      </w:pPr>
    </w:p>
    <w:p>
      <w:pPr>
        <w:ind w:left="1140" w:hanging="383"/>
        <w:spacing w:after="0"/>
        <w:tabs>
          <w:tab w:leader="none" w:pos="11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 any device, scheme or artifice to defraud the Corporation;</w:t>
      </w:r>
    </w:p>
    <w:p>
      <w:pPr>
        <w:spacing w:after="0" w:line="111" w:lineRule="exact"/>
        <w:rPr>
          <w:rFonts w:ascii="Times New Roman" w:cs="Times New Roman" w:eastAsia="Times New Roman" w:hAnsi="Times New Roman"/>
          <w:sz w:val="22"/>
          <w:szCs w:val="22"/>
          <w:color w:val="auto"/>
        </w:rPr>
      </w:pPr>
    </w:p>
    <w:p>
      <w:pPr>
        <w:jc w:val="both"/>
        <w:ind w:left="1140" w:hanging="383"/>
        <w:spacing w:after="0" w:line="244" w:lineRule="auto"/>
        <w:tabs>
          <w:tab w:leader="none" w:pos="11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untrue statement of a material fact to the Corporation or omit to state to the Corporation a material fact necessary in order to make the statements made, in light of the circumstances under which they are made, not misleading;</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452755</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1" w:name="page62"/>
    <w:bookmarkEnd w:id="61"/>
    <w:p>
      <w:pPr>
        <w:ind w:left="1320" w:right="580" w:hanging="563"/>
        <w:spacing w:after="0" w:line="259" w:lineRule="auto"/>
        <w:tabs>
          <w:tab w:leader="none" w:pos="13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in any act, practice or course of business that operates or would operate as a fraud or deceit upon the Corporation; or</w:t>
      </w:r>
    </w:p>
    <w:p>
      <w:pPr>
        <w:spacing w:after="0" w:line="62" w:lineRule="exact"/>
        <w:rPr>
          <w:rFonts w:ascii="Times New Roman" w:cs="Times New Roman" w:eastAsia="Times New Roman" w:hAnsi="Times New Roman"/>
          <w:sz w:val="22"/>
          <w:szCs w:val="22"/>
          <w:color w:val="auto"/>
        </w:rPr>
      </w:pPr>
    </w:p>
    <w:p>
      <w:pPr>
        <w:ind w:left="1320" w:hanging="563"/>
        <w:spacing w:after="0"/>
        <w:tabs>
          <w:tab w:leader="none" w:pos="13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in any manipulative practice with respect to the Corporation.</w:t>
      </w:r>
    </w:p>
    <w:p>
      <w:pPr>
        <w:spacing w:after="0" w:line="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Covered Personnel should also recognize that a violation of this Code or of Rule 17j-1 may result in the imposition of:</w:t>
      </w:r>
    </w:p>
    <w:p>
      <w:pPr>
        <w:spacing w:after="0" w:line="28" w:lineRule="exact"/>
        <w:rPr>
          <w:sz w:val="20"/>
          <w:szCs w:val="20"/>
          <w:color w:val="auto"/>
        </w:rPr>
      </w:pPr>
    </w:p>
    <w:p>
      <w:pPr>
        <w:ind w:firstLine="8"/>
        <w:spacing w:after="0" w:line="237" w:lineRule="auto"/>
        <w:tabs>
          <w:tab w:leader="none" w:pos="31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sanctions as provided by Section VIII of this Code; or (2) administrative, civil and, in certain cases, criminal fines, sanctions or penalties.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IVPre-Clearance of Personal Account Transactions; Window Period to Trade PennantPark shares</w:t>
      </w:r>
    </w:p>
    <w:p>
      <w:pPr>
        <w:spacing w:after="0" w:line="11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Except as noted below, all Access Persons must obtain the prior written approval of the Managing Member (or such person as the Managing Member may designate) (“Approving Officer”) before engaging in any transaction in his or her Personal Account. The Approving Officer may approve the transaction if he concludes that the transaction would comply with the provisions of this Code and is not likely to have any adverse economic impact on clients. A request for preclearance must be made by email, with a copy to the Compliance Officer, in advance of the contemplated transaction. No particular form is required, but the email must include sufficient detail for the Approving Officer to decide if a trade is permissible and a statement that the Access Person has reviewed the Pipeline Report for any conflicts.</w:t>
      </w:r>
    </w:p>
    <w:p>
      <w:pPr>
        <w:spacing w:after="0" w:line="73" w:lineRule="exact"/>
        <w:rPr>
          <w:sz w:val="20"/>
          <w:szCs w:val="20"/>
          <w:color w:val="auto"/>
        </w:rPr>
      </w:pPr>
    </w:p>
    <w:p>
      <w:pPr>
        <w:ind w:left="760" w:right="1320"/>
        <w:spacing w:after="0" w:line="339" w:lineRule="auto"/>
        <w:rPr>
          <w:sz w:val="20"/>
          <w:szCs w:val="20"/>
          <w:color w:val="auto"/>
        </w:rPr>
      </w:pPr>
      <w:r>
        <w:rPr>
          <w:rFonts w:ascii="Times New Roman" w:cs="Times New Roman" w:eastAsia="Times New Roman" w:hAnsi="Times New Roman"/>
          <w:sz w:val="22"/>
          <w:szCs w:val="22"/>
          <w:color w:val="auto"/>
        </w:rPr>
        <w:t xml:space="preserve">Any approval given under this paragraph will be provided by email and will remain in effect for 72 hours. </w:t>
      </w:r>
      <w:r>
        <w:rPr>
          <w:rFonts w:ascii="Times New Roman" w:cs="Times New Roman" w:eastAsia="Times New Roman" w:hAnsi="Times New Roman"/>
          <w:sz w:val="22"/>
          <w:szCs w:val="22"/>
          <w:u w:val="single" w:color="auto"/>
          <w:color w:val="auto"/>
        </w:rPr>
        <w:t>Exceptions to the Pre-Clearance Requirement Policy,</w:t>
      </w:r>
    </w:p>
    <w:p>
      <w:pPr>
        <w:spacing w:after="0" w:line="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Access Persons will be allowed to trade securities of the Corporations during a “window period” that may be announced following the release of Corporations’ earnings release. If the window is opened for trading, it will begin no earlier than the second business day after a Corporation publicly releases quarterly or annual financial results and extends no later than (i) 30 calendar days after the release of results (29 calendar days in all) or (ii) in the case of either Corporation’s and the Adviser’s decision to buy or sell the applicable Corporation’s equity securities, the end of the quarterly period during which such financial results of such Corporation have been publicly released. Note that the ability of an officer, director or other Access Person to engage in transactions in the securities of a Corporation during a window period is not automatic or absolute because no trades may be made even during a window period by an individual who possesses material, nonpublic information about the Corporation, including any decision by the Corporation to buy or sell its own shares. Further, the window period may not open in a particular quarter, and it may be closed, as the case may be, prior to the expiration of 30 days or the applicable quarter end, in each case as events require.</w:t>
      </w:r>
    </w:p>
    <w:p>
      <w:pPr>
        <w:spacing w:after="0" w:line="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Additionally, Independent Directors are not required to seek preapproval for any transactions other than those which would trigger reporting requirements as set forth in Section VI (C) of this Code.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VProhibited Transactions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2" w:name="page63"/>
    <w:bookmarkEnd w:id="62"/>
    <w:p>
      <w:pPr>
        <w:jc w:val="both"/>
        <w:ind w:left="860" w:hanging="478"/>
        <w:spacing w:after="0"/>
        <w:tabs>
          <w:tab w:leader="none" w:pos="8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Access Person may not purchase or otherwise acquire direct or indirect Beneficial Ownership of any Covered Security on the Restricted List, and may not sell or otherwise dispose of any Covered Security on the Restricted List in which he or she has direct or indirect Beneficial Ownership, if he or she knows or should know at the time of entering into the transaction that: (1) the Corporation has purchased or sold the Covered Security within the last 15 calendar days, or is purchasing or selling or intends to purchase or sell the Covered Security in the next 15 calendar days; or (2) the Adviser has within the last 15 calendar days considered purchasing or selling the Covered Security for the Corporation or within the next 15 calendar days intend to consider purchasing or selling the Covered Security for the Corporation.</w:t>
      </w:r>
    </w:p>
    <w:p>
      <w:pPr>
        <w:spacing w:after="0" w:line="69" w:lineRule="exact"/>
        <w:rPr>
          <w:rFonts w:ascii="Times New Roman" w:cs="Times New Roman" w:eastAsia="Times New Roman" w:hAnsi="Times New Roman"/>
          <w:sz w:val="22"/>
          <w:szCs w:val="22"/>
          <w:color w:val="auto"/>
        </w:rPr>
      </w:pPr>
    </w:p>
    <w:p>
      <w:pPr>
        <w:jc w:val="both"/>
        <w:ind w:left="860" w:hanging="478"/>
        <w:spacing w:after="0" w:line="244" w:lineRule="auto"/>
        <w:tabs>
          <w:tab w:leader="none" w:pos="8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Every Advisory Person of the Corporation or the Adviser must obtain approval from the Corporation or the Adviser, as the case may be, before directly or indirectly acquiring Beneficial Ownership in any securities in an Initial Public Offering or in a Limited Offering. Such approval must be obtained from the Chief Compliance Officer, unless he is the person seeking such approval, in which case it must be obtained from the President of the 17j-1 Organization.</w:t>
      </w:r>
    </w:p>
    <w:p>
      <w:pPr>
        <w:spacing w:after="0" w:line="78" w:lineRule="exact"/>
        <w:rPr>
          <w:rFonts w:ascii="Times New Roman" w:cs="Times New Roman" w:eastAsia="Times New Roman" w:hAnsi="Times New Roman"/>
          <w:sz w:val="22"/>
          <w:szCs w:val="22"/>
          <w:color w:val="auto"/>
        </w:rPr>
      </w:pPr>
    </w:p>
    <w:p>
      <w:pPr>
        <w:jc w:val="both"/>
        <w:ind w:left="860" w:hanging="478"/>
        <w:spacing w:after="0" w:line="241" w:lineRule="auto"/>
        <w:tabs>
          <w:tab w:leader="none" w:pos="8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Access Person shall recommend any transaction in any Covered Securities by the Corporation without having disclosed to the Chief Compliance Officer his or her interest, if any, in such Covered Securities or the issuer thereof, including: the Access Person’s Beneficial Ownership of any Covered Securities of such issuer; any contemplated transaction by the Access Person in such Covered Securities; any position the Access Person has with such issuer; and any present or proposed business relationship between such issuer and the Access Person (or a party which the Access Person has a significant interest).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VIReports by Access Persons</w:t>
      </w:r>
    </w:p>
    <w:p>
      <w:pPr>
        <w:spacing w:after="0" w:line="1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(A)  Personal Securities Holdings Reports.</w:t>
      </w:r>
    </w:p>
    <w:p>
      <w:pPr>
        <w:spacing w:after="0" w:line="98"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All Access Persons shall within 10 days of the date on which they become Access Persons, and thereafter, within 30 days after the end of each calendar year, disclose the title, number of shares and principal amount of all Covered Securities in which they have a Beneficial Ownership as of the date the person became an Access Person, in the case of such person’s initial report, and as of the last day of the year, as to annual reports. A form of such report, which is hereinafter called a “Personal Securities Holdings Report,” is attached hereto as Schedule A. Each Personal Securities Holdings Report must also disclose the name of any broker, dealer or bank with whom the Access Person maintained an account in which any securities were held for the direct or indirect benefit of the Access Person as of the date the person became an Access Person or as of the last day of the year, as the case may be. Each Personal Securities Holdings Report shall state the date it is being submitted.</w:t>
      </w:r>
    </w:p>
    <w:p>
      <w:pPr>
        <w:spacing w:after="0" w:line="69" w:lineRule="exact"/>
        <w:rPr>
          <w:sz w:val="20"/>
          <w:szCs w:val="20"/>
          <w:color w:val="auto"/>
        </w:rPr>
      </w:pPr>
    </w:p>
    <w:p>
      <w:pPr>
        <w:ind w:left="380"/>
        <w:spacing w:after="0"/>
        <w:tabs>
          <w:tab w:leader="none" w:pos="84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Quarterly Transaction Reports.</w:t>
      </w:r>
    </w:p>
    <w:p>
      <w:pPr>
        <w:spacing w:after="0" w:line="112"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Within 30 days after the end of each calendar quarter, each Access Person shall make a written report to the Chief Compliance Officer of all transactions occurring in the quarter in a</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452755</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3" w:name="page64"/>
    <w:bookmarkEnd w:id="63"/>
    <w:p>
      <w:pPr>
        <w:spacing w:after="0" w:line="259" w:lineRule="auto"/>
        <w:rPr>
          <w:sz w:val="20"/>
          <w:szCs w:val="20"/>
          <w:color w:val="auto"/>
        </w:rPr>
      </w:pPr>
      <w:r>
        <w:rPr>
          <w:rFonts w:ascii="Times New Roman" w:cs="Times New Roman" w:eastAsia="Times New Roman" w:hAnsi="Times New Roman"/>
          <w:sz w:val="22"/>
          <w:szCs w:val="22"/>
          <w:color w:val="auto"/>
        </w:rPr>
        <w:t>Covered Security in which he or she had any Beneficial Ownership. A form of such report, which is hereinafter called a “Quarterly Securities Transaction Report,” is attached hereto as Schedule B.</w:t>
      </w:r>
    </w:p>
    <w:p>
      <w:pPr>
        <w:spacing w:after="0" w:line="6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A Quarterly Securities Transaction Report shall be in the form of Schedule B or such other form approved by the Chief Compliance Officer and must contain the following information with respect to each reportable transaction:</w:t>
      </w:r>
    </w:p>
    <w:p>
      <w:pPr>
        <w:spacing w:after="0" w:line="64" w:lineRule="exact"/>
        <w:rPr>
          <w:sz w:val="20"/>
          <w:szCs w:val="20"/>
          <w:color w:val="auto"/>
        </w:rPr>
      </w:pPr>
    </w:p>
    <w:p>
      <w:pPr>
        <w:ind w:left="1140" w:hanging="383"/>
        <w:spacing w:after="0"/>
        <w:tabs>
          <w:tab w:leader="none" w:pos="114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Date and nature of the transaction (purchase, sale or any other type of acquisition or disposition);</w:t>
      </w:r>
    </w:p>
    <w:p>
      <w:pPr>
        <w:spacing w:after="0" w:line="98"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interest rate and maturity date (if applicable), number of shares and principal amount of each Covered Security involved and the price of the Covered Security at which the transaction was effected;</w:t>
      </w:r>
    </w:p>
    <w:p>
      <w:pPr>
        <w:spacing w:after="0" w:line="63"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the broker, dealer or bank with or through whom the transaction was effected; and</w:t>
      </w:r>
    </w:p>
    <w:p>
      <w:pPr>
        <w:spacing w:after="0" w:line="9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the report is submitted by the Access Person.</w:t>
      </w:r>
    </w:p>
    <w:p>
      <w:pPr>
        <w:spacing w:after="0" w:line="111" w:lineRule="exact"/>
        <w:rPr>
          <w:rFonts w:ascii="Times New Roman" w:cs="Times New Roman" w:eastAsia="Times New Roman" w:hAnsi="Times New Roman"/>
          <w:sz w:val="22"/>
          <w:szCs w:val="22"/>
          <w:color w:val="auto"/>
        </w:rPr>
      </w:pPr>
    </w:p>
    <w:p>
      <w:pPr>
        <w:ind w:left="860" w:hanging="478"/>
        <w:spacing w:after="0"/>
        <w:tabs>
          <w:tab w:leader="none" w:pos="8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Independent Directors.</w:t>
      </w:r>
    </w:p>
    <w:p>
      <w:pPr>
        <w:spacing w:after="0" w:line="98"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color w:val="auto"/>
        </w:rPr>
        <w:t>Notwithstanding the reporting requirements set forth in this Section V, an Independent Director who would be required to make a report under this Section V solely by reason of being a director of the Corporation is not required to file a Personal Securities Holding Report upon becoming a director of the Corporation or an annual Personal Securities Holding Report. Such an Independent Director also need not file a Quarterly Securities Transaction Report unless such director knew or, in the ordinary course of fulfilling his or her official duties as a director of the Corporation, should have known that during the 15-day period immediately preceding or after the date of the transaction in a Covered Security by the director such Covered Security is or was purchased or sold by the Corporation or the Corporation or the Adviser considered purchasing or selling such Covered Security.</w:t>
      </w:r>
    </w:p>
    <w:p>
      <w:pPr>
        <w:spacing w:after="0" w:line="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(D)  Access Persons of the Adviser.</w:t>
      </w:r>
    </w:p>
    <w:p>
      <w:pPr>
        <w:spacing w:after="0" w:line="9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An Access Person of the Adviser need not make a Quarterly Transaction Report if all of the information in the report would duplicate information required to be recorded pursuant to Rules 204-2(a)(12) or (13) under the Advisers Act.</w:t>
      </w:r>
    </w:p>
    <w:p>
      <w:pPr>
        <w:spacing w:after="0" w:line="64" w:lineRule="exact"/>
        <w:rPr>
          <w:sz w:val="20"/>
          <w:szCs w:val="20"/>
          <w:color w:val="auto"/>
        </w:rPr>
      </w:pPr>
    </w:p>
    <w:p>
      <w:pPr>
        <w:ind w:left="380"/>
        <w:spacing w:after="0"/>
        <w:tabs>
          <w:tab w:leader="none" w:pos="84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1"/>
          <w:szCs w:val="21"/>
          <w:color w:val="auto"/>
        </w:rPr>
        <w:t>Brokerage Accounts and Statements.</w:t>
      </w:r>
    </w:p>
    <w:p>
      <w:pPr>
        <w:spacing w:after="0" w:line="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Access Persons, except Independent Directors, shall:</w:t>
      </w:r>
    </w:p>
    <w:p>
      <w:pPr>
        <w:spacing w:after="0" w:line="112" w:lineRule="exact"/>
        <w:rPr>
          <w:sz w:val="20"/>
          <w:szCs w:val="20"/>
          <w:color w:val="auto"/>
        </w:rPr>
      </w:pPr>
    </w:p>
    <w:p>
      <w:pPr>
        <w:jc w:val="both"/>
        <w:ind w:left="1140" w:hanging="383"/>
        <w:spacing w:after="0" w:line="244" w:lineRule="auto"/>
        <w:tabs>
          <w:tab w:leader="none" w:pos="114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10 days after the end of each calendar quarter, identify the name of the broker, dealer or bank with whom the Access Person established an account in which any securities were held during the quarter for the direct or indirect benefit of the Access Person and identify any new account(s) and the date the account(s) were established. This information shall be included on the appropriate Quarterly Securities Transaction Report.</w:t>
      </w:r>
    </w:p>
    <w:p>
      <w:pPr>
        <w:spacing w:after="0" w:line="64" w:lineRule="exact"/>
        <w:rPr>
          <w:rFonts w:ascii="Times New Roman" w:cs="Times New Roman" w:eastAsia="Times New Roman" w:hAnsi="Times New Roman"/>
          <w:sz w:val="22"/>
          <w:szCs w:val="22"/>
          <w:color w:val="auto"/>
        </w:rPr>
      </w:pPr>
    </w:p>
    <w:p>
      <w:pPr>
        <w:ind w:left="1140" w:hanging="383"/>
        <w:spacing w:after="0" w:line="271" w:lineRule="auto"/>
        <w:tabs>
          <w:tab w:leader="none" w:pos="114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instruct the brokers, dealers or banks with whom they maintain such an account to provide duplicate account statements to the Chief Compliance Officer.</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452755</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4" w:name="page65"/>
    <w:bookmarkEnd w:id="64"/>
    <w:p>
      <w:pPr>
        <w:ind w:left="1140" w:hanging="383"/>
        <w:spacing w:after="0"/>
        <w:tabs>
          <w:tab w:leader="none" w:pos="114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 annual basis, certify that they have complied with the requirements of (1) and (2) above.</w:t>
      </w:r>
    </w:p>
    <w:p>
      <w:pPr>
        <w:spacing w:after="0" w:line="98" w:lineRule="exact"/>
        <w:rPr>
          <w:rFonts w:ascii="Times New Roman" w:cs="Times New Roman" w:eastAsia="Times New Roman" w:hAnsi="Times New Roman"/>
          <w:sz w:val="22"/>
          <w:szCs w:val="22"/>
          <w:color w:val="auto"/>
        </w:rPr>
      </w:pPr>
    </w:p>
    <w:p>
      <w:pPr>
        <w:ind w:left="860" w:hanging="478"/>
        <w:spacing w:after="0"/>
        <w:tabs>
          <w:tab w:leader="none" w:pos="8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of Reports.</w:t>
      </w:r>
    </w:p>
    <w:p>
      <w:pPr>
        <w:spacing w:after="0" w:line="112" w:lineRule="exact"/>
        <w:rPr>
          <w:sz w:val="20"/>
          <w:szCs w:val="20"/>
          <w:color w:val="auto"/>
        </w:rPr>
      </w:pPr>
    </w:p>
    <w:p>
      <w:pPr>
        <w:jc w:val="both"/>
        <w:ind w:right="20" w:firstLine="749"/>
        <w:spacing w:after="0" w:line="250" w:lineRule="auto"/>
        <w:rPr>
          <w:sz w:val="20"/>
          <w:szCs w:val="20"/>
          <w:color w:val="auto"/>
        </w:rPr>
      </w:pPr>
      <w:r>
        <w:rPr>
          <w:rFonts w:ascii="Times New Roman" w:cs="Times New Roman" w:eastAsia="Times New Roman" w:hAnsi="Times New Roman"/>
          <w:sz w:val="22"/>
          <w:szCs w:val="22"/>
          <w:color w:val="auto"/>
        </w:rPr>
        <w:t>A Quarterly Securities Transaction Report may consist of broker statements or other statements that provide a list of all personal Covered Securities holdings and transactions in the time period covered by the report and contain the information required in a Quarterly Securities Transaction Report.</w:t>
      </w:r>
    </w:p>
    <w:p>
      <w:pPr>
        <w:spacing w:after="0" w:line="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  Responsibility to Report.</w:t>
      </w:r>
    </w:p>
    <w:p>
      <w:pPr>
        <w:spacing w:after="0" w:line="98"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2"/>
          <w:szCs w:val="22"/>
          <w:color w:val="auto"/>
        </w:rPr>
        <w:t>It is the responsibility of each Access Person to take the initiative to comply with the requirements of this Section VI. Any effort by the Corporation, or by the Adviser and its affiliates, to facilitate the reporting process does not change or alter that responsibility. A person need not make a report hereunder with respect to transactions effected for, and Covered Securities held in, any account over which the person has no direct or indirect influence or control.</w:t>
      </w:r>
    </w:p>
    <w:p>
      <w:pPr>
        <w:spacing w:after="0" w:line="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(H)  Where to File Reports.</w:t>
      </w:r>
    </w:p>
    <w:p>
      <w:pPr>
        <w:spacing w:after="0" w:line="98"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2"/>
          <w:szCs w:val="22"/>
          <w:color w:val="auto"/>
        </w:rPr>
        <w:t>All Quarterly Securities Transaction Reports and Personal Securities Holdings Reports must be filed with the Chief Compliance Officer.</w:t>
      </w:r>
    </w:p>
    <w:p>
      <w:pPr>
        <w:spacing w:after="0" w:line="36" w:lineRule="exact"/>
        <w:rPr>
          <w:sz w:val="20"/>
          <w:szCs w:val="20"/>
          <w:color w:val="auto"/>
        </w:rPr>
      </w:pPr>
    </w:p>
    <w:p>
      <w:pPr>
        <w:ind w:left="860" w:hanging="478"/>
        <w:spacing w:after="0"/>
        <w:tabs>
          <w:tab w:leader="none" w:pos="8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Disclaimers.</w:t>
      </w:r>
    </w:p>
    <w:p>
      <w:pPr>
        <w:spacing w:after="0" w:line="98"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1"/>
          <w:szCs w:val="21"/>
          <w:color w:val="auto"/>
        </w:rPr>
        <w:t>Any report required by this Section VI may contain a statement that the report will not be construed as an admission that the person making the report has any direct or indirect Beneficial Ownership in the Covered, Security to which the report relates.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VIIAdditional Prohibitions</w:t>
      </w:r>
    </w:p>
    <w:p>
      <w:pPr>
        <w:spacing w:after="0" w:line="1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(A)  Confidentiality of the Corporation’s Transactions.</w:t>
      </w:r>
    </w:p>
    <w:p>
      <w:pPr>
        <w:spacing w:after="0" w:line="98"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2"/>
          <w:szCs w:val="22"/>
          <w:color w:val="auto"/>
        </w:rPr>
        <w:t>Until disclosed in a public report to shareholders or to the Securities and Exchange Commission (the “SEC”) in the normal course, all information concerning the securities “being considered for purchase or sale” by the Corporation shall be kept confidential by all Covered Personnel and disclosed by them only on a “need to know” basis. It shall be the responsibility of the Chief Compliance Officer to report any inadequacy found in this regard to the directors of the Corporation.</w:t>
      </w:r>
    </w:p>
    <w:p>
      <w:pPr>
        <w:spacing w:after="0" w:line="61" w:lineRule="exact"/>
        <w:rPr>
          <w:sz w:val="20"/>
          <w:szCs w:val="20"/>
          <w:color w:val="auto"/>
        </w:rPr>
      </w:pPr>
    </w:p>
    <w:p>
      <w:pPr>
        <w:ind w:left="380"/>
        <w:spacing w:after="0"/>
        <w:tabs>
          <w:tab w:leader="none" w:pos="84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Outside Business Activities and Directorships.</w:t>
      </w:r>
    </w:p>
    <w:p>
      <w:pPr>
        <w:spacing w:after="0" w:line="98"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2"/>
          <w:szCs w:val="22"/>
          <w:color w:val="auto"/>
        </w:rPr>
        <w:t>Access Persons may not engage in any outside business activities that may give rise to conflicts of interest or jeopardize the integrity or reputation of the Corporation. Similarly, no such outside business activities may be inconsistent with the interests of the Corporation. All directorships of public or private companies held by Access Persons shall be reported to the Chief Compliance Officer.</w:t>
      </w:r>
    </w:p>
    <w:p>
      <w:pPr>
        <w:spacing w:after="0" w:line="61" w:lineRule="exact"/>
        <w:rPr>
          <w:sz w:val="20"/>
          <w:szCs w:val="20"/>
          <w:color w:val="auto"/>
        </w:rPr>
      </w:pPr>
    </w:p>
    <w:p>
      <w:pPr>
        <w:ind w:left="380"/>
        <w:spacing w:after="0"/>
        <w:tabs>
          <w:tab w:leader="none" w:pos="84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Gratuities.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5" w:name="page66"/>
    <w:bookmarkEnd w:id="65"/>
    <w:p>
      <w:pPr>
        <w:jc w:val="both"/>
        <w:ind w:firstLine="749"/>
        <w:spacing w:after="0" w:line="251" w:lineRule="auto"/>
        <w:rPr>
          <w:sz w:val="20"/>
          <w:szCs w:val="20"/>
          <w:color w:val="auto"/>
        </w:rPr>
      </w:pPr>
      <w:r>
        <w:rPr>
          <w:rFonts w:ascii="Times New Roman" w:cs="Times New Roman" w:eastAsia="Times New Roman" w:hAnsi="Times New Roman"/>
          <w:sz w:val="22"/>
          <w:szCs w:val="22"/>
          <w:color w:val="auto"/>
        </w:rPr>
        <w:t>Covered Personnel shall not, directly or indirectly, take, accept or receive gifts or other consideration in merchandise, services or otherwise of more than nominal value from any person, firm, corporation, association or other entity other than such person’s employer that does business, or proposes to do business, with the Corporation.</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VIIIProhibition Against Insider Trading</w:t>
      </w:r>
    </w:p>
    <w:p>
      <w:pPr>
        <w:spacing w:after="0" w:line="102"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This Section is intended to satisfy the requirements of Section 204A of the Advisers Act, which is applicable to the Adviser and requires that the Adviser establish and enforce procedures designed to prevent the misuse of material, non-public information by its associated persons. It applies to all Advisory Persons. Trading securities while in possession of material, non-public information, or improperly communicating that information to others, may expose an Advisory Person to severe penalties. Criminal sanctions may include a fine of up to $1,000,000 and/or ten years imprisonment. The SEC can recover the profits gained or losses avoided through the violative trading, a penalty of up to three times the illicit windfall, and an order permanently barring an Advisory Person from the securities industry. Finally, an Advisory Person may be sued by investors seeking to recover damages for insider trading violations.</w:t>
      </w:r>
    </w:p>
    <w:p>
      <w:pPr>
        <w:spacing w:after="0" w:line="69" w:lineRule="exact"/>
        <w:rPr>
          <w:sz w:val="20"/>
          <w:szCs w:val="20"/>
          <w:color w:val="auto"/>
        </w:rPr>
      </w:pPr>
    </w:p>
    <w:p>
      <w:pPr>
        <w:jc w:val="both"/>
        <w:ind w:left="860" w:hanging="478"/>
        <w:spacing w:after="0" w:line="250" w:lineRule="auto"/>
        <w:tabs>
          <w:tab w:leader="none" w:pos="8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Advisory Person may trade a security, either personally or on behalf of any other person or account (including any fund), while in possession of material, non-public information concerning that security or the issuer thereof, nor may any Advisory Person communicate material, non-public information to others in violation of the law.</w:t>
      </w:r>
    </w:p>
    <w:p>
      <w:pPr>
        <w:spacing w:after="0" w:line="59" w:lineRule="exact"/>
        <w:rPr>
          <w:rFonts w:ascii="Times New Roman" w:cs="Times New Roman" w:eastAsia="Times New Roman" w:hAnsi="Times New Roman"/>
          <w:sz w:val="22"/>
          <w:szCs w:val="22"/>
          <w:color w:val="auto"/>
        </w:rPr>
      </w:pPr>
    </w:p>
    <w:p>
      <w:pPr>
        <w:jc w:val="both"/>
        <w:ind w:left="860" w:hanging="478"/>
        <w:spacing w:after="0" w:line="239" w:lineRule="auto"/>
        <w:tabs>
          <w:tab w:leader="none" w:pos="8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is “material” where there is a substantial likelihood that a reasonable investor would consider it important in making his or her investment decisions. Generally, this includes any information the disclosure of which will have a substantial effect on the price of a security. No simple test exists to determine when information is material; assessments of materiality involve a highly fact specific inquiry. For this reason, an Advisory Person should direct any questions about whether information is material to the Chief Compliance Officer. Material information often relates to a company’s results and operations, including, for example, dividend changes, earnings results, changes in previously released earnings estimates, significant merger or acquisition proposals or agreements, major litigation, liquidation problems, and extraordinary management developments. Material information may also relate to the market for a company’s securities. Information about a significant order to purchase or sell Securities may, in some contexts, be material. Pre-publication information regarding reports in the financial press may also be material.</w:t>
      </w:r>
    </w:p>
    <w:p>
      <w:pPr>
        <w:spacing w:after="0" w:line="72" w:lineRule="exact"/>
        <w:rPr>
          <w:rFonts w:ascii="Times New Roman" w:cs="Times New Roman" w:eastAsia="Times New Roman" w:hAnsi="Times New Roman"/>
          <w:sz w:val="22"/>
          <w:szCs w:val="22"/>
          <w:color w:val="auto"/>
        </w:rPr>
      </w:pPr>
    </w:p>
    <w:p>
      <w:pPr>
        <w:jc w:val="both"/>
        <w:ind w:left="860" w:hanging="478"/>
        <w:spacing w:after="0" w:line="244" w:lineRule="auto"/>
        <w:tabs>
          <w:tab w:leader="none" w:pos="8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is “public” when it has been disseminated broadly to investors in the marketplace. For example, information is public after it has become available to the general public through a public filing with the SEC or some other government agency, the Dow Jones “tape” or The Wall Street Journal or some other publication of general circulation, and after sufficient time has passed so that the information has been disseminated widely.</w:t>
      </w:r>
    </w:p>
    <w:p>
      <w:pPr>
        <w:spacing w:after="0" w:line="78" w:lineRule="exact"/>
        <w:rPr>
          <w:rFonts w:ascii="Times New Roman" w:cs="Times New Roman" w:eastAsia="Times New Roman" w:hAnsi="Times New Roman"/>
          <w:sz w:val="22"/>
          <w:szCs w:val="22"/>
          <w:color w:val="auto"/>
        </w:rPr>
      </w:pPr>
    </w:p>
    <w:p>
      <w:pPr>
        <w:ind w:left="860" w:hanging="478"/>
        <w:spacing w:after="0" w:line="258" w:lineRule="auto"/>
        <w:tabs>
          <w:tab w:leader="none" w:pos="8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Advisory Person, before executing any trade for himself or herself, or others, including the Corporation or other accounts managed by the Adviser or by a stockholder of the</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452755</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6" w:name="page67"/>
    <w:bookmarkEnd w:id="66"/>
    <w:p>
      <w:pPr>
        <w:jc w:val="both"/>
        <w:ind w:left="860"/>
        <w:spacing w:after="0" w:line="251" w:lineRule="auto"/>
        <w:rPr>
          <w:sz w:val="20"/>
          <w:szCs w:val="20"/>
          <w:color w:val="auto"/>
        </w:rPr>
      </w:pPr>
      <w:r>
        <w:rPr>
          <w:rFonts w:ascii="Times New Roman" w:cs="Times New Roman" w:eastAsia="Times New Roman" w:hAnsi="Times New Roman"/>
          <w:sz w:val="22"/>
          <w:szCs w:val="22"/>
          <w:color w:val="auto"/>
        </w:rPr>
        <w:t>Adviser, or any affiliate of the stockholder (collectively, “Client Accounts”), must determine whether he or she has material, non-public information. Any Advisory Person who believes he or she is in possession of material, non-public information must take the following steps:</w:t>
      </w:r>
    </w:p>
    <w:p>
      <w:pPr>
        <w:spacing w:after="0" w:line="57" w:lineRule="exact"/>
        <w:rPr>
          <w:sz w:val="20"/>
          <w:szCs w:val="20"/>
          <w:color w:val="auto"/>
        </w:rPr>
      </w:pPr>
    </w:p>
    <w:p>
      <w:pPr>
        <w:ind w:left="1140" w:hanging="383"/>
        <w:spacing w:after="0"/>
        <w:tabs>
          <w:tab w:leader="none" w:pos="11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Report the information and proposed trade immediately to the Chief Compliance Officer.</w:t>
      </w:r>
    </w:p>
    <w:p>
      <w:pPr>
        <w:spacing w:after="0" w:line="111"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not purchase or sell the securities on behalf of anyone, including Client Accounts.</w:t>
      </w:r>
    </w:p>
    <w:p>
      <w:pPr>
        <w:spacing w:after="0" w:line="9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not communicate the information to any person, other than to the Chief Compliance Officer.</w:t>
      </w:r>
    </w:p>
    <w:p>
      <w:pPr>
        <w:spacing w:after="0" w:line="9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After the Chief Compliance Officer has reviewed the issue, the Chief Compliance Officer will determine whether the information is material and non-public and, if so, what action the Advisory Person should take. An Advisory Person must consult with the Chief Compliance Officer before taking any further action. This degree of caution will protect the Advisory Person and the Adviser.</w:t>
      </w:r>
    </w:p>
    <w:p>
      <w:pPr>
        <w:spacing w:after="0" w:line="61" w:lineRule="exact"/>
        <w:rPr>
          <w:sz w:val="20"/>
          <w:szCs w:val="20"/>
          <w:color w:val="auto"/>
        </w:rPr>
      </w:pPr>
    </w:p>
    <w:p>
      <w:pPr>
        <w:jc w:val="both"/>
        <w:ind w:left="860" w:hanging="478"/>
        <w:spacing w:after="0" w:line="238" w:lineRule="auto"/>
        <w:tabs>
          <w:tab w:leader="none" w:pos="8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prevent and detect insider trading from occurring, the Chief Compliance Officer shall prepare and maintain a “Restricted List” in order to monitor and prevent the occurrence of insider trading in certain securities that Access Persons are prohibited or restricted from trading. The Chief Compliance Officer manages, maintains and updates the Restricted List to actually restrict trading (no buying, no selling, no shorting, no trading, etc.) in the securities of specific issuers for personal accounts and on behalf Adviser’s clients. Before executing any trade for himself or herself, Advisory Persons are required to determine whether the transaction involves a security on the Restricted List. Advisory Persons are prohibited from trading any security which appears on the Restricted List, except that, with prior approval, an Advisory Person may sell securities which were not on the Restricted List when acquired (or which were acquired at a time when the Advisory Person was not subject to such restrictions). The Restricted List must be maintained strictly confidential and not disclosed to anyone outside of the Adviser and the Corporation.</w:t>
      </w:r>
    </w:p>
    <w:p>
      <w:pPr>
        <w:spacing w:after="0" w:line="83" w:lineRule="exact"/>
        <w:rPr>
          <w:rFonts w:ascii="Times New Roman" w:cs="Times New Roman" w:eastAsia="Times New Roman" w:hAnsi="Times New Roman"/>
          <w:sz w:val="22"/>
          <w:szCs w:val="22"/>
          <w:color w:val="auto"/>
        </w:rPr>
      </w:pPr>
    </w:p>
    <w:p>
      <w:pPr>
        <w:jc w:val="both"/>
        <w:ind w:left="860" w:hanging="478"/>
        <w:spacing w:after="0" w:line="253" w:lineRule="auto"/>
        <w:tabs>
          <w:tab w:leader="none" w:pos="86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Contacts with public companies will sometimes be a part of an Adviser’s research efforts. Persons providing investment advisory services to the Corporation may make investment decisions on the basis of conclusions formed through such contacts and analysis of publicly available information. Difficult legal issues arise, however, when, in the course of these contacts, an Advisory Person becomes aware of material, non-public information. This could happen, for example, if a company’s chief financial officer prematurely discloses quarterly results to an analyst, or an investor relations representative makes selective disclosure of adverse news to a handful of investors. In such situations, the Adviser must make a judgment as to its further conduct. To protect yourself, clients and the Adviser, you should contact the Chief Compliance Officer immediately if you believe that you may have received material, non-public information.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IXAnnual Certification</w:t>
      </w:r>
    </w:p>
    <w:p>
      <w:pPr>
        <w:spacing w:after="0" w:line="1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(A)  Access Persons.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7" w:name="page68"/>
    <w:bookmarkEnd w:id="67"/>
    <w:p>
      <w:pPr>
        <w:jc w:val="both"/>
        <w:ind w:firstLine="749"/>
        <w:spacing w:after="0" w:line="251" w:lineRule="auto"/>
        <w:rPr>
          <w:sz w:val="20"/>
          <w:szCs w:val="20"/>
          <w:color w:val="auto"/>
        </w:rPr>
      </w:pPr>
      <w:r>
        <w:rPr>
          <w:rFonts w:ascii="Times New Roman" w:cs="Times New Roman" w:eastAsia="Times New Roman" w:hAnsi="Times New Roman"/>
          <w:sz w:val="22"/>
          <w:szCs w:val="22"/>
          <w:color w:val="auto"/>
        </w:rPr>
        <w:t>Access Persons who are directors, managers, officers or employees of the Corporation or the Adviser shall be required to certify annually that they have read this Code and that they understand it and recognize that they are subject to it. Further, such Access Persons shall be required to certify annually that they have complied with the requirements of this Code.</w:t>
      </w:r>
    </w:p>
    <w:p>
      <w:pPr>
        <w:spacing w:after="0" w:line="57" w:lineRule="exact"/>
        <w:rPr>
          <w:sz w:val="20"/>
          <w:szCs w:val="20"/>
          <w:color w:val="auto"/>
        </w:rPr>
      </w:pPr>
    </w:p>
    <w:p>
      <w:pPr>
        <w:ind w:left="380"/>
        <w:spacing w:after="0"/>
        <w:tabs>
          <w:tab w:leader="none" w:pos="84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Board Review.</w:t>
      </w:r>
    </w:p>
    <w:p>
      <w:pPr>
        <w:spacing w:after="0" w:line="112"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No less frequently than annually, the Corporation and the Adviser must furnish to the Corporation’s board of directors, and the board must consider, a written report that: (1) describes any issues arising under this Code or procedures since the last report to the board, including, but not limited to, information about material violations of this Code or procedures and sanctions imposed in response to material violations; and (2) certifies that the Corporation or the Adviser, as applicable, has adopted procedures reasonably necessary to prevent Access Persons from violating this Code.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XSanctions</w:t>
      </w:r>
    </w:p>
    <w:p>
      <w:pPr>
        <w:spacing w:after="0" w:line="102"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Any violation of this Code shall be subject to the imposition of such sanctions by the 17j-1 Organization as may be deemed appropriate under the circumstances to achieve the purposes of Rule 17j-1 and this Code. The sanctions to be imposed shall be determined by the board of directors, including a majority of the Independent Directors, provided, however, that with respect to violations by persons who are directors, managers, officers or employees of the Adviser (or of a company that controls the Adviser), the sanctions to be imposed shall be determined by the Adviser (or the controlling person thereof). Sanctions may include, but are not limited to, suspension or termination of employment, a letter of censure and/or restitution of an amount equal to the difference between the price paid or received by the Corporation and the more advantageous price paid or received by the offending person.</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XIAdministration and Construction</w:t>
      </w:r>
    </w:p>
    <w:p>
      <w:pPr>
        <w:spacing w:after="0" w:line="102" w:lineRule="exact"/>
        <w:rPr>
          <w:sz w:val="20"/>
          <w:szCs w:val="20"/>
          <w:color w:val="auto"/>
        </w:rPr>
      </w:pPr>
    </w:p>
    <w:p>
      <w:pPr>
        <w:ind w:left="860" w:hanging="478"/>
        <w:spacing w:after="0"/>
        <w:tabs>
          <w:tab w:leader="none" w:pos="8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administration of this Code shall be the responsibility of the Chief Compliance Officer.</w:t>
      </w:r>
    </w:p>
    <w:p>
      <w:pPr>
        <w:spacing w:after="0" w:line="111" w:lineRule="exact"/>
        <w:rPr>
          <w:rFonts w:ascii="Times New Roman" w:cs="Times New Roman" w:eastAsia="Times New Roman" w:hAnsi="Times New Roman"/>
          <w:sz w:val="22"/>
          <w:szCs w:val="22"/>
          <w:color w:val="auto"/>
        </w:rPr>
      </w:pPr>
    </w:p>
    <w:p>
      <w:pPr>
        <w:ind w:left="860" w:hanging="478"/>
        <w:spacing w:after="0"/>
        <w:tabs>
          <w:tab w:leader="none" w:pos="8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duties of the Chief Compliance Officer are as follows:</w:t>
      </w:r>
    </w:p>
    <w:p>
      <w:pPr>
        <w:spacing w:after="0" w:line="98" w:lineRule="exact"/>
        <w:rPr>
          <w:rFonts w:ascii="Times New Roman" w:cs="Times New Roman" w:eastAsia="Times New Roman" w:hAnsi="Times New Roman"/>
          <w:sz w:val="22"/>
          <w:szCs w:val="22"/>
          <w:color w:val="auto"/>
        </w:rPr>
      </w:pPr>
    </w:p>
    <w:p>
      <w:pPr>
        <w:jc w:val="both"/>
        <w:ind w:left="1140" w:hanging="383"/>
        <w:spacing w:after="0" w:line="244" w:lineRule="auto"/>
        <w:tabs>
          <w:tab w:leader="none" w:pos="114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Continuous maintenance of a current list of the names of all Access Persons with an appropriate description of their title or employment, including a notation of any directorships held by Access Persons who are officers or employees of the Adviser or of any company that controls the Adviser, and informing all Access Persons of their reporting obligations hereunder;</w:t>
      </w:r>
    </w:p>
    <w:p>
      <w:pPr>
        <w:spacing w:after="0" w:line="78"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 annual basis, providing all Covered Personnel a copy of this Code and informing such persons of their duties and obligations hereunder including any supplemental training that may be required from time to time;</w:t>
      </w:r>
    </w:p>
    <w:p>
      <w:pPr>
        <w:spacing w:after="0" w:line="50"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Maintaining or supervising the maintenance of all records and reports required by this Code;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452755</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8" w:name="page69"/>
    <w:bookmarkEnd w:id="68"/>
    <w:p>
      <w:pPr>
        <w:jc w:val="both"/>
        <w:ind w:left="760" w:hanging="383"/>
        <w:spacing w:after="0" w:line="251" w:lineRule="auto"/>
        <w:tabs>
          <w:tab w:leader="none" w:pos="76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Preparing listings of all transactions effected by Access Persons who are subject to the requirement to file Quarterly Securities Transaction Reports and reviewing such transactions against a listing of all transactions effected by the Corporation;</w:t>
      </w:r>
    </w:p>
    <w:p>
      <w:pPr>
        <w:spacing w:after="0" w:line="57" w:lineRule="exact"/>
        <w:rPr>
          <w:rFonts w:ascii="Times New Roman" w:cs="Times New Roman" w:eastAsia="Times New Roman" w:hAnsi="Times New Roman"/>
          <w:sz w:val="22"/>
          <w:szCs w:val="22"/>
          <w:color w:val="auto"/>
        </w:rPr>
      </w:pPr>
    </w:p>
    <w:p>
      <w:pPr>
        <w:ind w:left="760" w:hanging="383"/>
        <w:spacing w:after="0" w:line="271" w:lineRule="auto"/>
        <w:tabs>
          <w:tab w:leader="none" w:pos="76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Issuance either personally or with the assistance of counsel as may be appropriate, of any interpretation of this Code that may appear consistent with the objectives of Rule 17j-1 and this Code;</w:t>
      </w:r>
    </w:p>
    <w:p>
      <w:pPr>
        <w:spacing w:after="0" w:line="36" w:lineRule="exact"/>
        <w:rPr>
          <w:rFonts w:ascii="Times New Roman" w:cs="Times New Roman" w:eastAsia="Times New Roman" w:hAnsi="Times New Roman"/>
          <w:sz w:val="22"/>
          <w:szCs w:val="22"/>
          <w:color w:val="auto"/>
        </w:rPr>
      </w:pPr>
    </w:p>
    <w:p>
      <w:pPr>
        <w:ind w:left="760" w:hanging="383"/>
        <w:spacing w:after="0" w:line="258" w:lineRule="auto"/>
        <w:tabs>
          <w:tab w:leader="none" w:pos="76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Conduct such inspections or investigations as shall reasonably be required to detect and report, with recommendations, any apparent violations of this Code to the board of directors of the Corporation;</w:t>
      </w:r>
    </w:p>
    <w:p>
      <w:pPr>
        <w:spacing w:after="0" w:line="63" w:lineRule="exact"/>
        <w:rPr>
          <w:rFonts w:ascii="Times New Roman" w:cs="Times New Roman" w:eastAsia="Times New Roman" w:hAnsi="Times New Roman"/>
          <w:sz w:val="22"/>
          <w:szCs w:val="22"/>
          <w:color w:val="auto"/>
        </w:rPr>
      </w:pPr>
    </w:p>
    <w:p>
      <w:pPr>
        <w:jc w:val="both"/>
        <w:ind w:left="760" w:hanging="383"/>
        <w:spacing w:after="0" w:line="250" w:lineRule="auto"/>
        <w:tabs>
          <w:tab w:leader="none" w:pos="76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Submission of a report to the board of directors of the Corporation, no less frequently than annually, a written report that describes any issues arising under the Code since the last such report, including but not limited to the information described in Section VI (B); and</w:t>
      </w:r>
    </w:p>
    <w:p>
      <w:pPr>
        <w:spacing w:after="0" w:line="59" w:lineRule="exact"/>
        <w:rPr>
          <w:rFonts w:ascii="Times New Roman" w:cs="Times New Roman" w:eastAsia="Times New Roman" w:hAnsi="Times New Roman"/>
          <w:sz w:val="22"/>
          <w:szCs w:val="22"/>
          <w:color w:val="auto"/>
        </w:rPr>
      </w:pPr>
    </w:p>
    <w:p>
      <w:pPr>
        <w:ind w:left="480" w:right="20" w:hanging="478"/>
        <w:spacing w:after="0" w:line="258" w:lineRule="auto"/>
        <w:tabs>
          <w:tab w:leader="none" w:pos="48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Chief Financial Officer shall maintain and cause to be maintained in an easily accessible place at the principal place of business of the 17j-1 Organization, the following records:</w:t>
      </w:r>
    </w:p>
    <w:p>
      <w:pPr>
        <w:spacing w:after="0" w:line="63" w:lineRule="exact"/>
        <w:rPr>
          <w:rFonts w:ascii="Times New Roman" w:cs="Times New Roman" w:eastAsia="Times New Roman" w:hAnsi="Times New Roman"/>
          <w:sz w:val="22"/>
          <w:szCs w:val="22"/>
          <w:color w:val="auto"/>
        </w:rPr>
      </w:pPr>
    </w:p>
    <w:p>
      <w:pPr>
        <w:ind w:left="760" w:right="20" w:hanging="383"/>
        <w:spacing w:after="0" w:line="258" w:lineRule="auto"/>
        <w:tabs>
          <w:tab w:leader="none" w:pos="76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all codes of ethics adopted by the Corporation or the Adviser and its affiliates, as the case may be, pursuant to Rule 17j-1 that have been in effect at any time during the past five (5) years;</w:t>
      </w:r>
    </w:p>
    <w:p>
      <w:pPr>
        <w:spacing w:after="0" w:line="50" w:lineRule="exact"/>
        <w:rPr>
          <w:rFonts w:ascii="Times New Roman" w:cs="Times New Roman" w:eastAsia="Times New Roman" w:hAnsi="Times New Roman"/>
          <w:sz w:val="22"/>
          <w:szCs w:val="22"/>
          <w:color w:val="auto"/>
        </w:rPr>
      </w:pPr>
    </w:p>
    <w:p>
      <w:pPr>
        <w:ind w:left="760" w:right="20" w:hanging="383"/>
        <w:spacing w:after="0" w:line="271" w:lineRule="auto"/>
        <w:tabs>
          <w:tab w:leader="none" w:pos="76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record of each violation of such codes of ethics and of any action taken as a result of such violation for at least five (5) years after the end of the fiscal year in which the violation occurs;</w:t>
      </w:r>
    </w:p>
    <w:p>
      <w:pPr>
        <w:spacing w:after="0" w:line="36" w:lineRule="exact"/>
        <w:rPr>
          <w:rFonts w:ascii="Times New Roman" w:cs="Times New Roman" w:eastAsia="Times New Roman" w:hAnsi="Times New Roman"/>
          <w:sz w:val="22"/>
          <w:szCs w:val="22"/>
          <w:color w:val="auto"/>
        </w:rPr>
      </w:pPr>
    </w:p>
    <w:p>
      <w:pPr>
        <w:ind w:left="760" w:hanging="383"/>
        <w:spacing w:after="0" w:line="271" w:lineRule="auto"/>
        <w:tabs>
          <w:tab w:leader="none" w:pos="76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each report made by an Access Person for at least two (2) years after the end of the fiscal year in which the report is made, and for an additional three (3) years in a place that need not be easily accessible;</w:t>
      </w:r>
    </w:p>
    <w:p>
      <w:pPr>
        <w:spacing w:after="0" w:line="36" w:lineRule="exact"/>
        <w:rPr>
          <w:rFonts w:ascii="Times New Roman" w:cs="Times New Roman" w:eastAsia="Times New Roman" w:hAnsi="Times New Roman"/>
          <w:sz w:val="22"/>
          <w:szCs w:val="22"/>
          <w:color w:val="auto"/>
        </w:rPr>
      </w:pPr>
    </w:p>
    <w:p>
      <w:pPr>
        <w:jc w:val="both"/>
        <w:ind w:left="760" w:hanging="383"/>
        <w:spacing w:after="0" w:line="250" w:lineRule="auto"/>
        <w:tabs>
          <w:tab w:leader="none" w:pos="76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each report made by the Chief Compliance Officer to the board of directors for two (2) years from the end of the fiscal year of the Corporation in which such report is made or issued and for an additional three (3) years in a place that need not be easily accessible;</w:t>
      </w:r>
    </w:p>
    <w:p>
      <w:pPr>
        <w:spacing w:after="0" w:line="59" w:lineRule="exact"/>
        <w:rPr>
          <w:rFonts w:ascii="Times New Roman" w:cs="Times New Roman" w:eastAsia="Times New Roman" w:hAnsi="Times New Roman"/>
          <w:sz w:val="22"/>
          <w:szCs w:val="22"/>
          <w:color w:val="auto"/>
        </w:rPr>
      </w:pPr>
    </w:p>
    <w:p>
      <w:pPr>
        <w:ind w:left="760" w:hanging="383"/>
        <w:spacing w:after="0" w:line="271" w:lineRule="auto"/>
        <w:tabs>
          <w:tab w:leader="none" w:pos="76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list of all persons who are, or within the past five (5) years have been, required to make reports pursuant to Rule 17j-1 and this Code, or who are or were responsible for reviewing such reports;</w:t>
      </w:r>
    </w:p>
    <w:p>
      <w:pPr>
        <w:spacing w:after="0" w:line="36" w:lineRule="exact"/>
        <w:rPr>
          <w:rFonts w:ascii="Times New Roman" w:cs="Times New Roman" w:eastAsia="Times New Roman" w:hAnsi="Times New Roman"/>
          <w:sz w:val="22"/>
          <w:szCs w:val="22"/>
          <w:color w:val="auto"/>
        </w:rPr>
      </w:pPr>
    </w:p>
    <w:p>
      <w:pPr>
        <w:ind w:left="760" w:right="20" w:hanging="383"/>
        <w:spacing w:after="0" w:line="258" w:lineRule="auto"/>
        <w:tabs>
          <w:tab w:leader="none" w:pos="76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each report required by Section VII (B) of this Code for at least two (2) years after the end of the fiscal year in which it is made, and for an additional three (3) years in a place that need not be easily accessible; and</w:t>
      </w:r>
    </w:p>
    <w:p>
      <w:pPr>
        <w:spacing w:after="0" w:line="63" w:lineRule="exact"/>
        <w:rPr>
          <w:rFonts w:ascii="Times New Roman" w:cs="Times New Roman" w:eastAsia="Times New Roman" w:hAnsi="Times New Roman"/>
          <w:sz w:val="22"/>
          <w:szCs w:val="22"/>
          <w:color w:val="auto"/>
        </w:rPr>
      </w:pPr>
    </w:p>
    <w:p>
      <w:pPr>
        <w:jc w:val="both"/>
        <w:ind w:left="760" w:hanging="383"/>
        <w:spacing w:after="0" w:line="250" w:lineRule="auto"/>
        <w:tabs>
          <w:tab w:leader="none" w:pos="76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record of any decision, and the reasons supporting the decision, to approve the acquisition by an Advisory Person of securities in an Initial Public Offering or Limited Offering for at least five (5) years after the end of the fiscal year in which the approval is granted.</w:t>
      </w:r>
    </w:p>
    <w:p>
      <w:pPr>
        <w:spacing w:after="0" w:line="6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452755</wp:posOffset>
            </wp:positionV>
            <wp:extent cx="715772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12" w:right="339" w:bottom="1440" w:gutter="0" w:footer="0" w:header="0"/>
        </w:sectPr>
      </w:pPr>
    </w:p>
    <w:bookmarkStart w:id="69" w:name="page70"/>
    <w:bookmarkEnd w:id="69"/>
    <w:p>
      <w:pPr>
        <w:ind w:left="860" w:hanging="478"/>
        <w:spacing w:after="0" w:line="259" w:lineRule="auto"/>
        <w:tabs>
          <w:tab w:leader="none" w:pos="8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Code may not be amended or modified except in a written form that is specifically approved by majority vote of the Independent Directors.</w:t>
      </w:r>
    </w:p>
    <w:p>
      <w:pPr>
        <w:spacing w:after="0" w:line="6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This Joint Code of Ethics, originally adopted December 12, 2007 and amended as of May 3, 2022, is annually reviewed and approved by the Board of Directors of the Corporation, including a majority of the Independent Directors.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452755</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7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CERTIFICATION PURSUANT TO SECTION 302</w:t>
      </w:r>
    </w:p>
    <w:p>
      <w:pPr>
        <w:spacing w:after="0" w:line="1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b w:val="1"/>
          <w:bCs w:val="1"/>
          <w:color w:val="auto"/>
        </w:rPr>
        <w:t>CHIEF EXECUTIVE OFFICER CERTIFICATION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Arthur H. Penn, Chief Executive Officer of PennantPark Floating Rate Capital, Ltd., certify that:</w:t>
      </w:r>
    </w:p>
    <w:p>
      <w:pPr>
        <w:spacing w:after="0" w:line="177" w:lineRule="exact"/>
        <w:rPr>
          <w:sz w:val="20"/>
          <w:szCs w:val="20"/>
          <w:color w:val="auto"/>
        </w:rPr>
      </w:pPr>
    </w:p>
    <w:p>
      <w:pPr>
        <w:ind w:left="620" w:hanging="143"/>
        <w:spacing w:after="0"/>
        <w:tabs>
          <w:tab w:leader="none" w:pos="6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Report on Form 10-Q of PennantPark Floating Rate Capital, Ltd.;</w:t>
      </w:r>
    </w:p>
    <w:p>
      <w:pPr>
        <w:spacing w:after="0" w:line="163" w:lineRule="exact"/>
        <w:rPr>
          <w:rFonts w:ascii="Times New Roman" w:cs="Times New Roman" w:eastAsia="Times New Roman" w:hAnsi="Times New Roman"/>
          <w:sz w:val="14"/>
          <w:szCs w:val="14"/>
          <w:color w:val="auto"/>
        </w:rPr>
      </w:pPr>
    </w:p>
    <w:p>
      <w:pPr>
        <w:ind w:right="580" w:firstLine="477"/>
        <w:spacing w:after="0" w:line="302" w:lineRule="auto"/>
        <w:tabs>
          <w:tab w:leader="none" w:pos="613"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4"/>
          <w:szCs w:val="14"/>
          <w:color w:val="auto"/>
        </w:rPr>
      </w:pPr>
    </w:p>
    <w:p>
      <w:pPr>
        <w:ind w:right="460" w:firstLine="477"/>
        <w:spacing w:after="0" w:line="282" w:lineRule="auto"/>
        <w:tabs>
          <w:tab w:leader="none" w:pos="613"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4"/>
          <w:szCs w:val="14"/>
          <w:color w:val="auto"/>
        </w:rPr>
      </w:pPr>
    </w:p>
    <w:p>
      <w:pPr>
        <w:ind w:right="60" w:firstLine="477"/>
        <w:spacing w:after="0" w:line="282" w:lineRule="auto"/>
        <w:tabs>
          <w:tab w:leader="none" w:pos="613"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4"/>
          <w:szCs w:val="14"/>
          <w:color w:val="auto"/>
        </w:rPr>
      </w:pPr>
    </w:p>
    <w:p>
      <w:pPr>
        <w:jc w:val="both"/>
        <w:ind w:right="480" w:firstLine="757"/>
        <w:spacing w:after="0" w:line="269" w:lineRule="auto"/>
        <w:tabs>
          <w:tab w:leader="none" w:pos="919"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0" w:lineRule="exact"/>
        <w:rPr>
          <w:rFonts w:ascii="Times New Roman" w:cs="Times New Roman" w:eastAsia="Times New Roman" w:hAnsi="Times New Roman"/>
          <w:sz w:val="14"/>
          <w:szCs w:val="14"/>
          <w:color w:val="auto"/>
        </w:rPr>
      </w:pPr>
    </w:p>
    <w:p>
      <w:pPr>
        <w:ind w:left="920" w:hanging="163"/>
        <w:spacing w:after="0"/>
        <w:tabs>
          <w:tab w:leader="none" w:pos="92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w:t>
      </w:r>
    </w:p>
    <w:p>
      <w:pPr>
        <w:spacing w:after="0" w:line="17" w:lineRule="exact"/>
        <w:rPr>
          <w:sz w:val="20"/>
          <w:szCs w:val="20"/>
          <w:color w:val="auto"/>
        </w:rPr>
      </w:pPr>
    </w:p>
    <w:p>
      <w:pPr>
        <w:ind w:right="740"/>
        <w:spacing w:after="0" w:line="258" w:lineRule="auto"/>
        <w:rPr>
          <w:sz w:val="20"/>
          <w:szCs w:val="20"/>
          <w:color w:val="auto"/>
        </w:rPr>
      </w:pPr>
      <w:r>
        <w:rPr>
          <w:rFonts w:ascii="Times New Roman" w:cs="Times New Roman" w:eastAsia="Times New Roman" w:hAnsi="Times New Roman"/>
          <w:sz w:val="14"/>
          <w:szCs w:val="14"/>
          <w:color w:val="auto"/>
        </w:rPr>
        <w:t>reasonable assurance regarding the reliability of financial reporting and the preparation of financial statements for external purposes in accordance with generally accepted accounting principles;</w:t>
      </w:r>
    </w:p>
    <w:p>
      <w:pPr>
        <w:spacing w:after="0" w:line="137" w:lineRule="exact"/>
        <w:rPr>
          <w:sz w:val="20"/>
          <w:szCs w:val="20"/>
          <w:color w:val="auto"/>
        </w:rPr>
      </w:pPr>
    </w:p>
    <w:p>
      <w:pPr>
        <w:ind w:right="260" w:firstLine="757"/>
        <w:spacing w:after="0" w:line="282" w:lineRule="auto"/>
        <w:tabs>
          <w:tab w:leader="none" w:pos="897"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4"/>
          <w:szCs w:val="14"/>
          <w:color w:val="auto"/>
        </w:rPr>
      </w:pPr>
    </w:p>
    <w:p>
      <w:pPr>
        <w:ind w:right="380" w:firstLine="757"/>
        <w:spacing w:after="0" w:line="302" w:lineRule="auto"/>
        <w:tabs>
          <w:tab w:leader="none" w:pos="905"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4"/>
          <w:szCs w:val="14"/>
          <w:color w:val="auto"/>
        </w:rPr>
      </w:pPr>
    </w:p>
    <w:p>
      <w:pPr>
        <w:ind w:right="540" w:firstLine="477"/>
        <w:spacing w:after="0" w:line="282" w:lineRule="auto"/>
        <w:tabs>
          <w:tab w:leader="none" w:pos="613"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4"/>
          <w:szCs w:val="14"/>
          <w:color w:val="auto"/>
        </w:rPr>
      </w:pPr>
    </w:p>
    <w:p>
      <w:pPr>
        <w:ind w:right="420" w:firstLine="757"/>
        <w:spacing w:after="0" w:line="282" w:lineRule="auto"/>
        <w:tabs>
          <w:tab w:leader="none" w:pos="897"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4"/>
          <w:szCs w:val="14"/>
          <w:color w:val="auto"/>
        </w:rPr>
      </w:pPr>
    </w:p>
    <w:p>
      <w:pPr>
        <w:ind w:right="620" w:firstLine="757"/>
        <w:spacing w:after="0" w:line="503" w:lineRule="auto"/>
        <w:tabs>
          <w:tab w:leader="none" w:pos="904"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 Dated: May 4, 2022</w:t>
      </w:r>
    </w:p>
    <w:p>
      <w:pPr>
        <w:ind w:left="20"/>
        <w:spacing w:after="0"/>
        <w:rPr>
          <w:sz w:val="20"/>
          <w:szCs w:val="20"/>
          <w:color w:val="auto"/>
        </w:rPr>
      </w:pPr>
      <w:r>
        <w:rPr>
          <w:rFonts w:ascii="Times New Roman" w:cs="Times New Roman" w:eastAsia="Times New Roman" w:hAnsi="Times New Roman"/>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84607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8"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4"/>
          <w:szCs w:val="14"/>
          <w:color w:val="auto"/>
        </w:rPr>
        <w:t>Name:</w:t>
        <w:tab/>
        <w:t>Arthur H. Penn</w:t>
      </w:r>
    </w:p>
    <w:p>
      <w:pPr>
        <w:spacing w:after="0" w:line="27"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294640</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7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CERTIFICATION PURSUANT TO SECTION 302</w:t>
      </w:r>
    </w:p>
    <w:p>
      <w:pPr>
        <w:spacing w:after="0" w:line="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CHIEF FINANCIAL OFFICER CERTIFICATION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Richard Cheung, Chief Financial Officer of PennantPark Floating Rate Capital, Ltd., certify that:</w:t>
      </w:r>
    </w:p>
    <w:p>
      <w:pPr>
        <w:spacing w:after="0" w:line="177" w:lineRule="exact"/>
        <w:rPr>
          <w:sz w:val="20"/>
          <w:szCs w:val="20"/>
          <w:color w:val="auto"/>
        </w:rPr>
      </w:pPr>
    </w:p>
    <w:p>
      <w:pPr>
        <w:ind w:left="620" w:hanging="143"/>
        <w:spacing w:after="0"/>
        <w:tabs>
          <w:tab w:leader="none" w:pos="6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Report on Form 10-Q of PennantPark Floating Rate Capital, Ltd.;</w:t>
      </w:r>
    </w:p>
    <w:p>
      <w:pPr>
        <w:spacing w:after="0" w:line="163" w:lineRule="exact"/>
        <w:rPr>
          <w:rFonts w:ascii="Times New Roman" w:cs="Times New Roman" w:eastAsia="Times New Roman" w:hAnsi="Times New Roman"/>
          <w:sz w:val="14"/>
          <w:szCs w:val="14"/>
          <w:color w:val="auto"/>
        </w:rPr>
      </w:pPr>
    </w:p>
    <w:p>
      <w:pPr>
        <w:ind w:right="580" w:firstLine="477"/>
        <w:spacing w:after="0" w:line="302" w:lineRule="auto"/>
        <w:tabs>
          <w:tab w:leader="none" w:pos="613"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4"/>
          <w:szCs w:val="14"/>
          <w:color w:val="auto"/>
        </w:rPr>
      </w:pPr>
    </w:p>
    <w:p>
      <w:pPr>
        <w:ind w:right="460" w:firstLine="477"/>
        <w:spacing w:after="0" w:line="282" w:lineRule="auto"/>
        <w:tabs>
          <w:tab w:leader="none" w:pos="613"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4"/>
          <w:szCs w:val="14"/>
          <w:color w:val="auto"/>
        </w:rPr>
      </w:pPr>
    </w:p>
    <w:p>
      <w:pPr>
        <w:ind w:right="600" w:firstLine="476"/>
        <w:spacing w:after="0" w:line="282" w:lineRule="auto"/>
        <w:tabs>
          <w:tab w:leader="none" w:pos="612"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4"/>
          <w:szCs w:val="14"/>
          <w:color w:val="auto"/>
        </w:rPr>
      </w:pPr>
    </w:p>
    <w:p>
      <w:pPr>
        <w:jc w:val="both"/>
        <w:ind w:right="480" w:firstLine="757"/>
        <w:spacing w:after="0" w:line="269" w:lineRule="auto"/>
        <w:tabs>
          <w:tab w:leader="none" w:pos="919"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0" w:lineRule="exact"/>
        <w:rPr>
          <w:rFonts w:ascii="Times New Roman" w:cs="Times New Roman" w:eastAsia="Times New Roman" w:hAnsi="Times New Roman"/>
          <w:sz w:val="14"/>
          <w:szCs w:val="14"/>
          <w:color w:val="auto"/>
        </w:rPr>
      </w:pPr>
    </w:p>
    <w:p>
      <w:pPr>
        <w:ind w:right="740" w:firstLine="757"/>
        <w:spacing w:after="0" w:line="269" w:lineRule="auto"/>
        <w:tabs>
          <w:tab w:leader="none" w:pos="905"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0" w:lineRule="exact"/>
        <w:rPr>
          <w:rFonts w:ascii="Times New Roman" w:cs="Times New Roman" w:eastAsia="Times New Roman" w:hAnsi="Times New Roman"/>
          <w:sz w:val="14"/>
          <w:szCs w:val="14"/>
          <w:color w:val="auto"/>
        </w:rPr>
      </w:pPr>
    </w:p>
    <w:p>
      <w:pPr>
        <w:ind w:right="260" w:firstLine="757"/>
        <w:spacing w:after="0" w:line="282" w:lineRule="auto"/>
        <w:tabs>
          <w:tab w:leader="none" w:pos="897"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4"/>
          <w:szCs w:val="14"/>
          <w:color w:val="auto"/>
        </w:rPr>
      </w:pPr>
    </w:p>
    <w:p>
      <w:pPr>
        <w:ind w:right="380" w:firstLine="757"/>
        <w:spacing w:after="0" w:line="302" w:lineRule="auto"/>
        <w:tabs>
          <w:tab w:leader="none" w:pos="905"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4"/>
          <w:szCs w:val="14"/>
          <w:color w:val="auto"/>
        </w:rPr>
      </w:pPr>
    </w:p>
    <w:p>
      <w:pPr>
        <w:ind w:right="540" w:firstLine="477"/>
        <w:spacing w:after="0" w:line="282" w:lineRule="auto"/>
        <w:tabs>
          <w:tab w:leader="none" w:pos="613"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4"/>
          <w:szCs w:val="14"/>
          <w:color w:val="auto"/>
        </w:rPr>
      </w:pPr>
    </w:p>
    <w:p>
      <w:pPr>
        <w:ind w:right="420" w:firstLine="757"/>
        <w:spacing w:after="0" w:line="282" w:lineRule="auto"/>
        <w:tabs>
          <w:tab w:leader="none" w:pos="897"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4"/>
          <w:szCs w:val="14"/>
          <w:color w:val="auto"/>
        </w:rPr>
      </w:pPr>
    </w:p>
    <w:p>
      <w:pPr>
        <w:ind w:right="620" w:firstLine="757"/>
        <w:spacing w:after="0" w:line="503" w:lineRule="auto"/>
        <w:tabs>
          <w:tab w:leader="none" w:pos="904"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 Dated: May 4, 2022</w:t>
      </w:r>
    </w:p>
    <w:p>
      <w:pPr>
        <w:ind w:left="20"/>
        <w:spacing w:after="0"/>
        <w:rPr>
          <w:sz w:val="20"/>
          <w:szCs w:val="20"/>
          <w:color w:val="auto"/>
        </w:rPr>
      </w:pPr>
      <w:r>
        <w:rPr>
          <w:rFonts w:ascii="Times New Roman" w:cs="Times New Roman" w:eastAsia="Times New Roman" w:hAnsi="Times New Roman"/>
          <w:sz w:val="14"/>
          <w:szCs w:val="14"/>
          <w:color w:val="auto"/>
        </w:rPr>
        <w:t>/s/ Richard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84607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8"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4"/>
          <w:szCs w:val="14"/>
          <w:color w:val="auto"/>
        </w:rPr>
        <w:t>Name:</w:t>
        <w:tab/>
        <w:t>Richard Cheung</w:t>
      </w:r>
    </w:p>
    <w:p>
      <w:pPr>
        <w:spacing w:after="0" w:line="27"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294640</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 (18 U.S.C. 1350)</w:t>
      </w:r>
    </w:p>
    <w:p>
      <w:pPr>
        <w:spacing w:after="0" w:line="147" w:lineRule="exact"/>
        <w:rPr>
          <w:sz w:val="20"/>
          <w:szCs w:val="20"/>
          <w:color w:val="auto"/>
        </w:rPr>
      </w:pPr>
    </w:p>
    <w:p>
      <w:pPr>
        <w:ind w:firstLine="488"/>
        <w:spacing w:after="0" w:line="302" w:lineRule="auto"/>
        <w:rPr>
          <w:sz w:val="20"/>
          <w:szCs w:val="20"/>
          <w:color w:val="auto"/>
        </w:rPr>
      </w:pPr>
      <w:r>
        <w:rPr>
          <w:rFonts w:ascii="Times New Roman" w:cs="Times New Roman" w:eastAsia="Times New Roman" w:hAnsi="Times New Roman"/>
          <w:sz w:val="14"/>
          <w:szCs w:val="14"/>
          <w:color w:val="auto"/>
        </w:rPr>
        <w:t>In connection with this Report on Form 10-Q for the three and six months ended March 31, 2022 (the “Report”) of PennantPark Floating Rate Capital, Ltd. (the “Registrant”), as filed with the Securities and Exchange Commission on the date hereof, I, Arthur H. Penn, Chief Executive Officer of the Registrant, hereby certify, to the best of my knowledge, that:</w:t>
      </w:r>
    </w:p>
    <w:p>
      <w:pPr>
        <w:spacing w:after="0" w:line="94" w:lineRule="exact"/>
        <w:rPr>
          <w:sz w:val="20"/>
          <w:szCs w:val="20"/>
          <w:color w:val="auto"/>
        </w:rPr>
      </w:pPr>
    </w:p>
    <w:p>
      <w:pPr>
        <w:ind w:left="780" w:hanging="284"/>
        <w:spacing w:after="0"/>
        <w:tabs>
          <w:tab w:leader="none" w:pos="7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76" w:lineRule="exact"/>
        <w:rPr>
          <w:rFonts w:ascii="Times New Roman" w:cs="Times New Roman" w:eastAsia="Times New Roman" w:hAnsi="Times New Roman"/>
          <w:sz w:val="14"/>
          <w:szCs w:val="14"/>
          <w:color w:val="auto"/>
        </w:rPr>
      </w:pPr>
    </w:p>
    <w:p>
      <w:pPr>
        <w:ind w:left="780" w:hanging="284"/>
        <w:spacing w:after="0"/>
        <w:tabs>
          <w:tab w:leader="none" w:pos="7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Registrant.</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Arthur H. Penn</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00" w:type="dxa"/>
            <w:vAlign w:val="bottom"/>
            <w:tcBorders>
              <w:top w:val="single" w:sz="8" w:color="auto"/>
            </w:tcBorders>
          </w:tcPr>
          <w:p>
            <w:pPr>
              <w:ind w:left="20"/>
              <w:spacing w:after="0" w:line="160" w:lineRule="exact"/>
              <w:rPr>
                <w:sz w:val="20"/>
                <w:szCs w:val="20"/>
                <w:color w:val="auto"/>
              </w:rPr>
            </w:pPr>
            <w:r>
              <w:rPr>
                <w:rFonts w:ascii="Times New Roman" w:cs="Times New Roman" w:eastAsia="Times New Roman" w:hAnsi="Times New Roman"/>
                <w:sz w:val="14"/>
                <w:szCs w:val="14"/>
                <w:color w:val="auto"/>
              </w:rPr>
              <w:t>Name:</w:t>
            </w:r>
          </w:p>
        </w:tc>
        <w:tc>
          <w:tcPr>
            <w:tcW w:w="3980" w:type="dxa"/>
            <w:vAlign w:val="bottom"/>
            <w:tcBorders>
              <w:top w:val="single" w:sz="8" w:color="auto"/>
            </w:tcBorders>
          </w:tcPr>
          <w:p>
            <w:pPr>
              <w:ind w:left="80"/>
              <w:spacing w:after="0" w:line="160" w:lineRule="exact"/>
              <w:rPr>
                <w:sz w:val="20"/>
                <w:szCs w:val="20"/>
                <w:color w:val="auto"/>
              </w:rPr>
            </w:pPr>
            <w:r>
              <w:rPr>
                <w:rFonts w:ascii="Times New Roman" w:cs="Times New Roman" w:eastAsia="Times New Roman" w:hAnsi="Times New Roman"/>
                <w:sz w:val="14"/>
                <w:szCs w:val="14"/>
                <w:color w:val="auto"/>
              </w:rPr>
              <w:t>Arthur H. Penn</w:t>
            </w:r>
          </w:p>
        </w:tc>
        <w:tc>
          <w:tcPr>
            <w:tcW w:w="6760" w:type="dxa"/>
            <w:vAlign w:val="bottom"/>
          </w:tcPr>
          <w:p>
            <w:pPr>
              <w:spacing w:after="0"/>
              <w:rPr>
                <w:sz w:val="13"/>
                <w:szCs w:val="13"/>
                <w:color w:val="auto"/>
              </w:rPr>
            </w:pPr>
          </w:p>
        </w:tc>
      </w:tr>
      <w:tr>
        <w:trPr>
          <w:trHeight w:val="176"/>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3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Chief Executive Officer</w:t>
            </w:r>
          </w:p>
        </w:tc>
        <w:tc>
          <w:tcPr>
            <w:tcW w:w="6760" w:type="dxa"/>
            <w:vAlign w:val="bottom"/>
          </w:tcPr>
          <w:p>
            <w:pPr>
              <w:spacing w:after="0"/>
              <w:rPr>
                <w:sz w:val="15"/>
                <w:szCs w:val="15"/>
                <w:color w:val="auto"/>
              </w:rPr>
            </w:pPr>
          </w:p>
        </w:tc>
      </w:tr>
      <w:tr>
        <w:trPr>
          <w:trHeight w:val="188"/>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Date:</w:t>
            </w:r>
          </w:p>
        </w:tc>
        <w:tc>
          <w:tcPr>
            <w:tcW w:w="3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May 4, 2022</w:t>
            </w:r>
          </w:p>
        </w:tc>
        <w:tc>
          <w:tcPr>
            <w:tcW w:w="6760" w:type="dxa"/>
            <w:vAlign w:val="bottom"/>
          </w:tcPr>
          <w:p>
            <w:pPr>
              <w:spacing w:after="0"/>
              <w:rPr>
                <w:sz w:val="16"/>
                <w:szCs w:val="16"/>
                <w:color w:val="auto"/>
              </w:rPr>
            </w:pPr>
          </w:p>
        </w:tc>
      </w:tr>
      <w:tr>
        <w:trPr>
          <w:trHeight w:val="463"/>
        </w:trPr>
        <w:tc>
          <w:tcPr>
            <w:tcW w:w="50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 (18 U.S.C. 1350)</w:t>
      </w:r>
    </w:p>
    <w:p>
      <w:pPr>
        <w:spacing w:after="0" w:line="161" w:lineRule="exact"/>
        <w:rPr>
          <w:sz w:val="20"/>
          <w:szCs w:val="20"/>
          <w:color w:val="auto"/>
        </w:rPr>
      </w:pPr>
    </w:p>
    <w:p>
      <w:pPr>
        <w:ind w:firstLine="488"/>
        <w:spacing w:after="0" w:line="282" w:lineRule="auto"/>
        <w:rPr>
          <w:sz w:val="20"/>
          <w:szCs w:val="20"/>
          <w:color w:val="auto"/>
        </w:rPr>
      </w:pPr>
      <w:r>
        <w:rPr>
          <w:rFonts w:ascii="Times New Roman" w:cs="Times New Roman" w:eastAsia="Times New Roman" w:hAnsi="Times New Roman"/>
          <w:sz w:val="14"/>
          <w:szCs w:val="14"/>
          <w:color w:val="auto"/>
        </w:rPr>
        <w:t>In connection with this Report on Form 10-Q for the three and six months ended March 31, 2022 (the “Report”) of PennantPark Floating Rate Capital, Ltd. (the “Registrant”), as filed with the Securities and Exchange Commission on the date hereof, I, Richard Cheung, Chief Financial Officer of the Registrant, hereby certify, to the best of my knowledge, that:</w:t>
      </w:r>
    </w:p>
    <w:p>
      <w:pPr>
        <w:spacing w:after="0" w:line="148" w:lineRule="exact"/>
        <w:rPr>
          <w:sz w:val="20"/>
          <w:szCs w:val="20"/>
          <w:color w:val="auto"/>
        </w:rPr>
      </w:pPr>
    </w:p>
    <w:p>
      <w:pPr>
        <w:ind w:left="780" w:hanging="284"/>
        <w:spacing w:after="0"/>
        <w:tabs>
          <w:tab w:leader="none" w:pos="7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76" w:lineRule="exact"/>
        <w:rPr>
          <w:rFonts w:ascii="Times New Roman" w:cs="Times New Roman" w:eastAsia="Times New Roman" w:hAnsi="Times New Roman"/>
          <w:sz w:val="14"/>
          <w:szCs w:val="14"/>
          <w:color w:val="auto"/>
        </w:rPr>
      </w:pPr>
    </w:p>
    <w:p>
      <w:pPr>
        <w:ind w:left="780" w:hanging="284"/>
        <w:spacing w:after="0"/>
        <w:tabs>
          <w:tab w:leader="none" w:pos="7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Registrant.</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Richard Cheung</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00" w:type="dxa"/>
            <w:vAlign w:val="bottom"/>
            <w:tcBorders>
              <w:top w:val="single" w:sz="8" w:color="auto"/>
            </w:tcBorders>
          </w:tcPr>
          <w:p>
            <w:pPr>
              <w:ind w:left="20"/>
              <w:spacing w:after="0" w:line="160" w:lineRule="exact"/>
              <w:rPr>
                <w:sz w:val="20"/>
                <w:szCs w:val="20"/>
                <w:color w:val="auto"/>
              </w:rPr>
            </w:pPr>
            <w:r>
              <w:rPr>
                <w:rFonts w:ascii="Times New Roman" w:cs="Times New Roman" w:eastAsia="Times New Roman" w:hAnsi="Times New Roman"/>
                <w:sz w:val="14"/>
                <w:szCs w:val="14"/>
                <w:color w:val="auto"/>
              </w:rPr>
              <w:t>Name:</w:t>
            </w:r>
          </w:p>
        </w:tc>
        <w:tc>
          <w:tcPr>
            <w:tcW w:w="3980" w:type="dxa"/>
            <w:vAlign w:val="bottom"/>
            <w:tcBorders>
              <w:top w:val="single" w:sz="8" w:color="auto"/>
            </w:tcBorders>
          </w:tcPr>
          <w:p>
            <w:pPr>
              <w:ind w:left="80"/>
              <w:spacing w:after="0" w:line="160" w:lineRule="exact"/>
              <w:rPr>
                <w:sz w:val="20"/>
                <w:szCs w:val="20"/>
                <w:color w:val="auto"/>
              </w:rPr>
            </w:pPr>
            <w:r>
              <w:rPr>
                <w:rFonts w:ascii="Times New Roman" w:cs="Times New Roman" w:eastAsia="Times New Roman" w:hAnsi="Times New Roman"/>
                <w:sz w:val="14"/>
                <w:szCs w:val="14"/>
                <w:color w:val="auto"/>
              </w:rPr>
              <w:t>Richard Cheung</w:t>
            </w:r>
          </w:p>
        </w:tc>
        <w:tc>
          <w:tcPr>
            <w:tcW w:w="6760" w:type="dxa"/>
            <w:vAlign w:val="bottom"/>
          </w:tcPr>
          <w:p>
            <w:pPr>
              <w:spacing w:after="0"/>
              <w:rPr>
                <w:sz w:val="13"/>
                <w:szCs w:val="13"/>
                <w:color w:val="auto"/>
              </w:rPr>
            </w:pPr>
          </w:p>
        </w:tc>
      </w:tr>
      <w:tr>
        <w:trPr>
          <w:trHeight w:val="175"/>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3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Chief Financial Officer</w:t>
            </w:r>
          </w:p>
        </w:tc>
        <w:tc>
          <w:tcPr>
            <w:tcW w:w="6760" w:type="dxa"/>
            <w:vAlign w:val="bottom"/>
          </w:tcPr>
          <w:p>
            <w:pPr>
              <w:spacing w:after="0"/>
              <w:rPr>
                <w:sz w:val="15"/>
                <w:szCs w:val="15"/>
                <w:color w:val="auto"/>
              </w:rPr>
            </w:pPr>
          </w:p>
        </w:tc>
      </w:tr>
      <w:tr>
        <w:trPr>
          <w:trHeight w:val="188"/>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Date:</w:t>
            </w:r>
          </w:p>
        </w:tc>
        <w:tc>
          <w:tcPr>
            <w:tcW w:w="3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May 4, 2022</w:t>
            </w:r>
          </w:p>
        </w:tc>
        <w:tc>
          <w:tcPr>
            <w:tcW w:w="6760" w:type="dxa"/>
            <w:vAlign w:val="bottom"/>
          </w:tcPr>
          <w:p>
            <w:pPr>
              <w:spacing w:after="0"/>
              <w:rPr>
                <w:sz w:val="16"/>
                <w:szCs w:val="16"/>
                <w:color w:val="auto"/>
              </w:rPr>
            </w:pPr>
          </w:p>
        </w:tc>
      </w:tr>
      <w:tr>
        <w:trPr>
          <w:trHeight w:val="490"/>
        </w:trPr>
        <w:tc>
          <w:tcPr>
            <w:tcW w:w="50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decimal"/>
      <w:start w:val="1"/>
    </w:lvl>
  </w:abstractNum>
  <w:abstractNum w:abstractNumId="3">
    <w:nsid w:val="2CA88611"/>
    <w:multiLevelType w:val="hybridMultilevel"/>
    <w:lvl w:ilvl="0">
      <w:lvlJc w:val="left"/>
      <w:lvlText w:val="(%1)"/>
      <w:numFmt w:val="decimal"/>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1)"/>
      <w:numFmt w:val="lowerLetter"/>
      <w:start w:val="5"/>
    </w:lvl>
    <w:lvl w:ilvl="1">
      <w:lvlJc w:val="left"/>
      <w:lvlText w:val="%2."/>
      <w:numFmt w:val="decimal"/>
      <w:start w:val="1"/>
    </w:lvl>
  </w:abstractNum>
  <w:abstractNum w:abstractNumId="6">
    <w:nsid w:val="3A95F874"/>
    <w:multiLevelType w:val="hybridMultilevel"/>
    <w:lvl w:ilvl="0">
      <w:lvlJc w:val="left"/>
      <w:lvlText w:val="(%1)"/>
      <w:numFmt w:val="decimal"/>
      <w:start w:val="1"/>
    </w:lvl>
  </w:abstractNum>
  <w:abstractNum w:abstractNumId="7">
    <w:nsid w:val="8138641"/>
    <w:multiLevelType w:val="hybridMultilevel"/>
    <w:lvl w:ilvl="0">
      <w:lvlJc w:val="left"/>
      <w:lvlText w:val="(%1)"/>
      <w:numFmt w:val="decimal"/>
      <w:start w:val="1"/>
    </w:lvl>
  </w:abstractNum>
  <w:abstractNum w:abstractNumId="8">
    <w:nsid w:val="1E7FF521"/>
    <w:multiLevelType w:val="hybridMultilevel"/>
    <w:lvl w:ilvl="0">
      <w:lvlJc w:val="left"/>
      <w:lvlText w:val="(%1)"/>
      <w:numFmt w:val="decimal"/>
      <w:start w:val="1"/>
    </w:lvl>
  </w:abstractNum>
  <w:abstractNum w:abstractNumId="9">
    <w:nsid w:val="7C3DBD3D"/>
    <w:multiLevelType w:val="hybridMultilevel"/>
    <w:lvl w:ilvl="0">
      <w:lvlJc w:val="left"/>
      <w:lvlText w:val="(%1)"/>
      <w:numFmt w:val="decimal"/>
      <w:start w:val="1"/>
    </w:lvl>
  </w:abstractNum>
  <w:abstractNum w:abstractNumId="10">
    <w:nsid w:val="737B8DDC"/>
    <w:multiLevelType w:val="hybridMultilevel"/>
    <w:lvl w:ilvl="0">
      <w:lvlJc w:val="left"/>
      <w:lvlText w:val="(%1)"/>
      <w:numFmt w:val="decimal"/>
      <w:start w:val="1"/>
    </w:lvl>
  </w:abstractNum>
  <w:abstractNum w:abstractNumId="11">
    <w:nsid w:val="6CEAF087"/>
    <w:multiLevelType w:val="hybridMultilevel"/>
    <w:lvl w:ilvl="0">
      <w:lvlJc w:val="left"/>
      <w:lvlText w:val="(%1)"/>
      <w:numFmt w:val="decimal"/>
      <w:start w:val="1"/>
    </w:lvl>
  </w:abstractNum>
  <w:abstractNum w:abstractNumId="12">
    <w:nsid w:val="22221A70"/>
    <w:multiLevelType w:val="hybridMultilevel"/>
    <w:lvl w:ilvl="0">
      <w:lvlJc w:val="left"/>
      <w:lvlText w:val="(%1)"/>
      <w:numFmt w:val="decimal"/>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1)"/>
      <w:numFmt w:val="decimal"/>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1)"/>
      <w:numFmt w:val="decimal"/>
      <w:start w:val="1"/>
    </w:lvl>
  </w:abstractNum>
  <w:abstractNum w:abstractNumId="21">
    <w:nsid w:val="77465F01"/>
    <w:multiLevelType w:val="hybridMultilevel"/>
    <w:lvl w:ilvl="0">
      <w:lvlJc w:val="left"/>
      <w:lvlText w:val="%1."/>
      <w:numFmt w:val="decimal"/>
      <w:start w:val="1"/>
    </w:lvl>
  </w:abstractNum>
  <w:abstractNum w:abstractNumId="22">
    <w:nsid w:val="7724C67E"/>
    <w:multiLevelType w:val="hybridMultilevel"/>
    <w:lvl w:ilvl="0">
      <w:lvlJc w:val="left"/>
      <w:lvlText w:val="(%1)"/>
      <w:numFmt w:val="decimal"/>
      <w:start w:val="1"/>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1)"/>
      <w:numFmt w:val="decimal"/>
      <w:start w:val="1"/>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1)"/>
      <w:numFmt w:val="upperLetter"/>
      <w:start w:val="1"/>
    </w:lvl>
  </w:abstractNum>
  <w:abstractNum w:abstractNumId="27">
    <w:nsid w:val="2D517796"/>
    <w:multiLevelType w:val="hybridMultilevel"/>
    <w:lvl w:ilvl="0">
      <w:lvlJc w:val="left"/>
      <w:lvlText w:val="(%1)"/>
      <w:numFmt w:val="upperLetter"/>
      <w:start w:val="2"/>
    </w:lvl>
  </w:abstractNum>
  <w:abstractNum w:abstractNumId="28">
    <w:nsid w:val="580BD78F"/>
    <w:multiLevelType w:val="hybridMultilevel"/>
    <w:lvl w:ilvl="0">
      <w:lvlJc w:val="left"/>
      <w:lvlText w:val="(%1)"/>
      <w:numFmt w:val="upperLetter"/>
      <w:start w:val="7"/>
    </w:lvl>
  </w:abstractNum>
  <w:abstractNum w:abstractNumId="29">
    <w:nsid w:val="153EA438"/>
    <w:multiLevelType w:val="hybridMultilevel"/>
    <w:lvl w:ilvl="0">
      <w:lvlJc w:val="left"/>
      <w:lvlText w:val="(%1)"/>
      <w:numFmt w:val="lowerRoman"/>
      <w:start w:val="1"/>
    </w:lvl>
  </w:abstractNum>
  <w:abstractNum w:abstractNumId="30">
    <w:nsid w:val="3855585C"/>
    <w:multiLevelType w:val="hybridMultilevel"/>
    <w:lvl w:ilvl="0">
      <w:lvlJc w:val="left"/>
      <w:lvlText w:val="(%1)"/>
      <w:numFmt w:val="lowerRoman"/>
      <w:start w:val="3"/>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upperLetter"/>
      <w:start w:val="1"/>
    </w:lvl>
  </w:abstractNum>
  <w:abstractNum w:abstractNumId="33">
    <w:nsid w:val="2A487CB0"/>
    <w:multiLevelType w:val="hybridMultilevel"/>
    <w:lvl w:ilvl="0">
      <w:lvlJc w:val="left"/>
      <w:lvlText w:val="%1"/>
      <w:numFmt w:val="upperLetter"/>
      <w:start w:val="1"/>
    </w:lvl>
    <w:lvl w:ilvl="1">
      <w:lvlJc w:val="left"/>
      <w:lvlText w:val="(%2)"/>
      <w:numFmt w:val="decimal"/>
      <w:start w:val="1"/>
    </w:lvl>
  </w:abstractNum>
  <w:abstractNum w:abstractNumId="34">
    <w:nsid w:val="1D4ED43B"/>
    <w:multiLevelType w:val="hybridMultilevel"/>
    <w:lvl w:ilvl="0">
      <w:lvlJc w:val="left"/>
      <w:lvlText w:val="(%1)"/>
      <w:numFmt w:val="upperLetter"/>
      <w:start w:val="3"/>
    </w:lvl>
    <w:lvl w:ilvl="1">
      <w:lvlJc w:val="left"/>
      <w:lvlText w:val="%2"/>
      <w:numFmt w:val="decimal"/>
      <w:start w:val="1"/>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1"/>
      <w:numFmt w:val="upperLetter"/>
      <w:start w:val="1"/>
    </w:lvl>
    <w:lvl w:ilvl="1">
      <w:lvlJc w:val="left"/>
      <w:lvlText w:val="(%2)"/>
      <w:numFmt w:val="decimal"/>
      <w:start w:val="3"/>
    </w:lvl>
  </w:abstractNum>
  <w:abstractNum w:abstractNumId="37">
    <w:nsid w:val="57E4CCAF"/>
    <w:multiLevelType w:val="hybridMultilevel"/>
    <w:lvl w:ilvl="0">
      <w:lvlJc w:val="left"/>
      <w:lvlText w:val="(%1)"/>
      <w:numFmt w:val="upperLetter"/>
      <w:start w:val="6"/>
    </w:lvl>
    <w:lvl w:ilvl="1">
      <w:lvlJc w:val="left"/>
      <w:lvlText w:val="%2"/>
      <w:numFmt w:val="decimal"/>
      <w:start w:val="1"/>
    </w:lvl>
  </w:abstractNum>
  <w:abstractNum w:abstractNumId="38">
    <w:nsid w:val="7A6D8D3C"/>
    <w:multiLevelType w:val="hybridMultilevel"/>
    <w:lvl w:ilvl="0">
      <w:lvlJc w:val="left"/>
      <w:lvlText w:val="(%1)"/>
      <w:numFmt w:val="upperLetter"/>
      <w:start w:val="9"/>
    </w:lvl>
  </w:abstractNum>
  <w:abstractNum w:abstractNumId="39">
    <w:nsid w:val="4B588F54"/>
    <w:multiLevelType w:val="hybridMultilevel"/>
    <w:lvl w:ilvl="0">
      <w:lvlJc w:val="left"/>
      <w:lvlText w:val="(%1)"/>
      <w:numFmt w:val="upperLetter"/>
      <w:start w:val="1"/>
    </w:lvl>
  </w:abstractNum>
  <w:abstractNum w:abstractNumId="40">
    <w:nsid w:val="542289EC"/>
    <w:multiLevelType w:val="hybridMultilevel"/>
    <w:lvl w:ilvl="0">
      <w:lvlJc w:val="left"/>
      <w:lvlText w:val="(%1)"/>
      <w:numFmt w:val="decimal"/>
      <w:start w:val="1"/>
    </w:lvl>
  </w:abstractNum>
  <w:abstractNum w:abstractNumId="41">
    <w:nsid w:val="6DE91B18"/>
    <w:multiLevelType w:val="hybridMultilevel"/>
    <w:lvl w:ilvl="0">
      <w:lvlJc w:val="left"/>
      <w:lvlText w:val="(%1)"/>
      <w:numFmt w:val="upperLetter"/>
      <w:start w:val="5"/>
    </w:lvl>
  </w:abstractNum>
  <w:abstractNum w:abstractNumId="42">
    <w:nsid w:val="38437FDB"/>
    <w:multiLevelType w:val="hybridMultilevel"/>
    <w:lvl w:ilvl="0">
      <w:lvlJc w:val="left"/>
      <w:lvlText w:val="(%1)"/>
      <w:numFmt w:val="upperLetter"/>
      <w:start w:val="1"/>
    </w:lvl>
    <w:lvl w:ilvl="1">
      <w:lvlJc w:val="left"/>
      <w:lvlText w:val="(%2)"/>
      <w:numFmt w:val="decimal"/>
      <w:start w:val="1"/>
    </w:lvl>
  </w:abstractNum>
  <w:abstractNum w:abstractNumId="43">
    <w:nsid w:val="7644A45C"/>
    <w:multiLevelType w:val="hybridMultilevel"/>
    <w:lvl w:ilvl="0">
      <w:lvlJc w:val="left"/>
      <w:lvlText w:val="%1"/>
      <w:numFmt w:val="upperLetter"/>
      <w:start w:val="1"/>
    </w:lvl>
    <w:lvl w:ilvl="1">
      <w:lvlJc w:val="left"/>
      <w:lvlText w:val="(%2)"/>
      <w:numFmt w:val="decimal"/>
      <w:start w:val="4"/>
    </w:lvl>
  </w:abstractNum>
  <w:abstractNum w:abstractNumId="44">
    <w:nsid w:val="32FFF902"/>
    <w:multiLevelType w:val="hybridMultilevel"/>
    <w:lvl w:ilvl="0">
      <w:lvlJc w:val="left"/>
      <w:lvlText w:val="(%1)"/>
      <w:numFmt w:val="upperLetter"/>
      <w:start w:val="3"/>
    </w:lvl>
    <w:lvl w:ilvl="1">
      <w:lvlJc w:val="left"/>
      <w:lvlText w:val="(%2)"/>
      <w:numFmt w:val="decimal"/>
      <w:start w:val="1"/>
    </w:lvl>
  </w:abstractNum>
  <w:abstractNum w:abstractNumId="45">
    <w:nsid w:val="684A481A"/>
    <w:multiLevelType w:val="hybridMultilevel"/>
    <w:lvl w:ilvl="0">
      <w:lvlJc w:val="left"/>
      <w:lvlText w:val="(%1)"/>
      <w:numFmt w:val="upperLetter"/>
      <w:start w:val="4"/>
    </w:lvl>
  </w:abstractNum>
  <w:abstractNum w:abstractNumId="46">
    <w:nsid w:val="579478FE"/>
    <w:multiLevelType w:val="hybridMultilevel"/>
    <w:lvl w:ilvl="0">
      <w:lvlJc w:val="left"/>
      <w:lvlText w:val="%1."/>
      <w:numFmt w:val="decimal"/>
      <w:start w:val="1"/>
    </w:lvl>
    <w:lvl w:ilvl="1">
      <w:lvlJc w:val="left"/>
      <w:lvlText w:val="%2)"/>
      <w:numFmt w:val="lowerLetter"/>
      <w:start w:val="1"/>
    </w:lvl>
  </w:abstractNum>
  <w:abstractNum w:abstractNumId="47">
    <w:nsid w:val="749ABB43"/>
    <w:multiLevelType w:val="hybridMultilevel"/>
    <w:lvl w:ilvl="0">
      <w:lvlJc w:val="left"/>
      <w:lvlText w:val="%1"/>
      <w:numFmt w:val="decimal"/>
      <w:start w:val="1"/>
    </w:lvl>
    <w:lvl w:ilvl="1">
      <w:lvlJc w:val="left"/>
      <w:lvlText w:val="%2)"/>
      <w:numFmt w:val="lowerLetter"/>
      <w:start w:val="3"/>
    </w:lvl>
  </w:abstractNum>
  <w:abstractNum w:abstractNumId="48">
    <w:nsid w:val="3DC240FB"/>
    <w:multiLevelType w:val="hybridMultilevel"/>
    <w:lvl w:ilvl="0">
      <w:lvlJc w:val="left"/>
      <w:lvlText w:val="%1."/>
      <w:numFmt w:val="decimal"/>
      <w:start w:val="5"/>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21" Type="http://schemas.openxmlformats.org/officeDocument/2006/relationships/image" Target="media/image610.png"/><Relationship Id="rId622" Type="http://schemas.openxmlformats.org/officeDocument/2006/relationships/image" Target="media/image611.png"/><Relationship Id="rId623" Type="http://schemas.openxmlformats.org/officeDocument/2006/relationships/image" Target="media/image612.png"/><Relationship Id="rId624" Type="http://schemas.openxmlformats.org/officeDocument/2006/relationships/image" Target="media/image613.png"/><Relationship Id="rId625" Type="http://schemas.openxmlformats.org/officeDocument/2006/relationships/image" Target="media/image614.png"/><Relationship Id="rId626" Type="http://schemas.openxmlformats.org/officeDocument/2006/relationships/image" Target="media/image615.png"/><Relationship Id="rId627" Type="http://schemas.openxmlformats.org/officeDocument/2006/relationships/image" Target="media/image616.png"/><Relationship Id="rId628" Type="http://schemas.openxmlformats.org/officeDocument/2006/relationships/image" Target="media/image617.png"/><Relationship Id="rId629" Type="http://schemas.openxmlformats.org/officeDocument/2006/relationships/image" Target="media/image618.png"/><Relationship Id="rId630" Type="http://schemas.openxmlformats.org/officeDocument/2006/relationships/image" Target="media/image619.png"/><Relationship Id="rId631" Type="http://schemas.openxmlformats.org/officeDocument/2006/relationships/image" Target="media/image620.png"/><Relationship Id="rId632" Type="http://schemas.openxmlformats.org/officeDocument/2006/relationships/image" Target="media/image621.png"/><Relationship Id="rId633" Type="http://schemas.openxmlformats.org/officeDocument/2006/relationships/image" Target="media/image622.png"/><Relationship Id="rId634" Type="http://schemas.openxmlformats.org/officeDocument/2006/relationships/image" Target="media/image623.png"/><Relationship Id="rId635" Type="http://schemas.openxmlformats.org/officeDocument/2006/relationships/image" Target="media/image624.png"/><Relationship Id="rId636" Type="http://schemas.openxmlformats.org/officeDocument/2006/relationships/image" Target="media/image625.png"/><Relationship Id="rId637" Type="http://schemas.openxmlformats.org/officeDocument/2006/relationships/image" Target="media/image626.png"/><Relationship Id="rId638" Type="http://schemas.openxmlformats.org/officeDocument/2006/relationships/image" Target="media/image627.png"/><Relationship Id="rId639" Type="http://schemas.openxmlformats.org/officeDocument/2006/relationships/image" Target="media/image628.png"/><Relationship Id="rId640" Type="http://schemas.openxmlformats.org/officeDocument/2006/relationships/image" Target="media/image629.png"/><Relationship Id="rId641" Type="http://schemas.openxmlformats.org/officeDocument/2006/relationships/image" Target="media/image630.png"/><Relationship Id="rId642" Type="http://schemas.openxmlformats.org/officeDocument/2006/relationships/image" Target="media/image631.png"/><Relationship Id="rId643" Type="http://schemas.openxmlformats.org/officeDocument/2006/relationships/image" Target="media/image632.png"/><Relationship Id="rId644" Type="http://schemas.openxmlformats.org/officeDocument/2006/relationships/image" Target="media/image633.png"/><Relationship Id="rId645" Type="http://schemas.openxmlformats.org/officeDocument/2006/relationships/image" Target="media/image634.png"/><Relationship Id="rId617" Type="http://schemas.openxmlformats.org/officeDocument/2006/relationships/hyperlink" Target="https://www.sec.gov/Archives/edgar/data/1504619/000119312511080862/dex99a.htm" TargetMode="External"/><Relationship Id="rId618" Type="http://schemas.openxmlformats.org/officeDocument/2006/relationships/hyperlink" Target="https://www.sec.gov/Archives/edgar/data/1504619/000156459020024167/pflt-ex32_144.htm" TargetMode="External"/><Relationship Id="rId619" Type="http://schemas.openxmlformats.org/officeDocument/2006/relationships/hyperlink" Target="https://www.sec.gov/Archives/edgar/data/1504619/000119312511088977/dex99d.htm" TargetMode="External"/><Relationship Id="rId620" Type="http://schemas.openxmlformats.org/officeDocument/2006/relationships/hyperlink" Target="https://www.sec.gov/Archives/edgar/data/1504619/000150461911000050/pfltprivacypolicy0930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2022-05-05T05:46:02Z</dcterms:created>
  <dcterms:modified xsi:type="dcterms:W3CDTF">2022-05-05T05:46:02Z</dcterms:modified>
</cp:coreProperties>
</file>