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10,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10, 2018, PennantPark Floating Rate Capital Ltd. issued a press release announcing its financial results for the second fiscal quarter ended March 31, 2018. A copy of the press release is furnished as Exhibit 99.1 to this report pursuant to Item 2.02 on Form 8-K and Regulation FD.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of PennantPark Floating Rate Capital Ltd. dated May 10,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5100" w:type="dxa"/>
            <w:vAlign w:val="bottom"/>
            <w:gridSpan w:val="3"/>
          </w:tcPr>
          <w:p>
            <w:pPr>
              <w:ind w:left="20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60" w:type="dxa"/>
            <w:vAlign w:val="bottom"/>
          </w:tcPr>
          <w:p>
            <w:pPr>
              <w:spacing w:after="0"/>
              <w:rPr>
                <w:sz w:val="20"/>
                <w:szCs w:val="20"/>
                <w:color w:val="auto"/>
              </w:rPr>
            </w:pPr>
            <w:r>
              <w:rPr>
                <w:rFonts w:ascii="Arial" w:cs="Arial" w:eastAsia="Arial" w:hAnsi="Arial"/>
                <w:sz w:val="18"/>
                <w:szCs w:val="18"/>
                <w:color w:val="auto"/>
              </w:rPr>
              <w:t>Date: May 10, 2018</w:t>
            </w:r>
          </w:p>
        </w:tc>
        <w:tc>
          <w:tcPr>
            <w:tcW w:w="5100" w:type="dxa"/>
            <w:vAlign w:val="bottom"/>
            <w:gridSpan w:val="3"/>
          </w:tcPr>
          <w:p>
            <w:pPr>
              <w:ind w:left="2000"/>
              <w:spacing w:after="0"/>
              <w:rPr>
                <w:sz w:val="20"/>
                <w:szCs w:val="20"/>
                <w:color w:val="auto"/>
              </w:rPr>
            </w:pPr>
            <w:r>
              <w:rPr>
                <w:rFonts w:ascii="Arial" w:cs="Arial" w:eastAsia="Arial" w:hAnsi="Arial"/>
                <w:sz w:val="18"/>
                <w:szCs w:val="18"/>
                <w:color w:val="auto"/>
              </w:rPr>
              <w:t>By: /s/ Aviv Efrat</w:t>
            </w:r>
          </w:p>
        </w:tc>
      </w:tr>
      <w:tr>
        <w:trPr>
          <w:trHeight w:val="222"/>
        </w:trPr>
        <w:tc>
          <w:tcPr>
            <w:tcW w:w="3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March 31, 2018</w:t>
      </w:r>
    </w:p>
    <w:p>
      <w:pPr>
        <w:spacing w:after="0" w:line="212"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NEW YORK, May 10, 2018 (GLOBE NEWSWIRE) -- PennantPark Floating Rate Capital Ltd. (NASDAQ:PFLT) (TASE:PFLT) announced today financial results for the second fiscal quarter ended March 31, 2018.</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HIGHLIGHTS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March 31, 2018</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820" w:type="dxa"/>
            <w:vAlign w:val="bottom"/>
          </w:tcPr>
          <w:p>
            <w:pPr>
              <w:spacing w:after="0"/>
              <w:rPr>
                <w:sz w:val="20"/>
                <w:szCs w:val="20"/>
                <w:color w:val="auto"/>
              </w:rPr>
            </w:pPr>
            <w:r>
              <w:rPr>
                <w:rFonts w:ascii="Arial" w:cs="Arial" w:eastAsia="Arial" w:hAnsi="Arial"/>
                <w:sz w:val="22"/>
                <w:szCs w:val="22"/>
                <w:color w:val="auto"/>
              </w:rPr>
              <w:t>Assets and Liabilities:</w:t>
            </w:r>
          </w:p>
        </w:tc>
        <w:tc>
          <w:tcPr>
            <w:tcW w:w="30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320"/>
        </w:trPr>
        <w:tc>
          <w:tcPr>
            <w:tcW w:w="6820" w:type="dxa"/>
            <w:vAlign w:val="bottom"/>
          </w:tcPr>
          <w:p>
            <w:pPr>
              <w:ind w:left="10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30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72"/>
              <w:spacing w:after="0"/>
              <w:rPr>
                <w:sz w:val="20"/>
                <w:szCs w:val="20"/>
                <w:color w:val="auto"/>
              </w:rPr>
            </w:pPr>
            <w:r>
              <w:rPr>
                <w:rFonts w:ascii="Arial" w:cs="Arial" w:eastAsia="Arial" w:hAnsi="Arial"/>
                <w:sz w:val="22"/>
                <w:szCs w:val="22"/>
                <w:color w:val="auto"/>
              </w:rPr>
              <w:t>833.8</w:t>
            </w:r>
          </w:p>
        </w:tc>
      </w:tr>
      <w:tr>
        <w:trPr>
          <w:trHeight w:val="270"/>
        </w:trPr>
        <w:tc>
          <w:tcPr>
            <w:tcW w:w="6820" w:type="dxa"/>
            <w:vAlign w:val="bottom"/>
          </w:tcPr>
          <w:p>
            <w:pPr>
              <w:ind w:left="100"/>
              <w:spacing w:after="0"/>
              <w:rPr>
                <w:sz w:val="20"/>
                <w:szCs w:val="20"/>
                <w:color w:val="auto"/>
              </w:rPr>
            </w:pPr>
            <w:r>
              <w:rPr>
                <w:rFonts w:ascii="Arial" w:cs="Arial" w:eastAsia="Arial" w:hAnsi="Arial"/>
                <w:sz w:val="22"/>
                <w:szCs w:val="22"/>
                <w:color w:val="auto"/>
              </w:rPr>
              <w:t>PSSL investment portfolio</w:t>
            </w:r>
          </w:p>
        </w:tc>
        <w:tc>
          <w:tcPr>
            <w:tcW w:w="30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72"/>
              <w:spacing w:after="0"/>
              <w:rPr>
                <w:sz w:val="20"/>
                <w:szCs w:val="20"/>
                <w:color w:val="auto"/>
              </w:rPr>
            </w:pPr>
            <w:r>
              <w:rPr>
                <w:rFonts w:ascii="Arial" w:cs="Arial" w:eastAsia="Arial" w:hAnsi="Arial"/>
                <w:sz w:val="22"/>
                <w:szCs w:val="22"/>
                <w:color w:val="auto"/>
              </w:rPr>
              <w:t>221.2</w:t>
            </w:r>
          </w:p>
        </w:tc>
      </w:tr>
      <w:tr>
        <w:trPr>
          <w:trHeight w:val="270"/>
        </w:trPr>
        <w:tc>
          <w:tcPr>
            <w:tcW w:w="6820" w:type="dxa"/>
            <w:vAlign w:val="bottom"/>
          </w:tcPr>
          <w:p>
            <w:pPr>
              <w:ind w:left="100"/>
              <w:spacing w:after="0"/>
              <w:rPr>
                <w:sz w:val="20"/>
                <w:szCs w:val="20"/>
                <w:color w:val="auto"/>
              </w:rPr>
            </w:pPr>
            <w:r>
              <w:rPr>
                <w:rFonts w:ascii="Arial" w:cs="Arial" w:eastAsia="Arial" w:hAnsi="Arial"/>
                <w:sz w:val="22"/>
                <w:szCs w:val="22"/>
                <w:color w:val="auto"/>
              </w:rPr>
              <w:t>Net assets</w:t>
            </w:r>
          </w:p>
        </w:tc>
        <w:tc>
          <w:tcPr>
            <w:tcW w:w="30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72"/>
              <w:spacing w:after="0"/>
              <w:rPr>
                <w:sz w:val="20"/>
                <w:szCs w:val="20"/>
                <w:color w:val="auto"/>
              </w:rPr>
            </w:pPr>
            <w:r>
              <w:rPr>
                <w:rFonts w:ascii="Arial" w:cs="Arial" w:eastAsia="Arial" w:hAnsi="Arial"/>
                <w:sz w:val="22"/>
                <w:szCs w:val="22"/>
                <w:color w:val="auto"/>
              </w:rPr>
              <w:t>542.0</w:t>
            </w:r>
          </w:p>
        </w:tc>
      </w:tr>
      <w:tr>
        <w:trPr>
          <w:trHeight w:val="274"/>
        </w:trPr>
        <w:tc>
          <w:tcPr>
            <w:tcW w:w="6820" w:type="dxa"/>
            <w:vAlign w:val="bottom"/>
          </w:tcPr>
          <w:p>
            <w:pPr>
              <w:ind w:left="100"/>
              <w:spacing w:after="0"/>
              <w:rPr>
                <w:sz w:val="20"/>
                <w:szCs w:val="20"/>
                <w:color w:val="auto"/>
              </w:rPr>
            </w:pPr>
            <w:r>
              <w:rPr>
                <w:rFonts w:ascii="Arial" w:cs="Arial" w:eastAsia="Arial" w:hAnsi="Arial"/>
                <w:sz w:val="22"/>
                <w:szCs w:val="22"/>
                <w:color w:val="auto"/>
              </w:rPr>
              <w:t>Net asset value per share</w:t>
            </w:r>
          </w:p>
        </w:tc>
        <w:tc>
          <w:tcPr>
            <w:tcW w:w="30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72"/>
              <w:spacing w:after="0"/>
              <w:rPr>
                <w:sz w:val="20"/>
                <w:szCs w:val="20"/>
                <w:color w:val="auto"/>
              </w:rPr>
            </w:pPr>
            <w:r>
              <w:rPr>
                <w:rFonts w:ascii="Arial" w:cs="Arial" w:eastAsia="Arial" w:hAnsi="Arial"/>
                <w:sz w:val="22"/>
                <w:szCs w:val="22"/>
                <w:color w:val="auto"/>
              </w:rPr>
              <w:t>13.98</w:t>
            </w:r>
          </w:p>
        </w:tc>
      </w:tr>
      <w:tr>
        <w:trPr>
          <w:trHeight w:val="536"/>
        </w:trPr>
        <w:tc>
          <w:tcPr>
            <w:tcW w:w="6820" w:type="dxa"/>
            <w:vAlign w:val="bottom"/>
          </w:tcPr>
          <w:p>
            <w:pPr>
              <w:ind w:left="100"/>
              <w:spacing w:after="0"/>
              <w:rPr>
                <w:sz w:val="20"/>
                <w:szCs w:val="20"/>
                <w:color w:val="auto"/>
              </w:rPr>
            </w:pPr>
            <w:r>
              <w:rPr>
                <w:rFonts w:ascii="Arial" w:cs="Arial" w:eastAsia="Arial" w:hAnsi="Arial"/>
                <w:sz w:val="22"/>
                <w:szCs w:val="22"/>
                <w:color w:val="auto"/>
              </w:rPr>
              <w:t>Credit Facility</w:t>
            </w:r>
          </w:p>
        </w:tc>
        <w:tc>
          <w:tcPr>
            <w:tcW w:w="30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72"/>
              <w:spacing w:after="0"/>
              <w:rPr>
                <w:sz w:val="20"/>
                <w:szCs w:val="20"/>
                <w:color w:val="auto"/>
              </w:rPr>
            </w:pPr>
            <w:r>
              <w:rPr>
                <w:rFonts w:ascii="Arial" w:cs="Arial" w:eastAsia="Arial" w:hAnsi="Arial"/>
                <w:sz w:val="22"/>
                <w:szCs w:val="22"/>
                <w:color w:val="auto"/>
              </w:rPr>
              <w:t>191.5</w:t>
            </w:r>
          </w:p>
        </w:tc>
      </w:tr>
      <w:tr>
        <w:trPr>
          <w:trHeight w:val="274"/>
        </w:trPr>
        <w:tc>
          <w:tcPr>
            <w:tcW w:w="6820" w:type="dxa"/>
            <w:vAlign w:val="bottom"/>
          </w:tcPr>
          <w:p>
            <w:pPr>
              <w:ind w:left="100"/>
              <w:spacing w:after="0"/>
              <w:rPr>
                <w:sz w:val="20"/>
                <w:szCs w:val="20"/>
                <w:color w:val="auto"/>
              </w:rPr>
            </w:pPr>
            <w:r>
              <w:rPr>
                <w:rFonts w:ascii="Arial" w:cs="Arial" w:eastAsia="Arial" w:hAnsi="Arial"/>
                <w:sz w:val="22"/>
                <w:szCs w:val="22"/>
                <w:color w:val="auto"/>
              </w:rPr>
              <w:t>2023 Notes</w:t>
            </w:r>
          </w:p>
        </w:tc>
        <w:tc>
          <w:tcPr>
            <w:tcW w:w="30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72"/>
              <w:spacing w:after="0"/>
              <w:rPr>
                <w:sz w:val="20"/>
                <w:szCs w:val="20"/>
                <w:color w:val="auto"/>
              </w:rPr>
            </w:pPr>
            <w:r>
              <w:rPr>
                <w:rFonts w:ascii="Arial" w:cs="Arial" w:eastAsia="Arial" w:hAnsi="Arial"/>
                <w:sz w:val="22"/>
                <w:szCs w:val="22"/>
                <w:color w:val="auto"/>
              </w:rPr>
              <w:t>131.9</w:t>
            </w:r>
          </w:p>
        </w:tc>
      </w:tr>
      <w:tr>
        <w:trPr>
          <w:trHeight w:val="540"/>
        </w:trPr>
        <w:tc>
          <w:tcPr>
            <w:tcW w:w="6820" w:type="dxa"/>
            <w:vAlign w:val="bottom"/>
          </w:tcPr>
          <w:p>
            <w:pPr>
              <w:ind w:left="100"/>
              <w:spacing w:after="0"/>
              <w:rPr>
                <w:sz w:val="20"/>
                <w:szCs w:val="20"/>
                <w:color w:val="auto"/>
              </w:rPr>
            </w:pPr>
            <w:r>
              <w:rPr>
                <w:rFonts w:ascii="Arial" w:cs="Arial" w:eastAsia="Arial" w:hAnsi="Arial"/>
                <w:sz w:val="22"/>
                <w:szCs w:val="22"/>
                <w:color w:val="auto"/>
              </w:rPr>
              <w:t>Yield on debt investments at quarter-end</w:t>
            </w:r>
          </w:p>
        </w:tc>
        <w:tc>
          <w:tcPr>
            <w:tcW w:w="30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536"/>
        </w:trPr>
        <w:tc>
          <w:tcPr>
            <w:tcW w:w="6820" w:type="dxa"/>
            <w:vAlign w:val="bottom"/>
          </w:tcPr>
          <w:p>
            <w:pPr>
              <w:spacing w:after="0"/>
              <w:rPr>
                <w:sz w:val="20"/>
                <w:szCs w:val="20"/>
                <w:color w:val="auto"/>
              </w:rPr>
            </w:pPr>
            <w:r>
              <w:rPr>
                <w:rFonts w:ascii="Arial" w:cs="Arial" w:eastAsia="Arial" w:hAnsi="Arial"/>
                <w:sz w:val="22"/>
                <w:szCs w:val="22"/>
                <w:color w:val="auto"/>
              </w:rPr>
              <w:t>Operating Results:</w:t>
            </w: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820" w:type="dxa"/>
            <w:vAlign w:val="bottom"/>
          </w:tcPr>
          <w:p>
            <w:pPr>
              <w:ind w:left="100"/>
              <w:spacing w:after="0"/>
              <w:rPr>
                <w:sz w:val="20"/>
                <w:szCs w:val="20"/>
                <w:color w:val="auto"/>
              </w:rPr>
            </w:pPr>
            <w:r>
              <w:rPr>
                <w:rFonts w:ascii="Arial" w:cs="Arial" w:eastAsia="Arial" w:hAnsi="Arial"/>
                <w:sz w:val="22"/>
                <w:szCs w:val="22"/>
                <w:color w:val="auto"/>
              </w:rPr>
              <w:t>Net investment income</w:t>
            </w:r>
          </w:p>
        </w:tc>
        <w:tc>
          <w:tcPr>
            <w:tcW w:w="306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9.4</w:t>
            </w:r>
          </w:p>
        </w:tc>
      </w:tr>
      <w:tr>
        <w:trPr>
          <w:trHeight w:val="270"/>
        </w:trPr>
        <w:tc>
          <w:tcPr>
            <w:tcW w:w="6820" w:type="dxa"/>
            <w:vAlign w:val="bottom"/>
          </w:tcPr>
          <w:p>
            <w:pPr>
              <w:ind w:left="100"/>
              <w:spacing w:after="0"/>
              <w:rPr>
                <w:sz w:val="20"/>
                <w:szCs w:val="20"/>
                <w:color w:val="auto"/>
              </w:rPr>
            </w:pPr>
            <w:r>
              <w:rPr>
                <w:rFonts w:ascii="Arial" w:cs="Arial" w:eastAsia="Arial" w:hAnsi="Arial"/>
                <w:sz w:val="22"/>
                <w:szCs w:val="22"/>
                <w:color w:val="auto"/>
              </w:rPr>
              <w:t>Net investment income per share</w:t>
            </w:r>
          </w:p>
        </w:tc>
        <w:tc>
          <w:tcPr>
            <w:tcW w:w="306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0.24</w:t>
            </w:r>
          </w:p>
        </w:tc>
      </w:tr>
      <w:tr>
        <w:trPr>
          <w:trHeight w:val="274"/>
        </w:trPr>
        <w:tc>
          <w:tcPr>
            <w:tcW w:w="6820" w:type="dxa"/>
            <w:vAlign w:val="bottom"/>
          </w:tcPr>
          <w:p>
            <w:pPr>
              <w:ind w:left="100"/>
              <w:spacing w:after="0"/>
              <w:rPr>
                <w:sz w:val="20"/>
                <w:szCs w:val="20"/>
                <w:color w:val="auto"/>
              </w:rPr>
            </w:pPr>
            <w:r>
              <w:rPr>
                <w:rFonts w:ascii="Arial" w:cs="Arial" w:eastAsia="Arial" w:hAnsi="Arial"/>
                <w:sz w:val="22"/>
                <w:szCs w:val="22"/>
                <w:color w:val="auto"/>
              </w:rPr>
              <w:t>Distributions declared per share</w:t>
            </w:r>
          </w:p>
        </w:tc>
        <w:tc>
          <w:tcPr>
            <w:tcW w:w="306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0.285</w:t>
            </w:r>
          </w:p>
        </w:tc>
      </w:tr>
      <w:tr>
        <w:trPr>
          <w:trHeight w:val="536"/>
        </w:trPr>
        <w:tc>
          <w:tcPr>
            <w:tcW w:w="6820" w:type="dxa"/>
            <w:vAlign w:val="bottom"/>
          </w:tcPr>
          <w:p>
            <w:pPr>
              <w:spacing w:after="0"/>
              <w:rPr>
                <w:sz w:val="20"/>
                <w:szCs w:val="20"/>
                <w:color w:val="auto"/>
              </w:rPr>
            </w:pPr>
            <w:r>
              <w:rPr>
                <w:rFonts w:ascii="Arial" w:cs="Arial" w:eastAsia="Arial" w:hAnsi="Arial"/>
                <w:sz w:val="22"/>
                <w:szCs w:val="22"/>
                <w:color w:val="auto"/>
              </w:rPr>
              <w:t>Portfolio Activity:</w:t>
            </w:r>
          </w:p>
        </w:tc>
        <w:tc>
          <w:tcPr>
            <w:tcW w:w="3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820" w:type="dxa"/>
            <w:vAlign w:val="bottom"/>
          </w:tcPr>
          <w:p>
            <w:pPr>
              <w:ind w:left="100"/>
              <w:spacing w:after="0"/>
              <w:rPr>
                <w:sz w:val="20"/>
                <w:szCs w:val="20"/>
                <w:color w:val="auto"/>
              </w:rPr>
            </w:pPr>
            <w:r>
              <w:rPr>
                <w:rFonts w:ascii="Arial" w:cs="Arial" w:eastAsia="Arial" w:hAnsi="Arial"/>
                <w:sz w:val="22"/>
                <w:szCs w:val="22"/>
                <w:color w:val="auto"/>
              </w:rPr>
              <w:t>Purchases of investments</w:t>
            </w:r>
          </w:p>
        </w:tc>
        <w:tc>
          <w:tcPr>
            <w:tcW w:w="306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138.5</w:t>
            </w:r>
          </w:p>
        </w:tc>
      </w:tr>
      <w:tr>
        <w:trPr>
          <w:trHeight w:val="274"/>
        </w:trPr>
        <w:tc>
          <w:tcPr>
            <w:tcW w:w="6820" w:type="dxa"/>
            <w:vAlign w:val="bottom"/>
          </w:tcPr>
          <w:p>
            <w:pPr>
              <w:ind w:left="100"/>
              <w:spacing w:after="0"/>
              <w:rPr>
                <w:sz w:val="20"/>
                <w:szCs w:val="20"/>
                <w:color w:val="auto"/>
              </w:rPr>
            </w:pPr>
            <w:r>
              <w:rPr>
                <w:rFonts w:ascii="Arial" w:cs="Arial" w:eastAsia="Arial" w:hAnsi="Arial"/>
                <w:sz w:val="22"/>
                <w:szCs w:val="22"/>
                <w:color w:val="auto"/>
              </w:rPr>
              <w:t>Sales and repayments of investments</w:t>
            </w:r>
          </w:p>
        </w:tc>
        <w:tc>
          <w:tcPr>
            <w:tcW w:w="306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46.6</w:t>
            </w:r>
          </w:p>
        </w:tc>
      </w:tr>
      <w:tr>
        <w:trPr>
          <w:trHeight w:val="536"/>
        </w:trPr>
        <w:tc>
          <w:tcPr>
            <w:tcW w:w="6820" w:type="dxa"/>
            <w:vAlign w:val="bottom"/>
          </w:tcPr>
          <w:p>
            <w:pPr>
              <w:ind w:left="100"/>
              <w:spacing w:after="0"/>
              <w:rPr>
                <w:sz w:val="20"/>
                <w:szCs w:val="20"/>
                <w:color w:val="auto"/>
              </w:rPr>
            </w:pPr>
            <w:r>
              <w:rPr>
                <w:rFonts w:ascii="Arial" w:cs="Arial" w:eastAsia="Arial" w:hAnsi="Arial"/>
                <w:sz w:val="22"/>
                <w:szCs w:val="22"/>
                <w:color w:val="auto"/>
              </w:rPr>
              <w:t>Number of new portfolio companies invested</w:t>
            </w:r>
          </w:p>
        </w:tc>
        <w:tc>
          <w:tcPr>
            <w:tcW w:w="306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6</w:t>
            </w:r>
          </w:p>
        </w:tc>
      </w:tr>
      <w:tr>
        <w:trPr>
          <w:trHeight w:val="270"/>
        </w:trPr>
        <w:tc>
          <w:tcPr>
            <w:tcW w:w="6820" w:type="dxa"/>
            <w:vAlign w:val="bottom"/>
          </w:tcPr>
          <w:p>
            <w:pPr>
              <w:ind w:left="100"/>
              <w:spacing w:after="0"/>
              <w:rPr>
                <w:sz w:val="20"/>
                <w:szCs w:val="20"/>
                <w:color w:val="auto"/>
              </w:rPr>
            </w:pPr>
            <w:r>
              <w:rPr>
                <w:rFonts w:ascii="Arial" w:cs="Arial" w:eastAsia="Arial" w:hAnsi="Arial"/>
                <w:sz w:val="22"/>
                <w:szCs w:val="22"/>
                <w:color w:val="auto"/>
              </w:rPr>
              <w:t>Number of existing portfolio companies invested</w:t>
            </w:r>
          </w:p>
        </w:tc>
        <w:tc>
          <w:tcPr>
            <w:tcW w:w="306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17</w:t>
            </w:r>
          </w:p>
        </w:tc>
      </w:tr>
      <w:tr>
        <w:trPr>
          <w:trHeight w:val="274"/>
        </w:trPr>
        <w:tc>
          <w:tcPr>
            <w:tcW w:w="6820" w:type="dxa"/>
            <w:vAlign w:val="bottom"/>
          </w:tcPr>
          <w:p>
            <w:pPr>
              <w:ind w:left="100"/>
              <w:spacing w:after="0"/>
              <w:rPr>
                <w:sz w:val="20"/>
                <w:szCs w:val="20"/>
                <w:color w:val="auto"/>
              </w:rPr>
            </w:pPr>
            <w:r>
              <w:rPr>
                <w:rFonts w:ascii="Arial" w:cs="Arial" w:eastAsia="Arial" w:hAnsi="Arial"/>
                <w:sz w:val="22"/>
                <w:szCs w:val="22"/>
                <w:color w:val="auto"/>
              </w:rPr>
              <w:t>Number of ending portfolio companies</w:t>
            </w:r>
          </w:p>
        </w:tc>
        <w:tc>
          <w:tcPr>
            <w:tcW w:w="306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86</w:t>
            </w:r>
          </w:p>
        </w:tc>
      </w:tr>
    </w:tbl>
    <w:p>
      <w:pPr>
        <w:spacing w:after="0" w:line="320" w:lineRule="exact"/>
        <w:rPr>
          <w:sz w:val="20"/>
          <w:szCs w:val="20"/>
          <w:color w:val="auto"/>
        </w:rPr>
      </w:pPr>
    </w:p>
    <w:p>
      <w:pPr>
        <w:ind w:left="20" w:right="380" w:firstLine="1"/>
        <w:spacing w:after="0" w:line="207" w:lineRule="auto"/>
        <w:tabs>
          <w:tab w:leader="none" w:pos="284" w:val="left"/>
        </w:tabs>
        <w:numPr>
          <w:ilvl w:val="0"/>
          <w:numId w:val="2"/>
        </w:numPr>
        <w:rPr>
          <w:rFonts w:ascii="Arial" w:cs="Arial" w:eastAsia="Arial" w:hAnsi="Arial"/>
          <w:sz w:val="32"/>
          <w:szCs w:val="32"/>
          <w:color w:val="auto"/>
          <w:vertAlign w:val="superscript"/>
        </w:rPr>
      </w:pPr>
      <w:r>
        <w:rPr>
          <w:rFonts w:ascii="Arial" w:cs="Arial" w:eastAsia="Arial" w:hAnsi="Arial"/>
          <w:sz w:val="20"/>
          <w:szCs w:val="20"/>
          <w:color w:val="auto"/>
        </w:rPr>
        <w:t>Includes investments in PennantPark Senior Secured Loan Fund I LLC, or PSSL, an unconsolidated joint venture, totaling $77.3 million, at fair value.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PennantPark Floating Rate Capital Ltd. (“we,” “our,” “us” or “Company”) will host a conference call at 10:00 a.m. (Eastern Time) on Friday, May 11, 2018 to discuss its financial results. All interested parties are welcome to participate. You can access the conference call by dialing toll-free (888) 394-8218 approximately 5-10 minutes prior to the call. International callers should dial (323) 701-0225. All callers should reference PennantPark Floating Rate Capital Ltd. An archived replay of the call will be available through May 25, 2018 by calling toll-free (888) 203-1112. International callers please dial (719) 457-0820. For all phone replays, please reference conference ID #8098265.</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our Note holders, the Company will also host an additional conference call on Monday, May 14, 2018 at 8:00 A.M. (Eastern Time) to discuss the financial results for the most recently completed fiscal quarter. All Note holders and other interested parties are welcome to participate. You can access the conference call by dialing toll-free (800) 289-0438 or 1809 212 883 approximately 5-10 minutes prior to the call. International callers should dial (323) 794-2423. All callers should reference PennantPark Floating Rate Capital Ltd. or conference ID #9976988.</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of March 31, 2018, our portfolio totaled $833.8 million and consisted of $758.5 million of first lien secured debt, $36.1 million of second lien secured debt and $39.2 million of subordinated debt, preferred and common equity (of which $24.1 million was invested in PSSL). Our debt portfolio consisted of 100% variable-rate investments (including 5% where London Interbank Offered Rate, or LIBOR, was below the floor). As of March 31, 2018, we had one company on non-accrual, representing 0.3% and 0.1% of our overall portfolio on a cost and fair value basis, respectively. Overall, the portfolio had net unrealized</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87" w:lineRule="auto"/>
        <w:rPr>
          <w:sz w:val="20"/>
          <w:szCs w:val="20"/>
          <w:color w:val="auto"/>
        </w:rPr>
      </w:pPr>
      <w:r>
        <w:rPr>
          <w:rFonts w:ascii="Arial" w:cs="Arial" w:eastAsia="Arial" w:hAnsi="Arial"/>
          <w:sz w:val="19"/>
          <w:szCs w:val="19"/>
          <w:color w:val="auto"/>
        </w:rPr>
        <w:t>appreciation of $5.0 million. Our overall portfolio consisted of 86 companies with an average investment size of $9.7 million, had a weighted average yield on debt investments of 8.6%, and was invested 91% in first lien secured debt (of which 6% was invested in PSSL), 4% in second lien secured debt and 5% in subordinated debt, preferred and common equity (of which 3% was invested in PSSL). As of March 31, 2018, all of the investments held by PSSL were first lien secured debt.</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2017, our portfolio totaled $710.5 million and consisted of $609.7 million of first lien secured debt, $37.8 million of second lien secured debt, $37.5 million of subordinated debt (of which $30.1 million was invested in PSSL) and $25.5 million of preferred and common equity (of which $13.4 million was invested in PSSL). Our debt portfolio consisted of 99% variable-rate investments (including 7% where LIBOR was below the floor) and 1% fixed-rate investments. As of September 30, 2017, we had one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(of which 4% was invested in PSSL) and 4% in preferred and common equity (of which 2% was invested in PSSL). As of September 30, 2017, all of the investments held by PSSL were first lien secured debt.</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2018, we invested $138.5 million in six new and 17 existing portfolio companies with a weighted average yield on debt investments of 7.8%. Sales and repayments of investments for the three months ended March 31, 2018 totaled $46.6 million. For the six months ended March 31, 2018, we invested $315.3 million in 17 new and 28 existing portfolio companies with a weighted average yield on debt investments of 7.9%. Sales and repayments of investments for the six months ended March 31, 2018 totaled $195.7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2017, we invested $146.3 million in nine new and 10 existing portfolio companies with a weighted average yield on debt investments of 7.8%. Sales and repayments of investments for the three months ended March 31, 2017 totaled $71.5 million. For the six months ended March 31, 2017, we invested $271.1 million in 21 new and 23 existing portfolio companies with a weighted average yield on debt investments of 7.7%. Sales and repayments of investments for the six months ended March 31, 2017 totaled $141.9 million.</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investments in people and capital into our platform have resulted in a significantly enhanced deal flow, which puts us in a position to be both active and selective. We are pleased with our activity level in the quarter ended March 31, 2018, most of which occurred toward the end of the quarter, as well as our activity level quarter to date,” said Arthur H. Penn, Chairman and CEO. “Our growing portfolio, increases in LIBOR, and the doubling of PSSL should provide a strong tailwind to growing our earnings stream.”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May 2018, we doubled the financial capacity of PSSL. We and Kemper each increased our respective debt and equity investments in PSSL while continuing to own 87.5% and 12.5%, respectively, of each of the outstanding first lien secured debt and equity interests. Our commitments to fund first lien secured debt to PSSL were increased by $64.3 million and our commitments to fund equity interests in PSSL were increased by $27.6 million. Additionally, PSSL’s credit facility was amended to, among other things, allow for borrowing of up to $420.0 million at any one time outstanding, subject to leverage and borrowing base restrictions.</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Through April 30, 2018, we have made investments totaling $62.8 million and PSSL has made investments totaling $43.0 million (of which $12.4 million was purchased from the Company).</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requirements applicable to us for senior securities will be reduced from 200% to 150%, effective as of April 5, 2019, subject to compliance with certain disclosure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March 31, 2018, PSSL’s portfolio totaled $221.2 million, consisted of 30 companies with an average investment size of $7.4 million and had a weighted average yield on debt investments of 7.6%. As of September 30, 2017, PSSL’s portfolio totaled $100.0 million, consisted of 18 companies with an average investment size of $5.6 million and had a weighted average yield on debt investments of 7.2%.</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March 31, 2018, PSSL invested $79.9 million (of which $6.2 million was purchased from the Company) in six new and three existing portfolio companies with a weighted average yield on debt investments of 7.4%. PSSL’s sales and repayments of investments for the three months ended March 31, 2018 totaled $6.9 million. For the six months ended March 31, 2018, PSSL invested $127.7 million in 13 new and three existing portfolio companies with a weighted average yield on debt investments of 7.4%. PSSL’s sales and repayments of investments for the six months ended March 31, 2018 totaled $7.7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2018 and 2017.</w:t>
      </w:r>
    </w:p>
    <w:p>
      <w:pPr>
        <w:sectPr>
          <w:pgSz w:w="11900" w:h="16838" w:orient="portrait"/>
          <w:cols w:equalWidth="0" w:num="1">
            <w:col w:w="11240"/>
          </w:cols>
          <w:pgMar w:left="320" w:top="118" w:right="339" w:bottom="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Investment Income</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Investment income for the three and six months ended March 31, 2018 was $16.5 million and $31.3 million, respectively, and was attributable to $13.2 million and $26.8 million from first lien secured debt and $3.3 million and $4.5 million from second lien secured debt, subordinated debt and preferred and common equity, respectively. This compares to investment income for the three and six months ended March 31, 2017, which was $13.2 million and $25.9 million, respectively, and was attributable to $12.0 million and $23.3 million from first lien senior debt and $1.2 million and $2.6 million from second lien secured debt and subordinated debt, respectively. The increase in investment income compared to the same periods in the prior year was primarily due to the growth of our portfolio.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Expenses for the three and six months ended March 31, 2018 totaled $7.1 million and $23.9 million, respectively. Base management fee for the same periods totaled $1.9 million and $3.8 million, incentive fee totaled $0.4 million (including $0.2 million on unrealized gains accrued but not payable) and $0.5 million (including $0.4 million on unrealized gains accrued but not payable), debt related interest and expenses totaled $3.5 million and $17.0 million (including $10.9 million in amendment costs on our multi-currency, senior secured revolving credit facility, or the Credit Facility, and debt issuance costs on our 3.83% Series A notes due 2023, or the 2023 Notes), general and administrative expenses totaled $1.1 million and $2.2 million and provision for taxes totaled $0.2 million and $0.4 million, respectively. This compares to expenses for the three and six months ended March 31, 2017, which totaled $5.2 million and $11.0 million, respectively. Base management fee for the same periods totaled $1.7 million and $3.3 million, incentive fee totaled $0.5 million (including $(0.1) million on unrealized gains accrued but not payable) and $1.9 million (including $0.5 million on unrealized gains accrued but not payable), Credit Facility expenses totaled $2.0 million and $3.8 million, general and administrative expenses totaled $0.9 million and $1.9 million and provision for taxes totaled $0.1 million and $0.1 million, respectively. The increase in expenses compared to the same periods in the prior year was primarily due to the expenses incurred in connection with the Credit Facility amendment and debt issuance costs on the 2023 Notes in the current period, which was partially offset by a reduction in incentive fees.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Net investment income totaled $9.4 million and $7.5 million, or $0.24 and $0.20 per share, for the three and six months ended March 31, 2018, respectively. Net investment income totaled $8.0 million and $14.9 million, or $0.27 and $0.53 per share, for the three and six months ended March 31, 2017, respectively. The increase in net investment income for the three months ended March 31, 2018 compared to the same period in the prior year was primarily due to the growth of our portfolio, partially offset by higher recurring debt related interest and expense. The decrease in net investment income for the six months ended March 31, 2018 compared to the same period in the prior year was primarily due to the expenses incurred in connection with the Credit Facility amendment and debt issuance costs on the 2023 Notes in the current period.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six months ended March 31, 2018 totaled $46.6 million and $195.7 million, respectively, and net realized gains (losses) totaled $1.5 million and $(1.3) million, respectively. Sales and repayments of investments for the three and six months ended March 31, 2017 totaled $71.5 million and $141.9 million, respectively, and net realized gains totaled $2.0 million and $2.5 million, respectively. The change in realized gains/losses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and six months ended March 31, 2018, we reported net change in unrealized (depreciation) appreciation on investments of $(0.6) million and $2.9 million, respectively. For the three and six months ended March 31, 2017, we reported net change in unrealized depreciation on investments of $2.7 million and $0.2 million, respectively. As of March 31, 2018 and September 30, 2017, our net unrealized appreciation on investments totaled $5.0 million and $2.0 million, respectively. The net change in unrealized appreciation/depreciation on our investments compared to the same periods in the prior year was primarily due to changes in the capital market conditions, the financial performance of certain portfolio companies and the reversal of unrealized appreciation/depreciation on investments that were realized.</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and six months ended March 31, 2018, our Credit Facility and the 2023 Notes had a net change in unrealized depreciation of $5.3 million and $8.4 million, respectively. For the three and six months ended March 31, 2017, our Credit Facility had a net change in unrealized depreciation (appreciation) of less than $0.1 million and $(1.0) million, respectively. As of March 31, 2018 and September 30, 2017, our net unrealized depreciation (appreciation) on the Credit Facility and the 2023 Notes totaled $5.4 million and $(3.1) million, respectively. The net change in unrealized depreciation compared to the same periods in the prior year was primarily due to changes in the capital markets.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change in net assets resulting from operations totaled $15.6 million and $17.5 million, or $0.40 and $0.46 per share, respectively, for the three and six months ended March 31, 2018. This compares to a net change in net assets resulting from operations of $7.3 million and $16.1 million, or $0.25 and $0.57 per share, respectively, for the three and six months ended March 31, 2017. The increase in the net change in net assets from operations compared to the same periods in the prior year was</w:t>
      </w:r>
    </w:p>
    <w:p>
      <w:pPr>
        <w:sectPr>
          <w:pgSz w:w="11900" w:h="16838" w:orient="portrait"/>
          <w:cols w:equalWidth="0" w:num="1">
            <w:col w:w="11240"/>
          </w:cols>
          <w:pgMar w:left="320" w:top="111" w:right="339" w:bottom="0" w:gutter="0" w:footer="0" w:header="0"/>
        </w:sectPr>
      </w:pPr>
    </w:p>
    <w:bookmarkStart w:id="6" w:name="page7"/>
    <w:bookmarkEnd w:id="6"/>
    <w:p>
      <w:pPr>
        <w:jc w:val="both"/>
        <w:ind w:right="20"/>
        <w:spacing w:after="0" w:line="251" w:lineRule="auto"/>
        <w:rPr>
          <w:sz w:val="20"/>
          <w:szCs w:val="20"/>
          <w:color w:val="auto"/>
        </w:rPr>
      </w:pPr>
      <w:r>
        <w:rPr>
          <w:rFonts w:ascii="Arial" w:cs="Arial" w:eastAsia="Arial" w:hAnsi="Arial"/>
          <w:sz w:val="22"/>
          <w:szCs w:val="22"/>
          <w:color w:val="auto"/>
        </w:rPr>
        <w:t>primarily due to the growth of our portfolio, partially offset by the expenses incurred in connection with the Credit Facility amendment and debt issuance costs on the 2023 Notes in the current period.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annualized weighted average cost of debt for the six months ended March 31, 2018 and 2017, inclusive of the fee on the undrawn commitment of 0.375% on the Credit Facility, amendment costs and debt issuance costs, was 7.40% and 2.91%, respectively (excluding amendment and debt issuance costs, amounts are 3.91% and 2.91%, respectively).</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March 31, 2018 and September 30, 2017, we had $190.2 million and $253.8 million of outstanding borrowings under the Credit Facility, respectively. The Credit Facility had a weighted average interest rate of 3.79% and 3.18%, exclusive of the fee on undrawn commitments as of March 31, 2018 and September 30, 2017, respectively. As of March 31, 2018 and September 30, 2017, we had $214.8 million and $121.2 million of unused borrowing capacity under our Credit Facility, respectively, subject to the regulatory restrictions.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2018 and September 30, 2017, we had cash equivalents of $48.4 million and $18.9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$111.7 million for the six months ended March 31, 2018, and our financing activities provided cash of $142.1 million for the same period. Our operating activities used cash primarily for our investment activities and our financing activities provided cash primarily from a follow-on equity offering and the issuance of the 2023 Notes, partially offset by net repayments under the Credit Facility.</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$116.7 million for the six months ended March 31, 2017, and our financing activities provided cash of $131.7 million for the same period. Our operating activities used cash primarily for our investment activities and our financing activities provided cash primarily from a follow-on equity offering and net borrowings under the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During the three and six months ended March 31, 2018, we declared distributions of $0.285 and $0.570 per share, respectively, for total distributions of $11.0 million and $21.5 million, respectively. For the same periods in the prior year, we declared distributions of $0.285 and $0.570 per share, respectively, for total distributions of $8.7 million and $16.3 million, respectively. We monitor available net investment income to determine if a return of capital for taxation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Company makes available on its website its report on Form 10-Q filed with the SEC and stockholders may find the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960" w:type="dxa"/>
            <w:vAlign w:val="bottom"/>
          </w:tcPr>
          <w:p>
            <w:pPr>
              <w:spacing w:after="0"/>
              <w:rPr>
                <w:sz w:val="21"/>
                <w:szCs w:val="21"/>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92"/>
              </w:rPr>
              <w:t>March 31,</w:t>
            </w:r>
          </w:p>
        </w:tc>
        <w:tc>
          <w:tcPr>
            <w:tcW w:w="140" w:type="dxa"/>
            <w:vAlign w:val="bottom"/>
          </w:tcPr>
          <w:p>
            <w:pPr>
              <w:spacing w:after="0"/>
              <w:rPr>
                <w:sz w:val="21"/>
                <w:szCs w:val="21"/>
                <w:color w:val="auto"/>
              </w:rPr>
            </w:pPr>
          </w:p>
        </w:tc>
        <w:tc>
          <w:tcPr>
            <w:tcW w:w="1520" w:type="dxa"/>
            <w:vAlign w:val="bottom"/>
          </w:tcPr>
          <w:p>
            <w:pPr>
              <w:jc w:val="right"/>
              <w:ind w:right="72"/>
              <w:spacing w:after="0"/>
              <w:rPr>
                <w:sz w:val="20"/>
                <w:szCs w:val="20"/>
                <w:color w:val="auto"/>
              </w:rPr>
            </w:pPr>
            <w:r>
              <w:rPr>
                <w:rFonts w:ascii="Arial" w:cs="Arial" w:eastAsia="Arial" w:hAnsi="Arial"/>
                <w:sz w:val="22"/>
                <w:szCs w:val="22"/>
                <w:b w:val="1"/>
                <w:bCs w:val="1"/>
                <w:color w:val="auto"/>
                <w:w w:val="87"/>
              </w:rPr>
              <w:t>September 30,</w:t>
            </w:r>
          </w:p>
        </w:tc>
      </w:tr>
      <w:tr>
        <w:trPr>
          <w:trHeight w:val="270"/>
        </w:trPr>
        <w:tc>
          <w:tcPr>
            <w:tcW w:w="796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2018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ind w:right="512"/>
              <w:spacing w:after="0"/>
              <w:rPr>
                <w:sz w:val="20"/>
                <w:szCs w:val="20"/>
                <w:color w:val="auto"/>
              </w:rPr>
            </w:pPr>
            <w:r>
              <w:rPr>
                <w:rFonts w:ascii="Arial" w:cs="Arial" w:eastAsia="Arial" w:hAnsi="Arial"/>
                <w:sz w:val="22"/>
                <w:szCs w:val="22"/>
                <w:b w:val="1"/>
                <w:bCs w:val="1"/>
                <w:color w:val="auto"/>
              </w:rPr>
              <w:t>2017</w:t>
            </w:r>
          </w:p>
        </w:tc>
      </w:tr>
      <w:tr>
        <w:trPr>
          <w:trHeight w:val="280"/>
        </w:trPr>
        <w:tc>
          <w:tcPr>
            <w:tcW w:w="796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90"/>
              </w:rPr>
              <w:t>(unaudited)</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9"/>
        </w:trPr>
        <w:tc>
          <w:tcPr>
            <w:tcW w:w="796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32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7960" w:type="dxa"/>
            <w:vAlign w:val="bottom"/>
          </w:tcPr>
          <w:p>
            <w:pPr>
              <w:ind w:left="260"/>
              <w:spacing w:after="0" w:line="243" w:lineRule="exact"/>
              <w:rPr>
                <w:sz w:val="20"/>
                <w:szCs w:val="20"/>
                <w:color w:val="auto"/>
              </w:rPr>
            </w:pPr>
            <w:r>
              <w:rPr>
                <w:rFonts w:ascii="Arial" w:cs="Arial" w:eastAsia="Arial" w:hAnsi="Arial"/>
                <w:sz w:val="22"/>
                <w:szCs w:val="22"/>
                <w:color w:val="auto"/>
                <w:w w:val="95"/>
              </w:rPr>
              <w:t>Non-controlled, non-affiliated investments (cost—$752,786,913 and $665,514,821,</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796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320" w:type="dxa"/>
            <w:vAlign w:val="bottom"/>
          </w:tcPr>
          <w:p>
            <w:pPr>
              <w:jc w:val="right"/>
              <w:spacing w:after="0"/>
              <w:rPr>
                <w:sz w:val="20"/>
                <w:szCs w:val="20"/>
                <w:color w:val="auto"/>
              </w:rPr>
            </w:pPr>
            <w:r>
              <w:rPr>
                <w:rFonts w:ascii="Arial" w:cs="Arial" w:eastAsia="Arial" w:hAnsi="Arial"/>
                <w:sz w:val="22"/>
                <w:szCs w:val="22"/>
                <w:color w:val="auto"/>
                <w:w w:val="90"/>
              </w:rPr>
              <w:t>$ 756,508,349</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666,973,639</w:t>
            </w:r>
          </w:p>
        </w:tc>
      </w:tr>
      <w:tr>
        <w:trPr>
          <w:trHeight w:val="274"/>
        </w:trPr>
        <w:tc>
          <w:tcPr>
            <w:tcW w:w="7960" w:type="dxa"/>
            <w:vAlign w:val="bottom"/>
          </w:tcPr>
          <w:p>
            <w:pPr>
              <w:ind w:left="260"/>
              <w:spacing w:after="0"/>
              <w:rPr>
                <w:sz w:val="20"/>
                <w:szCs w:val="20"/>
                <w:color w:val="auto"/>
              </w:rPr>
            </w:pPr>
            <w:r>
              <w:rPr>
                <w:rFonts w:ascii="Arial" w:cs="Arial" w:eastAsia="Arial" w:hAnsi="Arial"/>
                <w:sz w:val="22"/>
                <w:szCs w:val="22"/>
                <w:color w:val="auto"/>
                <w:w w:val="93"/>
              </w:rPr>
              <w:t>Controlled, affiliated investments (cost—$76,000,000 and $43,000,000, respectively)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77,278,843</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43,525,143</w:t>
            </w:r>
          </w:p>
        </w:tc>
      </w:tr>
      <w:tr>
        <w:trPr>
          <w:trHeight w:val="259"/>
        </w:trPr>
        <w:tc>
          <w:tcPr>
            <w:tcW w:w="7960" w:type="dxa"/>
            <w:vAlign w:val="bottom"/>
          </w:tcPr>
          <w:p>
            <w:pPr>
              <w:ind w:left="260"/>
              <w:spacing w:after="0"/>
              <w:rPr>
                <w:sz w:val="20"/>
                <w:szCs w:val="20"/>
                <w:color w:val="auto"/>
              </w:rPr>
            </w:pPr>
            <w:r>
              <w:rPr>
                <w:rFonts w:ascii="Arial" w:cs="Arial" w:eastAsia="Arial" w:hAnsi="Arial"/>
                <w:sz w:val="22"/>
                <w:szCs w:val="22"/>
                <w:color w:val="auto"/>
              </w:rPr>
              <w:t>Total of investments (cost—$828,786,913 and $708,514,821, respectively)</w:t>
            </w:r>
          </w:p>
        </w:tc>
        <w:tc>
          <w:tcPr>
            <w:tcW w:w="1320" w:type="dxa"/>
            <w:vAlign w:val="bottom"/>
          </w:tcPr>
          <w:p>
            <w:pPr>
              <w:jc w:val="right"/>
              <w:spacing w:after="0"/>
              <w:rPr>
                <w:sz w:val="20"/>
                <w:szCs w:val="20"/>
                <w:color w:val="auto"/>
              </w:rPr>
            </w:pPr>
            <w:r>
              <w:rPr>
                <w:rFonts w:ascii="Arial" w:cs="Arial" w:eastAsia="Arial" w:hAnsi="Arial"/>
                <w:sz w:val="22"/>
                <w:szCs w:val="22"/>
                <w:color w:val="auto"/>
              </w:rPr>
              <w:t>833,787,192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710,498,782</w:t>
            </w: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Cash and cash equivalents (cost—$48,414,852 and $18,847,673, respectively)</w:t>
            </w:r>
          </w:p>
        </w:tc>
        <w:tc>
          <w:tcPr>
            <w:tcW w:w="1320" w:type="dxa"/>
            <w:vAlign w:val="bottom"/>
          </w:tcPr>
          <w:p>
            <w:pPr>
              <w:jc w:val="right"/>
              <w:spacing w:after="0"/>
              <w:rPr>
                <w:sz w:val="20"/>
                <w:szCs w:val="20"/>
                <w:color w:val="auto"/>
              </w:rPr>
            </w:pPr>
            <w:r>
              <w:rPr>
                <w:rFonts w:ascii="Arial" w:cs="Arial" w:eastAsia="Arial" w:hAnsi="Arial"/>
                <w:sz w:val="22"/>
                <w:szCs w:val="22"/>
                <w:color w:val="auto"/>
              </w:rPr>
              <w:t>48,407,896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18,910,756</w:t>
            </w: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Interest receivable</w:t>
            </w:r>
          </w:p>
        </w:tc>
        <w:tc>
          <w:tcPr>
            <w:tcW w:w="1320" w:type="dxa"/>
            <w:vAlign w:val="bottom"/>
          </w:tcPr>
          <w:p>
            <w:pPr>
              <w:jc w:val="right"/>
              <w:spacing w:after="0"/>
              <w:rPr>
                <w:sz w:val="20"/>
                <w:szCs w:val="20"/>
                <w:color w:val="auto"/>
              </w:rPr>
            </w:pPr>
            <w:r>
              <w:rPr>
                <w:rFonts w:ascii="Arial" w:cs="Arial" w:eastAsia="Arial" w:hAnsi="Arial"/>
                <w:sz w:val="22"/>
                <w:szCs w:val="22"/>
                <w:color w:val="auto"/>
              </w:rPr>
              <w:t>2,726,987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2,520,506</w:t>
            </w:r>
          </w:p>
        </w:tc>
      </w:tr>
      <w:tr>
        <w:trPr>
          <w:trHeight w:val="274"/>
        </w:trPr>
        <w:tc>
          <w:tcPr>
            <w:tcW w:w="796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320" w:type="dxa"/>
            <w:vAlign w:val="bottom"/>
          </w:tcPr>
          <w:p>
            <w:pPr>
              <w:jc w:val="right"/>
              <w:spacing w:after="0"/>
              <w:rPr>
                <w:sz w:val="20"/>
                <w:szCs w:val="20"/>
                <w:color w:val="auto"/>
              </w:rPr>
            </w:pPr>
            <w:r>
              <w:rPr>
                <w:rFonts w:ascii="Arial" w:cs="Arial" w:eastAsia="Arial" w:hAnsi="Arial"/>
                <w:sz w:val="22"/>
                <w:szCs w:val="22"/>
                <w:color w:val="auto"/>
              </w:rPr>
              <w:t>1,062,342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14,185,850</w:t>
            </w:r>
          </w:p>
        </w:tc>
      </w:tr>
    </w:tbl>
    <w:p>
      <w:pPr>
        <w:sectPr>
          <w:pgSz w:w="11900" w:h="16838" w:orient="portrait"/>
          <w:cols w:equalWidth="0" w:num="1">
            <w:col w:w="11240"/>
          </w:cols>
          <w:pgMar w:left="320" w:top="118" w:right="339" w:bottom="0" w:gutter="0" w:footer="0" w:header="0"/>
        </w:sectPr>
      </w:pPr>
    </w:p>
    <w:bookmarkStart w:id="7" w:name="page8"/>
    <w:bookmarkEnd w:id="7"/>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6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718,042</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1,229,505</w:t>
            </w:r>
          </w:p>
        </w:tc>
        <w:tc>
          <w:tcPr>
            <w:tcW w:w="80" w:type="dxa"/>
            <w:vAlign w:val="bottom"/>
          </w:tcPr>
          <w:p>
            <w:pPr>
              <w:spacing w:after="0"/>
              <w:rPr>
                <w:sz w:val="23"/>
                <w:szCs w:val="23"/>
                <w:color w:val="auto"/>
              </w:rPr>
            </w:pPr>
          </w:p>
        </w:tc>
      </w:tr>
      <w:tr>
        <w:trPr>
          <w:trHeight w:val="267"/>
        </w:trPr>
        <w:tc>
          <w:tcPr>
            <w:tcW w:w="796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1"/>
              </w:rPr>
              <w:t>886,702,459</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747,345,399</w:t>
            </w:r>
          </w:p>
        </w:tc>
        <w:tc>
          <w:tcPr>
            <w:tcW w:w="80" w:type="dxa"/>
            <w:vAlign w:val="bottom"/>
          </w:tcPr>
          <w:p>
            <w:pPr>
              <w:spacing w:after="0"/>
              <w:rPr>
                <w:sz w:val="23"/>
                <w:szCs w:val="23"/>
                <w:color w:val="auto"/>
              </w:rPr>
            </w:pPr>
          </w:p>
        </w:tc>
      </w:tr>
      <w:tr>
        <w:trPr>
          <w:trHeight w:val="256"/>
        </w:trPr>
        <w:tc>
          <w:tcPr>
            <w:tcW w:w="79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Distributions payable</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3,683,347</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3,085,607</w:t>
            </w:r>
          </w:p>
        </w:tc>
        <w:tc>
          <w:tcPr>
            <w:tcW w:w="80" w:type="dxa"/>
            <w:vAlign w:val="bottom"/>
          </w:tcPr>
          <w:p>
            <w:pPr>
              <w:spacing w:after="0"/>
              <w:rPr>
                <w:sz w:val="23"/>
                <w:szCs w:val="23"/>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9,826,176</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21,730,512</w:t>
            </w:r>
          </w:p>
        </w:tc>
        <w:tc>
          <w:tcPr>
            <w:tcW w:w="80" w:type="dxa"/>
            <w:vAlign w:val="bottom"/>
          </w:tcPr>
          <w:p>
            <w:pPr>
              <w:spacing w:after="0"/>
              <w:rPr>
                <w:sz w:val="23"/>
                <w:szCs w:val="23"/>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Credit Facility payable (cost—$190,173,311 and $253,783,301, respectively)</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w w:val="91"/>
              </w:rPr>
              <w:t>191,522,414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256,858,457</w:t>
            </w:r>
          </w:p>
        </w:tc>
        <w:tc>
          <w:tcPr>
            <w:tcW w:w="80" w:type="dxa"/>
            <w:vAlign w:val="bottom"/>
          </w:tcPr>
          <w:p>
            <w:pPr>
              <w:spacing w:after="0"/>
              <w:rPr>
                <w:sz w:val="23"/>
                <w:szCs w:val="23"/>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2023 Notes payable (cost—$138,579,858 and zero, respectively)</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w w:val="91"/>
              </w:rPr>
              <w:t>131,872,593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2,610,482</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693,787</w:t>
            </w:r>
          </w:p>
        </w:tc>
        <w:tc>
          <w:tcPr>
            <w:tcW w:w="80" w:type="dxa"/>
            <w:vAlign w:val="bottom"/>
          </w:tcPr>
          <w:p>
            <w:pPr>
              <w:spacing w:after="0"/>
              <w:rPr>
                <w:sz w:val="23"/>
                <w:szCs w:val="23"/>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1,929,703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1,784,806</w:t>
            </w:r>
          </w:p>
        </w:tc>
        <w:tc>
          <w:tcPr>
            <w:tcW w:w="80" w:type="dxa"/>
            <w:vAlign w:val="bottom"/>
          </w:tcPr>
          <w:p>
            <w:pPr>
              <w:spacing w:after="0"/>
              <w:rPr>
                <w:sz w:val="23"/>
                <w:szCs w:val="23"/>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2,947,562</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5,061,217</w:t>
            </w:r>
          </w:p>
        </w:tc>
        <w:tc>
          <w:tcPr>
            <w:tcW w:w="80" w:type="dxa"/>
            <w:vAlign w:val="bottom"/>
          </w:tcPr>
          <w:p>
            <w:pPr>
              <w:spacing w:after="0"/>
              <w:rPr>
                <w:sz w:val="23"/>
                <w:szCs w:val="23"/>
                <w:color w:val="auto"/>
              </w:rPr>
            </w:pPr>
          </w:p>
        </w:tc>
      </w:tr>
      <w:tr>
        <w:trPr>
          <w:trHeight w:val="274"/>
        </w:trPr>
        <w:tc>
          <w:tcPr>
            <w:tcW w:w="796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350,212</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224,739</w:t>
            </w:r>
          </w:p>
        </w:tc>
        <w:tc>
          <w:tcPr>
            <w:tcW w:w="80" w:type="dxa"/>
            <w:vAlign w:val="bottom"/>
          </w:tcPr>
          <w:p>
            <w:pPr>
              <w:spacing w:after="0"/>
              <w:rPr>
                <w:sz w:val="23"/>
                <w:szCs w:val="23"/>
                <w:color w:val="auto"/>
              </w:rPr>
            </w:pPr>
          </w:p>
        </w:tc>
      </w:tr>
      <w:tr>
        <w:trPr>
          <w:trHeight w:val="267"/>
        </w:trPr>
        <w:tc>
          <w:tcPr>
            <w:tcW w:w="796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1"/>
              </w:rPr>
              <w:t>344,742,489</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289,439,125</w:t>
            </w:r>
          </w:p>
        </w:tc>
        <w:tc>
          <w:tcPr>
            <w:tcW w:w="80" w:type="dxa"/>
            <w:vAlign w:val="bottom"/>
          </w:tcPr>
          <w:p>
            <w:pPr>
              <w:spacing w:after="0"/>
              <w:rPr>
                <w:sz w:val="23"/>
                <w:szCs w:val="23"/>
                <w:color w:val="auto"/>
              </w:rPr>
            </w:pPr>
          </w:p>
        </w:tc>
      </w:tr>
      <w:tr>
        <w:trPr>
          <w:trHeight w:val="250"/>
        </w:trPr>
        <w:tc>
          <w:tcPr>
            <w:tcW w:w="796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60" w:type="dxa"/>
            <w:vAlign w:val="bottom"/>
          </w:tcPr>
          <w:p>
            <w:pPr>
              <w:spacing w:after="0"/>
              <w:rPr>
                <w:sz w:val="21"/>
                <w:szCs w:val="21"/>
                <w:color w:val="auto"/>
              </w:rPr>
            </w:pPr>
          </w:p>
        </w:tc>
        <w:tc>
          <w:tcPr>
            <w:tcW w:w="116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96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960" w:type="dxa"/>
            <w:vAlign w:val="bottom"/>
          </w:tcPr>
          <w:p>
            <w:pPr>
              <w:spacing w:after="0" w:line="243" w:lineRule="exact"/>
              <w:rPr>
                <w:sz w:val="20"/>
                <w:szCs w:val="20"/>
                <w:color w:val="auto"/>
              </w:rPr>
            </w:pPr>
            <w:r>
              <w:rPr>
                <w:rFonts w:ascii="Arial" w:cs="Arial" w:eastAsia="Arial" w:hAnsi="Arial"/>
                <w:sz w:val="22"/>
                <w:szCs w:val="22"/>
                <w:color w:val="auto"/>
                <w:w w:val="92"/>
              </w:rPr>
              <w:t>Common stock, 38,772,074 and 32,480,074 shares issued and outstanding, respectively</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6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38,772</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32,480</w:t>
            </w:r>
          </w:p>
        </w:tc>
        <w:tc>
          <w:tcPr>
            <w:tcW w:w="80" w:type="dxa"/>
            <w:vAlign w:val="bottom"/>
          </w:tcPr>
          <w:p>
            <w:pPr>
              <w:spacing w:after="0"/>
              <w:rPr>
                <w:sz w:val="23"/>
                <w:szCs w:val="23"/>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w w:val="91"/>
              </w:rPr>
              <w:t>539,462,336</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451,448,872</w:t>
            </w:r>
          </w:p>
        </w:tc>
        <w:tc>
          <w:tcPr>
            <w:tcW w:w="80" w:type="dxa"/>
            <w:vAlign w:val="bottom"/>
          </w:tcPr>
          <w:p>
            <w:pPr>
              <w:spacing w:after="0"/>
              <w:rPr>
                <w:sz w:val="23"/>
                <w:szCs w:val="23"/>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(Distributions in excess of) undistributed net investment income</w:t>
            </w:r>
          </w:p>
        </w:tc>
        <w:tc>
          <w:tcPr>
            <w:tcW w:w="16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2"/>
                <w:szCs w:val="22"/>
                <w:color w:val="auto"/>
                <w:w w:val="97"/>
              </w:rPr>
              <w:t>(10,850,935)</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3,163,645</w:t>
            </w:r>
          </w:p>
        </w:tc>
        <w:tc>
          <w:tcPr>
            <w:tcW w:w="80" w:type="dxa"/>
            <w:vAlign w:val="bottom"/>
          </w:tcPr>
          <w:p>
            <w:pPr>
              <w:spacing w:after="0"/>
              <w:rPr>
                <w:sz w:val="23"/>
                <w:szCs w:val="23"/>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Accumulated net realized gain on investments</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2,965,895</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4,289,389</w:t>
            </w:r>
          </w:p>
        </w:tc>
        <w:tc>
          <w:tcPr>
            <w:tcW w:w="80" w:type="dxa"/>
            <w:vAlign w:val="bottom"/>
          </w:tcPr>
          <w:p>
            <w:pPr>
              <w:spacing w:after="0"/>
              <w:rPr>
                <w:sz w:val="23"/>
                <w:szCs w:val="23"/>
                <w:color w:val="auto"/>
              </w:rPr>
            </w:pPr>
          </w:p>
        </w:tc>
      </w:tr>
      <w:tr>
        <w:trPr>
          <w:trHeight w:val="270"/>
        </w:trPr>
        <w:tc>
          <w:tcPr>
            <w:tcW w:w="7960" w:type="dxa"/>
            <w:vAlign w:val="bottom"/>
          </w:tcPr>
          <w:p>
            <w:pPr>
              <w:spacing w:after="0"/>
              <w:rPr>
                <w:sz w:val="20"/>
                <w:szCs w:val="20"/>
                <w:color w:val="auto"/>
              </w:rPr>
            </w:pPr>
            <w:r>
              <w:rPr>
                <w:rFonts w:ascii="Arial" w:cs="Arial" w:eastAsia="Arial" w:hAnsi="Arial"/>
                <w:sz w:val="22"/>
                <w:szCs w:val="22"/>
                <w:color w:val="auto"/>
              </w:rPr>
              <w:t>Net unrealized appreciation on investments</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4,985,740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2,047,044</w:t>
            </w:r>
          </w:p>
        </w:tc>
        <w:tc>
          <w:tcPr>
            <w:tcW w:w="80" w:type="dxa"/>
            <w:vAlign w:val="bottom"/>
          </w:tcPr>
          <w:p>
            <w:pPr>
              <w:spacing w:after="0"/>
              <w:rPr>
                <w:sz w:val="23"/>
                <w:szCs w:val="23"/>
                <w:color w:val="auto"/>
              </w:rPr>
            </w:pPr>
          </w:p>
        </w:tc>
      </w:tr>
      <w:tr>
        <w:trPr>
          <w:trHeight w:val="274"/>
        </w:trPr>
        <w:tc>
          <w:tcPr>
            <w:tcW w:w="7960" w:type="dxa"/>
            <w:vAlign w:val="bottom"/>
          </w:tcPr>
          <w:p>
            <w:pPr>
              <w:spacing w:after="0"/>
              <w:rPr>
                <w:sz w:val="20"/>
                <w:szCs w:val="20"/>
                <w:color w:val="auto"/>
              </w:rPr>
            </w:pPr>
            <w:r>
              <w:rPr>
                <w:rFonts w:ascii="Arial" w:cs="Arial" w:eastAsia="Arial" w:hAnsi="Arial"/>
                <w:sz w:val="22"/>
                <w:szCs w:val="22"/>
                <w:color w:val="auto"/>
              </w:rPr>
              <w:t>Net unrealized depreciation (appreciation) on debt</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5,358,162</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(3,075,156)</w:t>
            </w:r>
          </w:p>
        </w:tc>
      </w:tr>
      <w:tr>
        <w:trPr>
          <w:trHeight w:val="267"/>
        </w:trPr>
        <w:tc>
          <w:tcPr>
            <w:tcW w:w="796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1"/>
              </w:rPr>
              <w:t>541,959,970</w:t>
            </w:r>
          </w:p>
        </w:tc>
        <w:tc>
          <w:tcPr>
            <w:tcW w:w="18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457,906,274</w:t>
            </w:r>
          </w:p>
        </w:tc>
        <w:tc>
          <w:tcPr>
            <w:tcW w:w="80" w:type="dxa"/>
            <w:vAlign w:val="bottom"/>
          </w:tcPr>
          <w:p>
            <w:pPr>
              <w:spacing w:after="0"/>
              <w:rPr>
                <w:sz w:val="23"/>
                <w:szCs w:val="23"/>
                <w:color w:val="auto"/>
              </w:rPr>
            </w:pPr>
          </w:p>
        </w:tc>
      </w:tr>
      <w:tr>
        <w:trPr>
          <w:trHeight w:val="264"/>
        </w:trPr>
        <w:tc>
          <w:tcPr>
            <w:tcW w:w="796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1"/>
              </w:rPr>
              <w:t>886,702,459</w:t>
            </w:r>
          </w:p>
        </w:tc>
        <w:tc>
          <w:tcPr>
            <w:tcW w:w="18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747,345,399</w:t>
            </w:r>
          </w:p>
        </w:tc>
        <w:tc>
          <w:tcPr>
            <w:tcW w:w="80" w:type="dxa"/>
            <w:vAlign w:val="bottom"/>
          </w:tcPr>
          <w:p>
            <w:pPr>
              <w:spacing w:after="0"/>
              <w:rPr>
                <w:sz w:val="22"/>
                <w:szCs w:val="22"/>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96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13.98</w:t>
            </w:r>
          </w:p>
        </w:tc>
        <w:tc>
          <w:tcPr>
            <w:tcW w:w="18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14.10</w:t>
            </w:r>
          </w:p>
        </w:tc>
        <w:tc>
          <w:tcPr>
            <w:tcW w:w="80" w:type="dxa"/>
            <w:vAlign w:val="bottom"/>
          </w:tcPr>
          <w:p>
            <w:pPr>
              <w:spacing w:after="0"/>
              <w:rPr>
                <w:sz w:val="22"/>
                <w:szCs w:val="22"/>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line="269"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OPERATIONS (Unaudited)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80" w:type="dxa"/>
            <w:vAlign w:val="bottom"/>
          </w:tcPr>
          <w:p>
            <w:pPr>
              <w:spacing w:after="0"/>
              <w:rPr>
                <w:sz w:val="21"/>
                <w:szCs w:val="21"/>
                <w:color w:val="auto"/>
              </w:rPr>
            </w:pPr>
          </w:p>
        </w:tc>
        <w:tc>
          <w:tcPr>
            <w:tcW w:w="2680" w:type="dxa"/>
            <w:vAlign w:val="bottom"/>
            <w:gridSpan w:val="4"/>
          </w:tcPr>
          <w:p>
            <w:pPr>
              <w:jc w:val="right"/>
              <w:ind w:right="460"/>
              <w:spacing w:after="0"/>
              <w:rPr>
                <w:sz w:val="20"/>
                <w:szCs w:val="20"/>
                <w:color w:val="auto"/>
              </w:rPr>
            </w:pPr>
            <w:r>
              <w:rPr>
                <w:rFonts w:ascii="Arial" w:cs="Arial" w:eastAsia="Arial" w:hAnsi="Arial"/>
                <w:sz w:val="22"/>
                <w:szCs w:val="22"/>
                <w:b w:val="1"/>
                <w:bCs w:val="1"/>
                <w:color w:val="auto"/>
              </w:rPr>
              <w:t>Three Months Ended</w:t>
            </w:r>
          </w:p>
        </w:tc>
        <w:tc>
          <w:tcPr>
            <w:tcW w:w="2540" w:type="dxa"/>
            <w:vAlign w:val="bottom"/>
            <w:gridSpan w:val="4"/>
          </w:tcPr>
          <w:p>
            <w:pPr>
              <w:jc w:val="right"/>
              <w:ind w:right="120"/>
              <w:spacing w:after="0"/>
              <w:rPr>
                <w:sz w:val="20"/>
                <w:szCs w:val="20"/>
                <w:color w:val="auto"/>
              </w:rPr>
            </w:pPr>
            <w:r>
              <w:rPr>
                <w:rFonts w:ascii="Arial" w:cs="Arial" w:eastAsia="Arial" w:hAnsi="Arial"/>
                <w:sz w:val="22"/>
                <w:szCs w:val="22"/>
                <w:b w:val="1"/>
                <w:bCs w:val="1"/>
                <w:color w:val="auto"/>
                <w:w w:val="91"/>
              </w:rPr>
              <w:t>Six Months Ended March</w:t>
            </w:r>
          </w:p>
        </w:tc>
      </w:tr>
      <w:tr>
        <w:trPr>
          <w:trHeight w:val="282"/>
        </w:trPr>
        <w:tc>
          <w:tcPr>
            <w:tcW w:w="5980" w:type="dxa"/>
            <w:vAlign w:val="bottom"/>
          </w:tcPr>
          <w:p>
            <w:pPr>
              <w:spacing w:after="0"/>
              <w:rPr>
                <w:sz w:val="24"/>
                <w:szCs w:val="24"/>
                <w:color w:val="auto"/>
              </w:rPr>
            </w:pPr>
          </w:p>
        </w:tc>
        <w:tc>
          <w:tcPr>
            <w:tcW w:w="2680" w:type="dxa"/>
            <w:vAlign w:val="bottom"/>
            <w:gridSpan w:val="4"/>
          </w:tcPr>
          <w:p>
            <w:pPr>
              <w:jc w:val="right"/>
              <w:ind w:right="960"/>
              <w:spacing w:after="0"/>
              <w:rPr>
                <w:sz w:val="20"/>
                <w:szCs w:val="20"/>
                <w:color w:val="auto"/>
              </w:rPr>
            </w:pPr>
            <w:r>
              <w:rPr>
                <w:rFonts w:ascii="Arial" w:cs="Arial" w:eastAsia="Arial" w:hAnsi="Arial"/>
                <w:sz w:val="22"/>
                <w:szCs w:val="22"/>
                <w:b w:val="1"/>
                <w:bCs w:val="1"/>
                <w:color w:val="auto"/>
              </w:rPr>
              <w:t>March 31,</w:t>
            </w:r>
          </w:p>
        </w:tc>
        <w:tc>
          <w:tcPr>
            <w:tcW w:w="2460" w:type="dxa"/>
            <w:vAlign w:val="bottom"/>
            <w:gridSpan w:val="3"/>
          </w:tcPr>
          <w:p>
            <w:pPr>
              <w:jc w:val="right"/>
              <w:ind w:right="992"/>
              <w:spacing w:after="0"/>
              <w:rPr>
                <w:sz w:val="20"/>
                <w:szCs w:val="20"/>
                <w:color w:val="auto"/>
              </w:rPr>
            </w:pPr>
            <w:r>
              <w:rPr>
                <w:rFonts w:ascii="Arial" w:cs="Arial" w:eastAsia="Arial" w:hAnsi="Arial"/>
                <w:sz w:val="22"/>
                <w:szCs w:val="22"/>
                <w:b w:val="1"/>
                <w:bCs w:val="1"/>
                <w:color w:val="auto"/>
              </w:rPr>
              <w:t>31,</w:t>
            </w:r>
          </w:p>
        </w:tc>
        <w:tc>
          <w:tcPr>
            <w:tcW w:w="80" w:type="dxa"/>
            <w:vAlign w:val="bottom"/>
          </w:tcPr>
          <w:p>
            <w:pPr>
              <w:spacing w:after="0"/>
              <w:rPr>
                <w:sz w:val="24"/>
                <w:szCs w:val="24"/>
                <w:color w:val="auto"/>
              </w:rPr>
            </w:pPr>
          </w:p>
        </w:tc>
      </w:tr>
      <w:tr>
        <w:trPr>
          <w:trHeight w:val="265"/>
        </w:trPr>
        <w:tc>
          <w:tcPr>
            <w:tcW w:w="5980" w:type="dxa"/>
            <w:vAlign w:val="bottom"/>
          </w:tcPr>
          <w:p>
            <w:pPr>
              <w:spacing w:after="0"/>
              <w:rPr>
                <w:sz w:val="23"/>
                <w:szCs w:val="23"/>
                <w:color w:val="auto"/>
              </w:rPr>
            </w:pPr>
          </w:p>
        </w:tc>
        <w:tc>
          <w:tcPr>
            <w:tcW w:w="11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2018</w:t>
            </w:r>
          </w:p>
        </w:tc>
        <w:tc>
          <w:tcPr>
            <w:tcW w:w="180" w:type="dxa"/>
            <w:vAlign w:val="bottom"/>
            <w:tcBorders>
              <w:top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2017</w:t>
            </w:r>
          </w:p>
        </w:tc>
        <w:tc>
          <w:tcPr>
            <w:tcW w:w="200" w:type="dxa"/>
            <w:vAlign w:val="bottom"/>
          </w:tcPr>
          <w:p>
            <w:pPr>
              <w:spacing w:after="0"/>
              <w:rPr>
                <w:sz w:val="23"/>
                <w:szCs w:val="23"/>
                <w:color w:val="auto"/>
              </w:rPr>
            </w:pPr>
          </w:p>
        </w:tc>
        <w:tc>
          <w:tcPr>
            <w:tcW w:w="11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c>
          <w:tcPr>
            <w:tcW w:w="200" w:type="dxa"/>
            <w:vAlign w:val="bottom"/>
            <w:tcBorders>
              <w:top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r>
      <w:tr>
        <w:trPr>
          <w:trHeight w:val="256"/>
        </w:trPr>
        <w:tc>
          <w:tcPr>
            <w:tcW w:w="598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598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140" w:type="dxa"/>
            <w:vAlign w:val="bottom"/>
          </w:tcPr>
          <w:p>
            <w:pPr>
              <w:jc w:val="right"/>
              <w:spacing w:after="0"/>
              <w:rPr>
                <w:sz w:val="20"/>
                <w:szCs w:val="20"/>
                <w:color w:val="auto"/>
              </w:rPr>
            </w:pPr>
            <w:r>
              <w:rPr>
                <w:rFonts w:ascii="Arial" w:cs="Arial" w:eastAsia="Arial" w:hAnsi="Arial"/>
                <w:sz w:val="22"/>
                <w:szCs w:val="22"/>
                <w:color w:val="auto"/>
                <w:w w:val="85"/>
              </w:rPr>
              <w:t>$ 14,639,839</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w w:val="88"/>
              </w:rPr>
              <w:t>$ 12,917,094</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85"/>
              </w:rPr>
              <w:t>$ 28,507,259</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w w:val="85"/>
              </w:rPr>
              <w:t>$ 24,868,929</w:t>
            </w:r>
          </w:p>
        </w:tc>
        <w:tc>
          <w:tcPr>
            <w:tcW w:w="80" w:type="dxa"/>
            <w:vAlign w:val="bottom"/>
          </w:tcPr>
          <w:p>
            <w:pPr>
              <w:spacing w:after="0"/>
              <w:rPr>
                <w:sz w:val="23"/>
                <w:szCs w:val="23"/>
                <w:color w:val="auto"/>
              </w:rPr>
            </w:pPr>
          </w:p>
        </w:tc>
      </w:tr>
      <w:tr>
        <w:trPr>
          <w:trHeight w:val="270"/>
        </w:trPr>
        <w:tc>
          <w:tcPr>
            <w:tcW w:w="598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140" w:type="dxa"/>
            <w:vAlign w:val="bottom"/>
          </w:tcPr>
          <w:p>
            <w:pPr>
              <w:jc w:val="right"/>
              <w:spacing w:after="0"/>
              <w:rPr>
                <w:sz w:val="20"/>
                <w:szCs w:val="20"/>
                <w:color w:val="auto"/>
              </w:rPr>
            </w:pPr>
            <w:r>
              <w:rPr>
                <w:rFonts w:ascii="Arial" w:cs="Arial" w:eastAsia="Arial" w:hAnsi="Arial"/>
                <w:sz w:val="22"/>
                <w:szCs w:val="22"/>
                <w:color w:val="auto"/>
              </w:rPr>
              <w:t>262,878</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303,804</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696,058</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983,237</w:t>
            </w:r>
          </w:p>
        </w:tc>
        <w:tc>
          <w:tcPr>
            <w:tcW w:w="80" w:type="dxa"/>
            <w:vAlign w:val="bottom"/>
          </w:tcPr>
          <w:p>
            <w:pPr>
              <w:spacing w:after="0"/>
              <w:rPr>
                <w:sz w:val="23"/>
                <w:szCs w:val="23"/>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598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140" w:type="dxa"/>
            <w:vAlign w:val="bottom"/>
          </w:tcPr>
          <w:p>
            <w:pPr>
              <w:jc w:val="right"/>
              <w:spacing w:after="0"/>
              <w:rPr>
                <w:sz w:val="20"/>
                <w:szCs w:val="20"/>
                <w:color w:val="auto"/>
              </w:rPr>
            </w:pPr>
            <w:r>
              <w:rPr>
                <w:rFonts w:ascii="Arial" w:cs="Arial" w:eastAsia="Arial" w:hAnsi="Arial"/>
                <w:sz w:val="22"/>
                <w:szCs w:val="22"/>
                <w:color w:val="auto"/>
              </w:rPr>
              <w:t>898,103</w:t>
            </w: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1,433,863</w:t>
            </w:r>
          </w:p>
        </w:tc>
        <w:tc>
          <w:tcPr>
            <w:tcW w:w="200" w:type="dxa"/>
            <w:vAlign w:val="bottom"/>
          </w:tcPr>
          <w:p>
            <w:pPr>
              <w:spacing w:after="0"/>
              <w:rPr>
                <w:sz w:val="23"/>
                <w:szCs w:val="2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5980" w:type="dxa"/>
            <w:vAlign w:val="bottom"/>
          </w:tcPr>
          <w:p>
            <w:pPr>
              <w:ind w:left="260"/>
              <w:spacing w:after="0"/>
              <w:rPr>
                <w:sz w:val="20"/>
                <w:szCs w:val="20"/>
                <w:color w:val="auto"/>
              </w:rPr>
            </w:pPr>
            <w:r>
              <w:rPr>
                <w:rFonts w:ascii="Arial" w:cs="Arial" w:eastAsia="Arial" w:hAnsi="Arial"/>
                <w:sz w:val="22"/>
                <w:szCs w:val="22"/>
                <w:color w:val="auto"/>
              </w:rPr>
              <w:t>Dividend</w:t>
            </w:r>
          </w:p>
        </w:tc>
        <w:tc>
          <w:tcPr>
            <w:tcW w:w="1140" w:type="dxa"/>
            <w:vAlign w:val="bottom"/>
          </w:tcPr>
          <w:p>
            <w:pPr>
              <w:jc w:val="right"/>
              <w:spacing w:after="0"/>
              <w:rPr>
                <w:sz w:val="20"/>
                <w:szCs w:val="20"/>
                <w:color w:val="auto"/>
              </w:rPr>
            </w:pPr>
            <w:r>
              <w:rPr>
                <w:rFonts w:ascii="Arial" w:cs="Arial" w:eastAsia="Arial" w:hAnsi="Arial"/>
                <w:sz w:val="22"/>
                <w:szCs w:val="22"/>
                <w:color w:val="auto"/>
              </w:rPr>
              <w:t>700,000</w:t>
            </w:r>
          </w:p>
        </w:tc>
        <w:tc>
          <w:tcPr>
            <w:tcW w:w="1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700,000</w:t>
            </w:r>
          </w:p>
        </w:tc>
        <w:tc>
          <w:tcPr>
            <w:tcW w:w="200" w:type="dxa"/>
            <w:vAlign w:val="bottom"/>
          </w:tcPr>
          <w:p>
            <w:pPr>
              <w:spacing w:after="0"/>
              <w:rPr>
                <w:sz w:val="23"/>
                <w:szCs w:val="2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67"/>
        </w:trPr>
        <w:tc>
          <w:tcPr>
            <w:tcW w:w="598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9"/>
              </w:rPr>
              <w:t>16,500,820</w:t>
            </w:r>
          </w:p>
        </w:tc>
        <w:tc>
          <w:tcPr>
            <w:tcW w:w="180" w:type="dxa"/>
            <w:vAlign w:val="bottom"/>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13,220,898</w:t>
            </w:r>
          </w:p>
        </w:tc>
        <w:tc>
          <w:tcPr>
            <w:tcW w:w="200" w:type="dxa"/>
            <w:vAlign w:val="bottom"/>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9"/>
              </w:rPr>
              <w:t>31,337,180</w:t>
            </w:r>
          </w:p>
        </w:tc>
        <w:tc>
          <w:tcPr>
            <w:tcW w:w="200" w:type="dxa"/>
            <w:vAlign w:val="bottom"/>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9"/>
              </w:rPr>
              <w:t>25,852,166</w:t>
            </w:r>
          </w:p>
        </w:tc>
        <w:tc>
          <w:tcPr>
            <w:tcW w:w="80" w:type="dxa"/>
            <w:vAlign w:val="bottom"/>
          </w:tcPr>
          <w:p>
            <w:pPr>
              <w:spacing w:after="0"/>
              <w:rPr>
                <w:sz w:val="23"/>
                <w:szCs w:val="23"/>
                <w:color w:val="auto"/>
              </w:rPr>
            </w:pPr>
          </w:p>
        </w:tc>
      </w:tr>
      <w:tr>
        <w:trPr>
          <w:trHeight w:val="256"/>
        </w:trPr>
        <w:tc>
          <w:tcPr>
            <w:tcW w:w="598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598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140" w:type="dxa"/>
            <w:vAlign w:val="bottom"/>
          </w:tcPr>
          <w:p>
            <w:pPr>
              <w:jc w:val="right"/>
              <w:spacing w:after="0"/>
              <w:rPr>
                <w:sz w:val="20"/>
                <w:szCs w:val="20"/>
                <w:color w:val="auto"/>
              </w:rPr>
            </w:pPr>
            <w:r>
              <w:rPr>
                <w:rFonts w:ascii="Arial" w:cs="Arial" w:eastAsia="Arial" w:hAnsi="Arial"/>
                <w:sz w:val="22"/>
                <w:szCs w:val="22"/>
                <w:color w:val="auto"/>
              </w:rPr>
              <w:t>1,929,703</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1,731,417</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3,751,766</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3,327,144</w:t>
            </w:r>
          </w:p>
        </w:tc>
        <w:tc>
          <w:tcPr>
            <w:tcW w:w="80" w:type="dxa"/>
            <w:vAlign w:val="bottom"/>
          </w:tcPr>
          <w:p>
            <w:pPr>
              <w:spacing w:after="0"/>
              <w:rPr>
                <w:sz w:val="23"/>
                <w:szCs w:val="23"/>
                <w:color w:val="auto"/>
              </w:rPr>
            </w:pPr>
          </w:p>
        </w:tc>
      </w:tr>
      <w:tr>
        <w:trPr>
          <w:trHeight w:val="270"/>
        </w:trPr>
        <w:tc>
          <w:tcPr>
            <w:tcW w:w="598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140" w:type="dxa"/>
            <w:vAlign w:val="bottom"/>
          </w:tcPr>
          <w:p>
            <w:pPr>
              <w:jc w:val="right"/>
              <w:spacing w:after="0"/>
              <w:rPr>
                <w:sz w:val="20"/>
                <w:szCs w:val="20"/>
                <w:color w:val="auto"/>
              </w:rPr>
            </w:pPr>
            <w:r>
              <w:rPr>
                <w:rFonts w:ascii="Arial" w:cs="Arial" w:eastAsia="Arial" w:hAnsi="Arial"/>
                <w:sz w:val="22"/>
                <w:szCs w:val="22"/>
                <w:color w:val="auto"/>
              </w:rPr>
              <w:t>375,101</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453,666</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523,111</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1,923,035</w:t>
            </w:r>
          </w:p>
        </w:tc>
        <w:tc>
          <w:tcPr>
            <w:tcW w:w="80" w:type="dxa"/>
            <w:vAlign w:val="bottom"/>
          </w:tcPr>
          <w:p>
            <w:pPr>
              <w:spacing w:after="0"/>
              <w:rPr>
                <w:sz w:val="23"/>
                <w:szCs w:val="23"/>
                <w:color w:val="auto"/>
              </w:rPr>
            </w:pPr>
          </w:p>
        </w:tc>
      </w:tr>
      <w:tr>
        <w:trPr>
          <w:trHeight w:val="270"/>
        </w:trPr>
        <w:tc>
          <w:tcPr>
            <w:tcW w:w="598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140" w:type="dxa"/>
            <w:vAlign w:val="bottom"/>
          </w:tcPr>
          <w:p>
            <w:pPr>
              <w:jc w:val="right"/>
              <w:spacing w:after="0"/>
              <w:rPr>
                <w:sz w:val="20"/>
                <w:szCs w:val="20"/>
                <w:color w:val="auto"/>
              </w:rPr>
            </w:pPr>
            <w:r>
              <w:rPr>
                <w:rFonts w:ascii="Arial" w:cs="Arial" w:eastAsia="Arial" w:hAnsi="Arial"/>
                <w:sz w:val="22"/>
                <w:szCs w:val="22"/>
                <w:color w:val="auto"/>
              </w:rPr>
              <w:t>3,477,374</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1,998,347</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6,095,682</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3,799,072</w:t>
            </w:r>
          </w:p>
        </w:tc>
        <w:tc>
          <w:tcPr>
            <w:tcW w:w="80" w:type="dxa"/>
            <w:vAlign w:val="bottom"/>
          </w:tcPr>
          <w:p>
            <w:pPr>
              <w:spacing w:after="0"/>
              <w:rPr>
                <w:sz w:val="23"/>
                <w:szCs w:val="23"/>
                <w:color w:val="auto"/>
              </w:rPr>
            </w:pPr>
          </w:p>
        </w:tc>
      </w:tr>
      <w:tr>
        <w:trPr>
          <w:trHeight w:val="270"/>
        </w:trPr>
        <w:tc>
          <w:tcPr>
            <w:tcW w:w="598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140" w:type="dxa"/>
            <w:vAlign w:val="bottom"/>
          </w:tcPr>
          <w:p>
            <w:pPr>
              <w:jc w:val="right"/>
              <w:spacing w:after="0"/>
              <w:rPr>
                <w:sz w:val="20"/>
                <w:szCs w:val="20"/>
                <w:color w:val="auto"/>
              </w:rPr>
            </w:pPr>
            <w:r>
              <w:rPr>
                <w:rFonts w:ascii="Arial" w:cs="Arial" w:eastAsia="Arial" w:hAnsi="Arial"/>
                <w:sz w:val="22"/>
                <w:szCs w:val="22"/>
                <w:color w:val="auto"/>
              </w:rPr>
              <w:t>500,000</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561,250</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1,000,000</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1,122,500</w:t>
            </w:r>
          </w:p>
        </w:tc>
        <w:tc>
          <w:tcPr>
            <w:tcW w:w="80" w:type="dxa"/>
            <w:vAlign w:val="bottom"/>
          </w:tcPr>
          <w:p>
            <w:pPr>
              <w:spacing w:after="0"/>
              <w:rPr>
                <w:sz w:val="23"/>
                <w:szCs w:val="23"/>
                <w:color w:val="auto"/>
              </w:rPr>
            </w:pPr>
          </w:p>
        </w:tc>
      </w:tr>
      <w:tr>
        <w:trPr>
          <w:trHeight w:val="274"/>
        </w:trPr>
        <w:tc>
          <w:tcPr>
            <w:tcW w:w="598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618,750</w:t>
            </w:r>
          </w:p>
        </w:tc>
        <w:tc>
          <w:tcPr>
            <w:tcW w:w="18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357,500</w:t>
            </w:r>
          </w:p>
        </w:tc>
        <w:tc>
          <w:tcPr>
            <w:tcW w:w="2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1,237,501</w:t>
            </w:r>
          </w:p>
        </w:tc>
        <w:tc>
          <w:tcPr>
            <w:tcW w:w="20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715,000</w:t>
            </w:r>
          </w:p>
        </w:tc>
        <w:tc>
          <w:tcPr>
            <w:tcW w:w="80" w:type="dxa"/>
            <w:vAlign w:val="bottom"/>
          </w:tcPr>
          <w:p>
            <w:pPr>
              <w:spacing w:after="0"/>
              <w:rPr>
                <w:sz w:val="23"/>
                <w:szCs w:val="23"/>
                <w:color w:val="auto"/>
              </w:rPr>
            </w:pPr>
          </w:p>
        </w:tc>
      </w:tr>
      <w:tr>
        <w:trPr>
          <w:trHeight w:val="213"/>
        </w:trPr>
        <w:tc>
          <w:tcPr>
            <w:tcW w:w="598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89"/>
              </w:rPr>
              <w:t>Expenses before amendment costs, debt issuance costs and</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6"/>
        </w:trPr>
        <w:tc>
          <w:tcPr>
            <w:tcW w:w="5980" w:type="dxa"/>
            <w:vAlign w:val="bottom"/>
          </w:tcPr>
          <w:p>
            <w:pPr>
              <w:ind w:left="260"/>
              <w:spacing w:after="0"/>
              <w:rPr>
                <w:sz w:val="20"/>
                <w:szCs w:val="20"/>
                <w:color w:val="auto"/>
              </w:rPr>
            </w:pPr>
            <w:r>
              <w:rPr>
                <w:rFonts w:ascii="Arial" w:cs="Arial" w:eastAsia="Arial" w:hAnsi="Arial"/>
                <w:sz w:val="22"/>
                <w:szCs w:val="22"/>
                <w:b w:val="1"/>
                <w:bCs w:val="1"/>
                <w:color w:val="auto"/>
              </w:rPr>
              <w:t>provision for taxes</w:t>
            </w:r>
          </w:p>
        </w:tc>
        <w:tc>
          <w:tcPr>
            <w:tcW w:w="1140" w:type="dxa"/>
            <w:vAlign w:val="bottom"/>
          </w:tcPr>
          <w:p>
            <w:pPr>
              <w:jc w:val="right"/>
              <w:spacing w:after="0"/>
              <w:rPr>
                <w:sz w:val="20"/>
                <w:szCs w:val="20"/>
                <w:color w:val="auto"/>
              </w:rPr>
            </w:pPr>
            <w:r>
              <w:rPr>
                <w:rFonts w:ascii="Arial" w:cs="Arial" w:eastAsia="Arial" w:hAnsi="Arial"/>
                <w:sz w:val="22"/>
                <w:szCs w:val="22"/>
                <w:color w:val="auto"/>
              </w:rPr>
              <w:t>6,900,928</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5,102,180</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99"/>
              </w:rPr>
              <w:t>12,608,060</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w w:val="99"/>
              </w:rPr>
              <w:t>10,886,751</w:t>
            </w:r>
          </w:p>
        </w:tc>
        <w:tc>
          <w:tcPr>
            <w:tcW w:w="80" w:type="dxa"/>
            <w:vAlign w:val="bottom"/>
          </w:tcPr>
          <w:p>
            <w:pPr>
              <w:spacing w:after="0"/>
              <w:rPr>
                <w:sz w:val="24"/>
                <w:szCs w:val="24"/>
                <w:color w:val="auto"/>
              </w:rPr>
            </w:pPr>
          </w:p>
        </w:tc>
      </w:tr>
      <w:tr>
        <w:trPr>
          <w:trHeight w:val="270"/>
        </w:trPr>
        <w:tc>
          <w:tcPr>
            <w:tcW w:w="5980" w:type="dxa"/>
            <w:vAlign w:val="bottom"/>
          </w:tcPr>
          <w:p>
            <w:pPr>
              <w:ind w:left="260"/>
              <w:spacing w:after="0"/>
              <w:rPr>
                <w:sz w:val="20"/>
                <w:szCs w:val="20"/>
                <w:color w:val="auto"/>
              </w:rPr>
            </w:pPr>
            <w:r>
              <w:rPr>
                <w:rFonts w:ascii="Arial" w:cs="Arial" w:eastAsia="Arial" w:hAnsi="Arial"/>
                <w:sz w:val="22"/>
                <w:szCs w:val="22"/>
                <w:color w:val="auto"/>
              </w:rPr>
              <w:t>Credit Facility amendment costs and debt issuance costs</w:t>
            </w:r>
          </w:p>
        </w:tc>
        <w:tc>
          <w:tcPr>
            <w:tcW w:w="132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w w:val="99"/>
              </w:rPr>
              <w:t>10,869,098</w:t>
            </w:r>
          </w:p>
        </w:tc>
        <w:tc>
          <w:tcPr>
            <w:tcW w:w="200" w:type="dxa"/>
            <w:vAlign w:val="bottom"/>
          </w:tcPr>
          <w:p>
            <w:pPr>
              <w:spacing w:after="0"/>
              <w:rPr>
                <w:sz w:val="23"/>
                <w:szCs w:val="2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598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200,000</w:t>
            </w:r>
          </w:p>
        </w:tc>
        <w:tc>
          <w:tcPr>
            <w:tcW w:w="18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90,000</w:t>
            </w:r>
          </w:p>
        </w:tc>
        <w:tc>
          <w:tcPr>
            <w:tcW w:w="2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400,000</w:t>
            </w:r>
          </w:p>
        </w:tc>
        <w:tc>
          <w:tcPr>
            <w:tcW w:w="20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115,000</w:t>
            </w:r>
          </w:p>
        </w:tc>
        <w:tc>
          <w:tcPr>
            <w:tcW w:w="80" w:type="dxa"/>
            <w:vAlign w:val="bottom"/>
          </w:tcPr>
          <w:p>
            <w:pPr>
              <w:spacing w:after="0"/>
              <w:rPr>
                <w:sz w:val="23"/>
                <w:szCs w:val="23"/>
                <w:color w:val="auto"/>
              </w:rPr>
            </w:pPr>
          </w:p>
        </w:tc>
      </w:tr>
      <w:tr>
        <w:trPr>
          <w:trHeight w:val="267"/>
        </w:trPr>
        <w:tc>
          <w:tcPr>
            <w:tcW w:w="598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7,100,928</w:t>
            </w:r>
          </w:p>
        </w:tc>
        <w:tc>
          <w:tcPr>
            <w:tcW w:w="18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5,192,180</w:t>
            </w:r>
          </w:p>
        </w:tc>
        <w:tc>
          <w:tcPr>
            <w:tcW w:w="2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23,877,158</w:t>
            </w:r>
          </w:p>
        </w:tc>
        <w:tc>
          <w:tcPr>
            <w:tcW w:w="20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11,001,751</w:t>
            </w:r>
          </w:p>
        </w:tc>
        <w:tc>
          <w:tcPr>
            <w:tcW w:w="80" w:type="dxa"/>
            <w:vAlign w:val="bottom"/>
          </w:tcPr>
          <w:p>
            <w:pPr>
              <w:spacing w:after="0"/>
              <w:rPr>
                <w:sz w:val="23"/>
                <w:szCs w:val="23"/>
                <w:color w:val="auto"/>
              </w:rPr>
            </w:pPr>
          </w:p>
        </w:tc>
      </w:tr>
      <w:tr>
        <w:trPr>
          <w:trHeight w:val="264"/>
        </w:trPr>
        <w:tc>
          <w:tcPr>
            <w:tcW w:w="598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9,399,892</w:t>
            </w:r>
          </w:p>
        </w:tc>
        <w:tc>
          <w:tcPr>
            <w:tcW w:w="18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8,028,718</w:t>
            </w:r>
          </w:p>
        </w:tc>
        <w:tc>
          <w:tcPr>
            <w:tcW w:w="2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7,460,022</w:t>
            </w:r>
          </w:p>
        </w:tc>
        <w:tc>
          <w:tcPr>
            <w:tcW w:w="2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14,850,415</w:t>
            </w:r>
          </w:p>
        </w:tc>
        <w:tc>
          <w:tcPr>
            <w:tcW w:w="80" w:type="dxa"/>
            <w:vAlign w:val="bottom"/>
          </w:tcPr>
          <w:p>
            <w:pPr>
              <w:spacing w:after="0"/>
              <w:rPr>
                <w:sz w:val="22"/>
                <w:szCs w:val="22"/>
                <w:color w:val="auto"/>
              </w:rPr>
            </w:pPr>
          </w:p>
        </w:tc>
      </w:tr>
      <w:tr>
        <w:trPr>
          <w:trHeight w:val="256"/>
        </w:trPr>
        <w:tc>
          <w:tcPr>
            <w:tcW w:w="5980" w:type="dxa"/>
            <w:vAlign w:val="bottom"/>
          </w:tcPr>
          <w:p>
            <w:pPr>
              <w:spacing w:after="0"/>
              <w:rPr>
                <w:sz w:val="20"/>
                <w:szCs w:val="20"/>
                <w:color w:val="auto"/>
              </w:rPr>
            </w:pPr>
            <w:r>
              <w:rPr>
                <w:rFonts w:ascii="Arial" w:cs="Arial" w:eastAsia="Arial" w:hAnsi="Arial"/>
                <w:sz w:val="22"/>
                <w:szCs w:val="22"/>
                <w:b w:val="1"/>
                <w:bCs w:val="1"/>
                <w:color w:val="auto"/>
                <w:w w:val="93"/>
              </w:rPr>
              <w:t>Realized and unrealized gain (loss) on investments and debt:</w:t>
            </w: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22"/>
                <w:szCs w:val="22"/>
                <w:color w:val="auto"/>
              </w:rPr>
              <w:t>Net realized gain (loss) on investments</w:t>
            </w:r>
          </w:p>
        </w:tc>
        <w:tc>
          <w:tcPr>
            <w:tcW w:w="1140" w:type="dxa"/>
            <w:vAlign w:val="bottom"/>
          </w:tcPr>
          <w:p>
            <w:pPr>
              <w:jc w:val="right"/>
              <w:spacing w:after="0"/>
              <w:rPr>
                <w:sz w:val="20"/>
                <w:szCs w:val="20"/>
                <w:color w:val="auto"/>
              </w:rPr>
            </w:pPr>
            <w:r>
              <w:rPr>
                <w:rFonts w:ascii="Arial" w:cs="Arial" w:eastAsia="Arial" w:hAnsi="Arial"/>
                <w:sz w:val="22"/>
                <w:szCs w:val="22"/>
                <w:color w:val="auto"/>
              </w:rPr>
              <w:t>1,463,057</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1,960,610</w:t>
            </w:r>
          </w:p>
        </w:tc>
        <w:tc>
          <w:tcPr>
            <w:tcW w:w="20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2"/>
                <w:szCs w:val="22"/>
                <w:color w:val="auto"/>
              </w:rPr>
              <w:t>(1,323,494)</w:t>
            </w:r>
          </w:p>
        </w:tc>
        <w:tc>
          <w:tcPr>
            <w:tcW w:w="1140" w:type="dxa"/>
            <w:vAlign w:val="bottom"/>
          </w:tcPr>
          <w:p>
            <w:pPr>
              <w:jc w:val="right"/>
              <w:spacing w:after="0"/>
              <w:rPr>
                <w:sz w:val="20"/>
                <w:szCs w:val="20"/>
                <w:color w:val="auto"/>
              </w:rPr>
            </w:pPr>
            <w:r>
              <w:rPr>
                <w:rFonts w:ascii="Arial" w:cs="Arial" w:eastAsia="Arial" w:hAnsi="Arial"/>
                <w:sz w:val="22"/>
                <w:szCs w:val="22"/>
                <w:color w:val="auto"/>
              </w:rPr>
              <w:t>2,510,011</w:t>
            </w:r>
          </w:p>
        </w:tc>
        <w:tc>
          <w:tcPr>
            <w:tcW w:w="80" w:type="dxa"/>
            <w:vAlign w:val="bottom"/>
          </w:tcPr>
          <w:p>
            <w:pPr>
              <w:spacing w:after="0"/>
              <w:rPr>
                <w:sz w:val="23"/>
                <w:szCs w:val="23"/>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4"/>
        </w:trPr>
        <w:tc>
          <w:tcPr>
            <w:tcW w:w="598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320" w:type="dxa"/>
            <w:vAlign w:val="bottom"/>
            <w:gridSpan w:val="2"/>
          </w:tcPr>
          <w:p>
            <w:pPr>
              <w:jc w:val="right"/>
              <w:ind w:right="100"/>
              <w:spacing w:after="0"/>
              <w:rPr>
                <w:sz w:val="20"/>
                <w:szCs w:val="20"/>
                <w:color w:val="auto"/>
              </w:rPr>
            </w:pPr>
            <w:r>
              <w:rPr>
                <w:rFonts w:ascii="Arial" w:cs="Arial" w:eastAsia="Arial" w:hAnsi="Arial"/>
                <w:sz w:val="22"/>
                <w:szCs w:val="22"/>
                <w:color w:val="auto"/>
              </w:rPr>
              <w:t>(1,013,160)</w:t>
            </w:r>
          </w:p>
        </w:tc>
        <w:tc>
          <w:tcPr>
            <w:tcW w:w="1360" w:type="dxa"/>
            <w:vAlign w:val="bottom"/>
            <w:gridSpan w:val="2"/>
          </w:tcPr>
          <w:p>
            <w:pPr>
              <w:jc w:val="right"/>
              <w:ind w:right="100"/>
              <w:spacing w:after="0"/>
              <w:rPr>
                <w:sz w:val="20"/>
                <w:szCs w:val="20"/>
                <w:color w:val="auto"/>
              </w:rPr>
            </w:pPr>
            <w:r>
              <w:rPr>
                <w:rFonts w:ascii="Arial" w:cs="Arial" w:eastAsia="Arial" w:hAnsi="Arial"/>
                <w:sz w:val="22"/>
                <w:szCs w:val="22"/>
                <w:color w:val="auto"/>
              </w:rPr>
              <w:t>(2,744,991)</w:t>
            </w:r>
          </w:p>
        </w:tc>
        <w:tc>
          <w:tcPr>
            <w:tcW w:w="1120" w:type="dxa"/>
            <w:vAlign w:val="bottom"/>
          </w:tcPr>
          <w:p>
            <w:pPr>
              <w:jc w:val="right"/>
              <w:spacing w:after="0"/>
              <w:rPr>
                <w:sz w:val="20"/>
                <w:szCs w:val="20"/>
                <w:color w:val="auto"/>
              </w:rPr>
            </w:pPr>
            <w:r>
              <w:rPr>
                <w:rFonts w:ascii="Arial" w:cs="Arial" w:eastAsia="Arial" w:hAnsi="Arial"/>
                <w:sz w:val="22"/>
                <w:szCs w:val="22"/>
                <w:color w:val="auto"/>
              </w:rPr>
              <w:t>2,184,996</w:t>
            </w:r>
          </w:p>
        </w:tc>
        <w:tc>
          <w:tcPr>
            <w:tcW w:w="20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(198,966)</w:t>
            </w:r>
          </w:p>
        </w:tc>
      </w:tr>
    </w:tbl>
    <w:p>
      <w:pPr>
        <w:sectPr>
          <w:pgSz w:w="11900" w:h="16860" w:orient="portrait"/>
          <w:cols w:equalWidth="0" w:num="1">
            <w:col w:w="11200"/>
          </w:cols>
          <w:pgMar w:left="340" w:top="118" w:right="35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980" w:type="dxa"/>
            <w:vAlign w:val="bottom"/>
          </w:tcPr>
          <w:p>
            <w:pPr>
              <w:ind w:left="260"/>
              <w:spacing w:after="0"/>
              <w:rPr>
                <w:sz w:val="20"/>
                <w:szCs w:val="20"/>
                <w:color w:val="auto"/>
              </w:rPr>
            </w:pPr>
            <w:r>
              <w:rPr>
                <w:rFonts w:ascii="Arial" w:cs="Arial" w:eastAsia="Arial" w:hAnsi="Arial"/>
                <w:sz w:val="22"/>
                <w:szCs w:val="22"/>
                <w:color w:val="auto"/>
              </w:rPr>
              <w:t>Controlled, affiliated investments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435,258</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753,700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5980" w:type="dxa"/>
            <w:vAlign w:val="bottom"/>
          </w:tcPr>
          <w:p>
            <w:pPr>
              <w:ind w:left="260"/>
              <w:spacing w:after="0"/>
              <w:rPr>
                <w:sz w:val="20"/>
                <w:szCs w:val="20"/>
                <w:color w:val="auto"/>
              </w:rPr>
            </w:pPr>
            <w:r>
              <w:rPr>
                <w:rFonts w:ascii="Arial" w:cs="Arial" w:eastAsia="Arial" w:hAnsi="Arial"/>
                <w:sz w:val="22"/>
                <w:szCs w:val="22"/>
                <w:color w:val="auto"/>
              </w:rPr>
              <w:t>Debt depreciation (appreciation)</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5,304,713</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38,808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8,433,318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w w:val="89"/>
              </w:rPr>
              <w:t>(1,029,406 )</w:t>
            </w: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8"/>
              </w:rPr>
              <w:t>Net change in unrealized appreciation (depreciation) on</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980" w:type="dxa"/>
            <w:vAlign w:val="bottom"/>
          </w:tcPr>
          <w:p>
            <w:pPr>
              <w:ind w:left="260"/>
              <w:spacing w:after="0"/>
              <w:rPr>
                <w:sz w:val="20"/>
                <w:szCs w:val="20"/>
                <w:color w:val="auto"/>
              </w:rPr>
            </w:pPr>
            <w:r>
              <w:rPr>
                <w:rFonts w:ascii="Arial" w:cs="Arial" w:eastAsia="Arial" w:hAnsi="Arial"/>
                <w:sz w:val="22"/>
                <w:szCs w:val="22"/>
                <w:b w:val="1"/>
                <w:bCs w:val="1"/>
                <w:color w:val="auto"/>
              </w:rPr>
              <w:t>investments and debt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4,726,811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w w:val="89"/>
              </w:rPr>
              <w:t>(2,706,183 )</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8"/>
              </w:rPr>
              <w:t>11,372,014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w w:val="89"/>
              </w:rPr>
              <w:t>(1,228,372 )</w:t>
            </w:r>
          </w:p>
        </w:tc>
        <w:tc>
          <w:tcPr>
            <w:tcW w:w="0" w:type="dxa"/>
            <w:vAlign w:val="bottom"/>
          </w:tcPr>
          <w:p>
            <w:pPr>
              <w:spacing w:after="0"/>
              <w:rPr>
                <w:sz w:val="1"/>
                <w:szCs w:val="1"/>
                <w:color w:val="auto"/>
              </w:rPr>
            </w:pPr>
          </w:p>
        </w:tc>
      </w:tr>
      <w:tr>
        <w:trPr>
          <w:trHeight w:val="213"/>
        </w:trPr>
        <w:tc>
          <w:tcPr>
            <w:tcW w:w="5980" w:type="dxa"/>
            <w:vAlign w:val="bottom"/>
          </w:tcPr>
          <w:p>
            <w:pPr>
              <w:spacing w:after="0" w:line="212" w:lineRule="exact"/>
              <w:rPr>
                <w:sz w:val="20"/>
                <w:szCs w:val="20"/>
                <w:color w:val="auto"/>
              </w:rPr>
            </w:pPr>
            <w:r>
              <w:rPr>
                <w:rFonts w:ascii="Arial" w:cs="Arial" w:eastAsia="Arial" w:hAnsi="Arial"/>
                <w:sz w:val="22"/>
                <w:szCs w:val="22"/>
                <w:b w:val="1"/>
                <w:bCs w:val="1"/>
                <w:color w:val="auto"/>
                <w:w w:val="93"/>
              </w:rPr>
              <w:t>Net realized and unrealized gain (loss) from investments and</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98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6,189,868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rPr>
              <w:t>(745,573 )</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8"/>
              </w:rPr>
              <w:t>10,048,520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1,281,639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98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15,589,760</w:t>
            </w:r>
          </w:p>
        </w:tc>
        <w:tc>
          <w:tcPr>
            <w:tcW w:w="18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7,283,145</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17,508,542</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16,132,054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line="242" w:lineRule="exact"/>
              <w:rPr>
                <w:sz w:val="20"/>
                <w:szCs w:val="20"/>
                <w:color w:val="auto"/>
              </w:rPr>
            </w:pPr>
            <w:r>
              <w:rPr>
                <w:rFonts w:ascii="Arial" w:cs="Arial" w:eastAsia="Arial" w:hAnsi="Arial"/>
                <w:sz w:val="22"/>
                <w:szCs w:val="22"/>
                <w:color w:val="auto"/>
                <w:w w:val="94"/>
              </w:rPr>
              <w:t>Net increase in net assets resulting from operations per common</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0.40</w:t>
            </w:r>
          </w:p>
        </w:tc>
        <w:tc>
          <w:tcPr>
            <w:tcW w:w="1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vMerge w:val="restart"/>
          </w:tcPr>
          <w:p>
            <w:pPr>
              <w:jc w:val="right"/>
              <w:spacing w:after="0"/>
              <w:rPr>
                <w:sz w:val="20"/>
                <w:szCs w:val="20"/>
                <w:color w:val="auto"/>
              </w:rPr>
            </w:pPr>
            <w:r>
              <w:rPr>
                <w:rFonts w:ascii="Arial" w:cs="Arial" w:eastAsia="Arial" w:hAnsi="Arial"/>
                <w:sz w:val="22"/>
                <w:szCs w:val="22"/>
                <w:color w:val="auto"/>
              </w:rPr>
              <w:t>0.25</w:t>
            </w:r>
          </w:p>
        </w:tc>
        <w:tc>
          <w:tcPr>
            <w:tcW w:w="2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0.46</w:t>
            </w:r>
          </w:p>
        </w:tc>
        <w:tc>
          <w:tcPr>
            <w:tcW w:w="2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80" w:type="dxa"/>
            <w:vAlign w:val="bottom"/>
          </w:tcPr>
          <w:p>
            <w:pPr>
              <w:spacing w:after="0" w:line="251" w:lineRule="exact"/>
              <w:rPr>
                <w:sz w:val="20"/>
                <w:szCs w:val="20"/>
                <w:color w:val="auto"/>
              </w:rPr>
            </w:pPr>
            <w:r>
              <w:rPr>
                <w:rFonts w:ascii="Arial" w:cs="Arial" w:eastAsia="Arial" w:hAnsi="Arial"/>
                <w:sz w:val="22"/>
                <w:szCs w:val="22"/>
                <w:color w:val="auto"/>
              </w:rPr>
              <w:t>share</w:t>
            </w: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0.24</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0.27</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0.20</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231" w:lineRule="auto"/>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2020-05-05T12:04:45Z</dcterms:created>
  <dcterms:modified xsi:type="dcterms:W3CDTF">2020-05-05T12:04:45Z</dcterms:modified>
</cp:coreProperties>
</file>