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July 15, 2024</w:t>
      </w:r>
    </w:p>
    <w:p>
      <w:pPr>
        <w:jc w:val="right"/>
        <w:spacing w:after="0" w:line="218" w:lineRule="auto"/>
        <w:rPr>
          <w:sz w:val="20"/>
          <w:szCs w:val="20"/>
          <w:color w:val="auto"/>
        </w:rPr>
      </w:pPr>
      <w:r>
        <w:rPr>
          <w:rFonts w:ascii="Times New Roman" w:cs="Times New Roman" w:eastAsia="Times New Roman" w:hAnsi="Times New Roman"/>
          <w:sz w:val="14"/>
          <w:szCs w:val="14"/>
          <w:b w:val="1"/>
          <w:bCs w:val="1"/>
          <w:color w:val="auto"/>
        </w:rPr>
        <w:t>Securities Act Registration No. 333-279726</w:t>
      </w:r>
    </w:p>
    <w:p>
      <w:pPr>
        <w:jc w:val="right"/>
        <w:spacing w:after="0"/>
        <w:rPr>
          <w:sz w:val="20"/>
          <w:szCs w:val="20"/>
          <w:color w:val="auto"/>
        </w:rPr>
      </w:pPr>
      <w:r>
        <w:rPr>
          <w:rFonts w:ascii="Times New Roman" w:cs="Times New Roman" w:eastAsia="Times New Roman" w:hAnsi="Times New Roman"/>
          <w:sz w:val="14"/>
          <w:szCs w:val="14"/>
          <w:b w:val="1"/>
          <w:bCs w:val="1"/>
          <w:color w:val="auto"/>
        </w:rPr>
        <w:t>Investment Company Act of 1940 File No. 814-00891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71354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54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69215</wp:posOffset>
            </wp:positionV>
            <wp:extent cx="71354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2819400</wp:posOffset>
            </wp:positionH>
            <wp:positionV relativeFrom="paragraph">
              <wp:posOffset>95885</wp:posOffset>
            </wp:positionV>
            <wp:extent cx="15043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04315" cy="8255"/>
                    </a:xfrm>
                    <a:prstGeom prst="rect">
                      <a:avLst/>
                    </a:prstGeom>
                    <a:noFill/>
                  </pic:spPr>
                </pic:pic>
              </a:graphicData>
            </a:graphic>
          </wp:anchor>
        </w:drawing>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N-2</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Registration Statement</w:t>
      </w:r>
    </w:p>
    <w:tbl>
      <w:tblPr>
        <w:tblLayout w:type="fixed"/>
        <w:tblInd w:w="4160" w:type="dxa"/>
        <w:tblCellMar>
          <w:top w:w="0" w:type="dxa"/>
          <w:left w:w="0" w:type="dxa"/>
          <w:bottom w:w="0" w:type="dxa"/>
          <w:right w:w="0" w:type="dxa"/>
        </w:tblCellMar>
      </w:tblPr>
      <w:tr>
        <w:trPr>
          <w:trHeight w:val="198"/>
        </w:trPr>
        <w:tc>
          <w:tcPr>
            <w:tcW w:w="4800" w:type="dxa"/>
            <w:vAlign w:val="bottom"/>
          </w:tcPr>
          <w:p>
            <w:pPr>
              <w:ind w:left="1220"/>
              <w:spacing w:after="0" w:line="198" w:lineRule="exact"/>
              <w:rPr>
                <w:sz w:val="20"/>
                <w:szCs w:val="20"/>
                <w:color w:val="auto"/>
              </w:rPr>
            </w:pPr>
            <w:r>
              <w:rPr>
                <w:rFonts w:ascii="Times New Roman" w:cs="Times New Roman" w:eastAsia="Times New Roman" w:hAnsi="Times New Roman"/>
                <w:sz w:val="19"/>
                <w:szCs w:val="19"/>
                <w:b w:val="1"/>
                <w:bCs w:val="1"/>
                <w:i w:val="1"/>
                <w:iCs w:val="1"/>
                <w:color w:val="auto"/>
              </w:rPr>
              <w:t>under</w:t>
            </w:r>
          </w:p>
        </w:tc>
        <w:tc>
          <w:tcPr>
            <w:tcW w:w="2280" w:type="dxa"/>
            <w:vAlign w:val="bottom"/>
            <w:vMerge w:val="restart"/>
          </w:tcPr>
          <w:p>
            <w:pPr>
              <w:ind w:left="2120"/>
              <w:spacing w:after="0" w:line="191" w:lineRule="exact"/>
              <w:rPr>
                <w:sz w:val="20"/>
                <w:szCs w:val="20"/>
                <w:color w:val="auto"/>
              </w:rPr>
            </w:pPr>
            <w:r>
              <w:rPr>
                <w:rFonts w:ascii="MS PGothic" w:cs="MS PGothic" w:eastAsia="MS PGothic" w:hAnsi="MS PGothic"/>
                <w:sz w:val="19"/>
                <w:szCs w:val="19"/>
                <w:color w:val="auto"/>
                <w:w w:val="73"/>
              </w:rPr>
              <w:t>☒</w:t>
            </w:r>
          </w:p>
        </w:tc>
        <w:tc>
          <w:tcPr>
            <w:tcW w:w="0" w:type="dxa"/>
            <w:vAlign w:val="bottom"/>
          </w:tcPr>
          <w:p>
            <w:pPr>
              <w:spacing w:after="0"/>
              <w:rPr>
                <w:sz w:val="1"/>
                <w:szCs w:val="1"/>
                <w:color w:val="auto"/>
              </w:rPr>
            </w:pPr>
          </w:p>
        </w:tc>
      </w:tr>
      <w:tr>
        <w:trPr>
          <w:trHeight w:val="211"/>
        </w:trPr>
        <w:tc>
          <w:tcPr>
            <w:tcW w:w="4800" w:type="dxa"/>
            <w:vAlign w:val="bottom"/>
          </w:tcPr>
          <w:p>
            <w:pPr>
              <w:ind w:left="60"/>
              <w:spacing w:after="0" w:line="211" w:lineRule="exact"/>
              <w:rPr>
                <w:sz w:val="20"/>
                <w:szCs w:val="20"/>
                <w:color w:val="auto"/>
              </w:rPr>
            </w:pPr>
            <w:r>
              <w:rPr>
                <w:rFonts w:ascii="Times New Roman" w:cs="Times New Roman" w:eastAsia="Times New Roman" w:hAnsi="Times New Roman"/>
                <w:sz w:val="19"/>
                <w:szCs w:val="19"/>
                <w:b w:val="1"/>
                <w:bCs w:val="1"/>
                <w:i w:val="1"/>
                <w:iCs w:val="1"/>
                <w:color w:val="auto"/>
              </w:rPr>
              <w:t>the SECURITIES ACT OF 1933</w:t>
            </w:r>
          </w:p>
        </w:tc>
        <w:tc>
          <w:tcPr>
            <w:tcW w:w="2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0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Pre-Effective Amendment No. 2</w:t>
            </w:r>
          </w:p>
        </w:tc>
        <w:tc>
          <w:tcPr>
            <w:tcW w:w="2280" w:type="dxa"/>
            <w:vAlign w:val="bottom"/>
          </w:tcPr>
          <w:p>
            <w:pPr>
              <w:ind w:left="2120"/>
              <w:spacing w:after="0" w:line="191" w:lineRule="exact"/>
              <w:rPr>
                <w:sz w:val="20"/>
                <w:szCs w:val="20"/>
                <w:color w:val="auto"/>
              </w:rPr>
            </w:pPr>
            <w:r>
              <w:rPr>
                <w:rFonts w:ascii="MS PGothic" w:cs="MS PGothic" w:eastAsia="MS PGothic" w:hAnsi="MS PGothic"/>
                <w:sz w:val="19"/>
                <w:szCs w:val="19"/>
                <w:color w:val="auto"/>
                <w:w w:val="73"/>
              </w:rPr>
              <w:t>☒</w:t>
            </w:r>
          </w:p>
        </w:tc>
        <w:tc>
          <w:tcPr>
            <w:tcW w:w="0" w:type="dxa"/>
            <w:vAlign w:val="bottom"/>
          </w:tcPr>
          <w:p>
            <w:pPr>
              <w:spacing w:after="0"/>
              <w:rPr>
                <w:sz w:val="1"/>
                <w:szCs w:val="1"/>
                <w:color w:val="auto"/>
              </w:rPr>
            </w:pPr>
          </w:p>
        </w:tc>
      </w:tr>
      <w:tr>
        <w:trPr>
          <w:trHeight w:val="325"/>
        </w:trPr>
        <w:tc>
          <w:tcPr>
            <w:tcW w:w="48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Post-Effective Amendment No. </w:t>
            </w:r>
          </w:p>
        </w:tc>
        <w:tc>
          <w:tcPr>
            <w:tcW w:w="2280" w:type="dxa"/>
            <w:vAlign w:val="bottom"/>
          </w:tcPr>
          <w:p>
            <w:pPr>
              <w:ind w:left="2120"/>
              <w:spacing w:after="0" w:line="191" w:lineRule="exact"/>
              <w:rPr>
                <w:sz w:val="20"/>
                <w:szCs w:val="20"/>
                <w:color w:val="auto"/>
              </w:rPr>
            </w:pPr>
            <w:r>
              <w:rPr>
                <w:rFonts w:ascii="MS PGothic" w:cs="MS PGothic" w:eastAsia="MS PGothic" w:hAnsi="MS PGothic"/>
                <w:sz w:val="19"/>
                <w:szCs w:val="19"/>
                <w:color w:val="auto"/>
                <w:w w:val="73"/>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2819400</wp:posOffset>
            </wp:positionH>
            <wp:positionV relativeFrom="paragraph">
              <wp:posOffset>69215</wp:posOffset>
            </wp:positionV>
            <wp:extent cx="15043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04315" cy="8255"/>
                    </a:xfrm>
                    <a:prstGeom prst="rect">
                      <a:avLst/>
                    </a:prstGeom>
                    <a:noFill/>
                  </pic:spPr>
                </pic:pic>
              </a:graphicData>
            </a:graphic>
          </wp:anchor>
        </w:drawing>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PennantPark Floating Rate Capital Ltd.</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2819400</wp:posOffset>
            </wp:positionH>
            <wp:positionV relativeFrom="paragraph">
              <wp:posOffset>93345</wp:posOffset>
            </wp:positionV>
            <wp:extent cx="15043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04315" cy="8255"/>
                    </a:xfrm>
                    <a:prstGeom prst="rect">
                      <a:avLst/>
                    </a:prstGeom>
                    <a:noFill/>
                  </pic:spPr>
                </pic:pic>
              </a:graphicData>
            </a:graphic>
          </wp:anchor>
        </w:drawing>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1691 Michigan Avenue</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Miami Beach, Florida 33139</w:t>
      </w:r>
    </w:p>
    <w:p>
      <w:pPr>
        <w:jc w:val="center"/>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(786) 297-9500</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Arthur H. Penn</w:t>
      </w:r>
    </w:p>
    <w:p>
      <w:pPr>
        <w:jc w:val="center"/>
        <w:spacing w:after="0" w:line="218" w:lineRule="auto"/>
        <w:rPr>
          <w:sz w:val="20"/>
          <w:szCs w:val="20"/>
          <w:color w:val="auto"/>
        </w:rPr>
      </w:pPr>
      <w:r>
        <w:rPr>
          <w:rFonts w:ascii="Times New Roman" w:cs="Times New Roman" w:eastAsia="Times New Roman" w:hAnsi="Times New Roman"/>
          <w:sz w:val="14"/>
          <w:szCs w:val="14"/>
          <w:b w:val="1"/>
          <w:bCs w:val="1"/>
          <w:color w:val="auto"/>
        </w:rPr>
        <w:t>c/o PennantPark Floating Rate Capital Ltd.</w:t>
      </w:r>
    </w:p>
    <w:p>
      <w:pPr>
        <w:jc w:val="center"/>
        <w:spacing w:after="0" w:line="216" w:lineRule="auto"/>
        <w:rPr>
          <w:sz w:val="20"/>
          <w:szCs w:val="20"/>
          <w:color w:val="auto"/>
        </w:rPr>
      </w:pPr>
      <w:r>
        <w:rPr>
          <w:rFonts w:ascii="Times New Roman" w:cs="Times New Roman" w:eastAsia="Times New Roman" w:hAnsi="Times New Roman"/>
          <w:sz w:val="14"/>
          <w:szCs w:val="14"/>
          <w:b w:val="1"/>
          <w:bCs w:val="1"/>
          <w:color w:val="auto"/>
        </w:rPr>
        <w:t>1691 Michigan Avenue</w:t>
      </w:r>
    </w:p>
    <w:p>
      <w:pPr>
        <w:jc w:val="center"/>
        <w:spacing w:after="0" w:line="219" w:lineRule="auto"/>
        <w:rPr>
          <w:sz w:val="20"/>
          <w:szCs w:val="20"/>
          <w:color w:val="auto"/>
        </w:rPr>
      </w:pPr>
      <w:r>
        <w:rPr>
          <w:rFonts w:ascii="Times New Roman" w:cs="Times New Roman" w:eastAsia="Times New Roman" w:hAnsi="Times New Roman"/>
          <w:sz w:val="14"/>
          <w:szCs w:val="14"/>
          <w:b w:val="1"/>
          <w:bCs w:val="1"/>
          <w:color w:val="auto"/>
        </w:rPr>
        <w:t>Miami Beach, FL 33139</w:t>
      </w:r>
    </w:p>
    <w:p>
      <w:pPr>
        <w:jc w:val="center"/>
        <w:spacing w:after="0"/>
        <w:rPr>
          <w:sz w:val="20"/>
          <w:szCs w:val="20"/>
          <w:color w:val="auto"/>
        </w:rPr>
      </w:pPr>
      <w:r>
        <w:rPr>
          <w:rFonts w:ascii="Times New Roman" w:cs="Times New Roman" w:eastAsia="Times New Roman" w:hAnsi="Times New Roman"/>
          <w:sz w:val="12"/>
          <w:szCs w:val="12"/>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2819400</wp:posOffset>
            </wp:positionH>
            <wp:positionV relativeFrom="paragraph">
              <wp:posOffset>90170</wp:posOffset>
            </wp:positionV>
            <wp:extent cx="1504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04315" cy="8255"/>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p>
      <w:pPr>
        <w:jc w:val="center"/>
        <w:spacing w:after="0" w:line="218" w:lineRule="auto"/>
        <w:rPr>
          <w:sz w:val="20"/>
          <w:szCs w:val="20"/>
          <w:color w:val="auto"/>
        </w:rPr>
      </w:pPr>
      <w:r>
        <w:rPr>
          <w:rFonts w:ascii="Times New Roman" w:cs="Times New Roman" w:eastAsia="Times New Roman" w:hAnsi="Times New Roman"/>
          <w:sz w:val="14"/>
          <w:szCs w:val="14"/>
          <w:b w:val="1"/>
          <w:bCs w:val="1"/>
          <w:color w:val="auto"/>
        </w:rPr>
        <w:t>Thomas Friedmann</w:t>
      </w:r>
    </w:p>
    <w:p>
      <w:pPr>
        <w:jc w:val="center"/>
        <w:spacing w:after="0" w:line="216" w:lineRule="auto"/>
        <w:rPr>
          <w:sz w:val="20"/>
          <w:szCs w:val="20"/>
          <w:color w:val="auto"/>
        </w:rPr>
      </w:pPr>
      <w:r>
        <w:rPr>
          <w:rFonts w:ascii="Times New Roman" w:cs="Times New Roman" w:eastAsia="Times New Roman" w:hAnsi="Times New Roman"/>
          <w:sz w:val="14"/>
          <w:szCs w:val="14"/>
          <w:b w:val="1"/>
          <w:bCs w:val="1"/>
          <w:color w:val="auto"/>
        </w:rPr>
        <w:t>Stephen Pratt</w:t>
      </w:r>
    </w:p>
    <w:p>
      <w:pPr>
        <w:jc w:val="center"/>
        <w:spacing w:after="0" w:line="215" w:lineRule="auto"/>
        <w:rPr>
          <w:sz w:val="20"/>
          <w:szCs w:val="20"/>
          <w:color w:val="auto"/>
        </w:rPr>
      </w:pPr>
      <w:r>
        <w:rPr>
          <w:rFonts w:ascii="Times New Roman" w:cs="Times New Roman" w:eastAsia="Times New Roman" w:hAnsi="Times New Roman"/>
          <w:sz w:val="14"/>
          <w:szCs w:val="14"/>
          <w:b w:val="1"/>
          <w:bCs w:val="1"/>
          <w:color w:val="auto"/>
        </w:rPr>
        <w:t>Dechert LLP</w:t>
      </w:r>
    </w:p>
    <w:p>
      <w:pPr>
        <w:jc w:val="center"/>
        <w:spacing w:after="0" w:line="216" w:lineRule="auto"/>
        <w:rPr>
          <w:sz w:val="20"/>
          <w:szCs w:val="20"/>
          <w:color w:val="auto"/>
        </w:rPr>
      </w:pPr>
      <w:r>
        <w:rPr>
          <w:rFonts w:ascii="Times New Roman" w:cs="Times New Roman" w:eastAsia="Times New Roman" w:hAnsi="Times New Roman"/>
          <w:sz w:val="14"/>
          <w:szCs w:val="14"/>
          <w:b w:val="1"/>
          <w:bCs w:val="1"/>
          <w:color w:val="auto"/>
        </w:rPr>
        <w:t>One International Place</w:t>
      </w:r>
    </w:p>
    <w:p>
      <w:pPr>
        <w:jc w:val="center"/>
        <w:spacing w:after="0" w:line="216" w:lineRule="auto"/>
        <w:rPr>
          <w:sz w:val="20"/>
          <w:szCs w:val="20"/>
          <w:color w:val="auto"/>
        </w:rPr>
      </w:pPr>
      <w:r>
        <w:rPr>
          <w:rFonts w:ascii="Times New Roman" w:cs="Times New Roman" w:eastAsia="Times New Roman" w:hAnsi="Times New Roman"/>
          <w:sz w:val="14"/>
          <w:szCs w:val="14"/>
          <w:b w:val="1"/>
          <w:bCs w:val="1"/>
          <w:color w:val="auto"/>
        </w:rPr>
        <w:t>40th Floor</w:t>
      </w:r>
    </w:p>
    <w:p>
      <w:pPr>
        <w:jc w:val="center"/>
        <w:spacing w:after="0" w:line="216" w:lineRule="auto"/>
        <w:rPr>
          <w:sz w:val="20"/>
          <w:szCs w:val="20"/>
          <w:color w:val="auto"/>
        </w:rPr>
      </w:pPr>
      <w:r>
        <w:rPr>
          <w:rFonts w:ascii="Times New Roman" w:cs="Times New Roman" w:eastAsia="Times New Roman" w:hAnsi="Times New Roman"/>
          <w:sz w:val="14"/>
          <w:szCs w:val="14"/>
          <w:b w:val="1"/>
          <w:bCs w:val="1"/>
          <w:color w:val="auto"/>
        </w:rPr>
        <w:t>100 Oliver Street</w:t>
      </w:r>
    </w:p>
    <w:p>
      <w:pPr>
        <w:jc w:val="center"/>
        <w:spacing w:after="0"/>
        <w:rPr>
          <w:sz w:val="20"/>
          <w:szCs w:val="20"/>
          <w:color w:val="auto"/>
        </w:rPr>
      </w:pPr>
      <w:r>
        <w:rPr>
          <w:rFonts w:ascii="Times New Roman" w:cs="Times New Roman" w:eastAsia="Times New Roman" w:hAnsi="Times New Roman"/>
          <w:sz w:val="14"/>
          <w:szCs w:val="14"/>
          <w:b w:val="1"/>
          <w:bCs w:val="1"/>
          <w:color w:val="auto"/>
        </w:rPr>
        <w:t>Boston, MA 02110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2819400</wp:posOffset>
            </wp:positionH>
            <wp:positionV relativeFrom="paragraph">
              <wp:posOffset>85725</wp:posOffset>
            </wp:positionV>
            <wp:extent cx="1504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04315" cy="8255"/>
                    </a:xfrm>
                    <a:prstGeom prst="rect">
                      <a:avLst/>
                    </a:prstGeom>
                    <a:noFill/>
                  </pic:spPr>
                </pic:pic>
              </a:graphicData>
            </a:graphic>
          </wp:anchor>
        </w:drawing>
      </w:r>
    </w:p>
    <w:p>
      <w:pPr>
        <w:spacing w:after="0" w:line="15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APPROXIMATE DATE OF PROPOSED PUBLIC OFFERING: </w:t>
      </w:r>
      <w:r>
        <w:rPr>
          <w:rFonts w:ascii="Times New Roman" w:cs="Times New Roman" w:eastAsia="Times New Roman" w:hAnsi="Times New Roman"/>
          <w:sz w:val="13"/>
          <w:szCs w:val="13"/>
          <w:color w:val="auto"/>
        </w:rPr>
        <w:t>As soon as practicable after the effective date of this Registration Statement.</w:t>
      </w:r>
    </w:p>
    <w:p>
      <w:pPr>
        <w:spacing w:after="0" w:line="24" w:lineRule="exact"/>
        <w:rPr>
          <w:sz w:val="24"/>
          <w:szCs w:val="24"/>
          <w:color w:val="auto"/>
        </w:rPr>
      </w:pPr>
    </w:p>
    <w:p>
      <w:pPr>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Check box if the only securities being registered on this Form are being offered pursuant to dividend or interest reinvestment plans.</w:t>
      </w:r>
    </w:p>
    <w:p>
      <w:pPr>
        <w:spacing w:after="0" w:line="44" w:lineRule="exact"/>
        <w:rPr>
          <w:sz w:val="24"/>
          <w:szCs w:val="24"/>
          <w:color w:val="auto"/>
        </w:rPr>
      </w:pPr>
    </w:p>
    <w:p>
      <w:pPr>
        <w:ind w:right="380"/>
        <w:spacing w:after="0" w:line="154"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Check box if any securities being registered on this Form will be offered on a delayed or continuous basis in reliance on Rule 415 under the Securities Act of 1933 (“Securities Act”), other than securities offered in connection with a dividend reinvestment plan.</w:t>
      </w:r>
    </w:p>
    <w:p>
      <w:pPr>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Check box if this Form is a registration statement pursuant to General Instruction A.2 or a post-effective amendment thereto.</w:t>
      </w:r>
    </w:p>
    <w:p>
      <w:pPr>
        <w:spacing w:after="0" w:line="55" w:lineRule="exact"/>
        <w:rPr>
          <w:sz w:val="24"/>
          <w:szCs w:val="24"/>
          <w:color w:val="auto"/>
        </w:rPr>
      </w:pPr>
    </w:p>
    <w:p>
      <w:pPr>
        <w:ind w:right="160"/>
        <w:spacing w:after="0" w:line="155"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Check box if this Form is a registration statement pursuant to General Instruction B or a post-effective amendment thereto that will become effective upon filing with the Commission pursuant to Rule 462(e) under the Securities Act.</w:t>
      </w:r>
    </w:p>
    <w:p>
      <w:pPr>
        <w:ind w:right="40"/>
        <w:spacing w:after="0" w:line="158"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Check box if this Form is a post-effective amendment to a registration statement filed pursuant to General Instruction B to register additional securities or additional classes of securities pursuant to Rule 413(b) under the Securities Act.</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 is proposed that this filing will become effective (check appropriate box):</w:t>
      </w:r>
    </w:p>
    <w:p>
      <w:pPr>
        <w:spacing w:after="0" w:line="24" w:lineRule="exact"/>
        <w:rPr>
          <w:sz w:val="24"/>
          <w:szCs w:val="24"/>
          <w:color w:val="auto"/>
        </w:rPr>
      </w:pPr>
    </w:p>
    <w:p>
      <w:pPr>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when declared effective pursuant to Section 8(c) of the Securities Act.</w:t>
      </w:r>
    </w:p>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If appropriate, check the following box:</w:t>
      </w:r>
    </w:p>
    <w:p>
      <w:pPr>
        <w:spacing w:after="0" w:line="8" w:lineRule="exact"/>
        <w:rPr>
          <w:sz w:val="24"/>
          <w:szCs w:val="24"/>
          <w:color w:val="auto"/>
        </w:rPr>
      </w:pPr>
    </w:p>
    <w:p>
      <w:pPr>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This post-effective amendment designates a new effective date for a previously filed post-effective amendment registration statement.</w:t>
      </w:r>
    </w:p>
    <w:p>
      <w:pPr>
        <w:spacing w:after="0" w:line="44" w:lineRule="exact"/>
        <w:rPr>
          <w:sz w:val="24"/>
          <w:szCs w:val="24"/>
          <w:color w:val="auto"/>
        </w:rPr>
      </w:pPr>
    </w:p>
    <w:p>
      <w:pPr>
        <w:ind w:right="420"/>
        <w:spacing w:after="0" w:line="154"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This Form is filed to register additional securities for an offering pursuant to Rule 462(b) under the Securities Act, and the Securities Act registration statement number of the earlier effective registration statement for the same offering is:        .</w:t>
      </w:r>
    </w:p>
    <w:p>
      <w:pPr>
        <w:ind w:right="160"/>
        <w:spacing w:after="0" w:line="165"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This Form is a post-effective amendment filed pursuant to Rule 462(c) under the Securities Act, and the Securities Act registration statement number of the earlier effective registration statement for the same offering is:        .</w:t>
      </w:r>
    </w:p>
    <w:p>
      <w:pPr>
        <w:ind w:right="140"/>
        <w:spacing w:after="0" w:line="165"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This Form is a post-effective amendment filed pursuant to Rule 462(d) under the Securities Act, and the Securities Act registration statement number of the earlier effective registration statement for the same offering is:        .</w:t>
      </w:r>
    </w:p>
    <w:p>
      <w:pPr>
        <w:spacing w:after="0"/>
        <w:rPr>
          <w:sz w:val="20"/>
          <w:szCs w:val="20"/>
          <w:color w:val="auto"/>
        </w:rPr>
      </w:pPr>
      <w:r>
        <w:rPr>
          <w:rFonts w:ascii="Times New Roman" w:cs="Times New Roman" w:eastAsia="Times New Roman" w:hAnsi="Times New Roman"/>
          <w:sz w:val="13"/>
          <w:szCs w:val="13"/>
          <w:b w:val="1"/>
          <w:bCs w:val="1"/>
          <w:color w:val="auto"/>
        </w:rPr>
        <w:t>Check each box that appropriately characterizes the Registrant:</w:t>
      </w:r>
    </w:p>
    <w:p>
      <w:pPr>
        <w:spacing w:after="0" w:line="22" w:lineRule="exact"/>
        <w:rPr>
          <w:sz w:val="24"/>
          <w:szCs w:val="24"/>
          <w:color w:val="auto"/>
        </w:rPr>
      </w:pPr>
    </w:p>
    <w:p>
      <w:pPr>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Registered Closed-End Fund (closed-end company that is registered under the Investment Company Act of 1940 (“Investment Company Act”)).</w:t>
      </w:r>
    </w:p>
    <w:p>
      <w:pPr>
        <w:spacing w:after="0" w:line="55" w:lineRule="exact"/>
        <w:rPr>
          <w:sz w:val="24"/>
          <w:szCs w:val="24"/>
          <w:color w:val="auto"/>
        </w:rPr>
      </w:pPr>
    </w:p>
    <w:p>
      <w:pPr>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Business Development Company (closed-end company that intends or has elected to be regulated as a business development company under the Investment Company Act).</w:t>
      </w:r>
    </w:p>
    <w:p>
      <w:pPr>
        <w:spacing w:after="0" w:line="29" w:lineRule="exact"/>
        <w:rPr>
          <w:sz w:val="24"/>
          <w:szCs w:val="24"/>
          <w:color w:val="auto"/>
        </w:rPr>
      </w:pPr>
    </w:p>
    <w:p>
      <w:pPr>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Interval Fund (Registered Closed-End Fund or a Business Development Company that makes periodic repurchase offers under Rule 23c-3 under the Investment Company Act).</w:t>
      </w:r>
    </w:p>
    <w:p>
      <w:pPr>
        <w:spacing w:after="0" w:line="28" w:lineRule="exact"/>
        <w:rPr>
          <w:sz w:val="24"/>
          <w:szCs w:val="24"/>
          <w:color w:val="auto"/>
        </w:rPr>
      </w:pPr>
    </w:p>
    <w:p>
      <w:pPr>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A.2 Qualified (qualified to register securities pursuant to General Instruction A.2 of this Form).</w:t>
      </w:r>
    </w:p>
    <w:p>
      <w:pPr>
        <w:spacing w:after="0" w:line="35" w:lineRule="exact"/>
        <w:rPr>
          <w:sz w:val="24"/>
          <w:szCs w:val="24"/>
          <w:color w:val="auto"/>
        </w:rPr>
      </w:pPr>
    </w:p>
    <w:p>
      <w:pPr>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Well-Known Seasoned Issuer (as defined by Rule 405 under the Securities Act).</w:t>
      </w:r>
    </w:p>
    <w:p>
      <w:pPr>
        <w:spacing w:after="0" w:line="24" w:lineRule="exact"/>
        <w:rPr>
          <w:sz w:val="24"/>
          <w:szCs w:val="24"/>
          <w:color w:val="auto"/>
        </w:rPr>
      </w:pPr>
    </w:p>
    <w:p>
      <w:pPr>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Emerging Growth Company (as defined by Rule 12b-2 under the Securities Exchange Act of 1934 (“Exchange Act”).</w:t>
      </w:r>
    </w:p>
    <w:p>
      <w:pPr>
        <w:spacing w:after="0" w:line="33" w:lineRule="exact"/>
        <w:rPr>
          <w:sz w:val="24"/>
          <w:szCs w:val="24"/>
          <w:color w:val="auto"/>
        </w:rPr>
      </w:pPr>
    </w:p>
    <w:p>
      <w:pPr>
        <w:ind w:right="140"/>
        <w:spacing w:after="0" w:line="155"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If an Emerging Growth Company, indicate by check mark if the Registrant has elected not to use the extended transition period for complying with any new or revised financial accounting standards provided pursuant to Section 7(a)(2)(B) of Securities Act.</w:t>
      </w:r>
    </w:p>
    <w:p>
      <w:pPr>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New Registrant (registered or regulated under the Investment Company Act for less than 12 calendar months preceding this filing).</w:t>
      </w:r>
    </w:p>
    <w:p>
      <w:pPr>
        <w:spacing w:after="0" w:line="49" w:lineRule="exact"/>
        <w:rPr>
          <w:sz w:val="24"/>
          <w:szCs w:val="24"/>
          <w:color w:val="auto"/>
        </w:rPr>
      </w:pPr>
    </w:p>
    <w:p>
      <w:pPr>
        <w:ind w:right="160"/>
        <w:spacing w:after="0" w:line="239" w:lineRule="auto"/>
        <w:rPr>
          <w:sz w:val="20"/>
          <w:szCs w:val="20"/>
          <w:color w:val="auto"/>
        </w:rPr>
      </w:pPr>
      <w:r>
        <w:rPr>
          <w:rFonts w:ascii="Times New Roman" w:cs="Times New Roman" w:eastAsia="Times New Roman" w:hAnsi="Times New Roman"/>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dates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71354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54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100330</wp:posOffset>
            </wp:positionV>
            <wp:extent cx="71354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 w:name="page2"/>
    <w:bookmarkEnd w:id="1"/>
    <w:p>
      <w:pPr>
        <w:ind w:right="80"/>
        <w:spacing w:after="0" w:line="257" w:lineRule="auto"/>
        <w:rPr>
          <w:sz w:val="20"/>
          <w:szCs w:val="20"/>
          <w:color w:val="auto"/>
        </w:rPr>
      </w:pPr>
      <w:r>
        <w:rPr>
          <w:rFonts w:ascii="Times New Roman" w:cs="Times New Roman" w:eastAsia="Times New Roman" w:hAnsi="Times New Roman"/>
          <w:sz w:val="18"/>
          <w:szCs w:val="18"/>
          <w:b w:val="1"/>
          <w:bCs w:val="1"/>
          <w:color w:val="FF4338"/>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jurisdiction where the offer and sale is not permitted.</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FF4338"/>
        </w:rPr>
        <w:t>Subject to Completion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$1,000,000,000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97155</wp:posOffset>
            </wp:positionV>
            <wp:extent cx="1938655" cy="4597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38655" cy="45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Subscription Rights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2819400</wp:posOffset>
            </wp:positionH>
            <wp:positionV relativeFrom="paragraph">
              <wp:posOffset>135255</wp:posOffset>
            </wp:positionV>
            <wp:extent cx="15043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04315" cy="8255"/>
                    </a:xfrm>
                    <a:prstGeom prst="rect">
                      <a:avLst/>
                    </a:prstGeom>
                    <a:noFill/>
                  </pic:spPr>
                </pic:pic>
              </a:graphicData>
            </a:graphic>
          </wp:anchor>
        </w:drawing>
      </w:r>
    </w:p>
    <w:p>
      <w:pPr>
        <w:spacing w:after="0" w:line="255" w:lineRule="exact"/>
        <w:rPr>
          <w:sz w:val="20"/>
          <w:szCs w:val="20"/>
          <w:color w:val="auto"/>
        </w:rPr>
      </w:pPr>
    </w:p>
    <w:p>
      <w:pPr>
        <w:ind w:right="80" w:firstLine="450"/>
        <w:spacing w:after="0" w:line="248" w:lineRule="auto"/>
        <w:rPr>
          <w:sz w:val="20"/>
          <w:szCs w:val="20"/>
          <w:color w:val="auto"/>
        </w:rPr>
      </w:pPr>
      <w:r>
        <w:rPr>
          <w:rFonts w:ascii="Times New Roman" w:cs="Times New Roman" w:eastAsia="Times New Roman" w:hAnsi="Times New Roman"/>
          <w:sz w:val="15"/>
          <w:szCs w:val="15"/>
          <w:color w:val="auto"/>
        </w:rPr>
        <w:t>PennantPark Floating Rate Capital Ltd. is a closed-end, externally managed, non-diversified investment company that has elected to be treated as a business development company under the Investment Company Act of 1940, as amended.</w:t>
      </w:r>
    </w:p>
    <w:p>
      <w:pPr>
        <w:spacing w:after="0" w:line="38" w:lineRule="exact"/>
        <w:rPr>
          <w:sz w:val="20"/>
          <w:szCs w:val="20"/>
          <w:color w:val="auto"/>
        </w:rPr>
      </w:pPr>
    </w:p>
    <w:p>
      <w:pPr>
        <w:ind w:right="120" w:firstLine="450"/>
        <w:spacing w:after="0" w:line="231" w:lineRule="auto"/>
        <w:rPr>
          <w:sz w:val="20"/>
          <w:szCs w:val="20"/>
          <w:color w:val="auto"/>
        </w:rPr>
      </w:pPr>
      <w:r>
        <w:rPr>
          <w:rFonts w:ascii="Times New Roman" w:cs="Times New Roman" w:eastAsia="Times New Roman" w:hAnsi="Times New Roman"/>
          <w:sz w:val="15"/>
          <w:szCs w:val="15"/>
          <w:color w:val="auto"/>
        </w:rPr>
        <w:t>Our investment objectives are to generate both current income and capital appreciation while seeking to preserve capital. We seek to achieve our investment objective by investing primarily in floating rate loans, and other investments made to U.S. middle-market private companies whose debt is rated below investment grade. Floating rate loans or variable-rate investments pay interest at variable rates, which are determined periodically, on the basis of a floating base lending rate such as the Secured Overnight Financing Rate, or SOFR, with or without a floor, plus a fixed spread. We can offer no assurances that we will achieve our investment objectives.</w:t>
      </w:r>
    </w:p>
    <w:p>
      <w:pPr>
        <w:spacing w:after="0" w:line="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We are managed by PennantPark Investment Advisers, LLC. PennantPark Investment Administration, LLC provides the administrative services necessary for us to operate.</w:t>
      </w:r>
    </w:p>
    <w:p>
      <w:pPr>
        <w:spacing w:after="0" w:line="51" w:lineRule="exact"/>
        <w:rPr>
          <w:sz w:val="20"/>
          <w:szCs w:val="20"/>
          <w:color w:val="auto"/>
        </w:rPr>
      </w:pPr>
    </w:p>
    <w:p>
      <w:pPr>
        <w:ind w:firstLine="450"/>
        <w:spacing w:after="0" w:line="225" w:lineRule="auto"/>
        <w:rPr>
          <w:sz w:val="20"/>
          <w:szCs w:val="20"/>
          <w:color w:val="auto"/>
        </w:rPr>
      </w:pPr>
      <w:r>
        <w:rPr>
          <w:rFonts w:ascii="Times New Roman" w:cs="Times New Roman" w:eastAsia="Times New Roman" w:hAnsi="Times New Roman"/>
          <w:sz w:val="15"/>
          <w:szCs w:val="15"/>
          <w:color w:val="auto"/>
        </w:rPr>
        <w:t>We may offer, from time to time, in one or more offerings or series, together or separately, up to $1,000,000,000 of our common stock, preferred stock, warrants representing rights to purchase shares of our common stock, preferred stock or debt securities, subscription rights or debt securities, which we refer to, collectively, as the “securities.”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or NAV,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or the SEC, may permit. See “</w:t>
      </w:r>
      <w:r>
        <w:rPr>
          <w:rFonts w:ascii="Times New Roman" w:cs="Times New Roman" w:eastAsia="Times New Roman" w:hAnsi="Times New Roman"/>
          <w:sz w:val="15"/>
          <w:szCs w:val="15"/>
          <w:u w:val="single" w:color="auto"/>
          <w:color w:val="0000EE"/>
        </w:rPr>
        <w:t>Risk Factors</w:t>
      </w:r>
      <w:r>
        <w:rPr>
          <w:rFonts w:ascii="Times New Roman" w:cs="Times New Roman" w:eastAsia="Times New Roman" w:hAnsi="Times New Roman"/>
          <w:sz w:val="15"/>
          <w:szCs w:val="15"/>
          <w:color w:val="auto"/>
        </w:rPr>
        <w:t>” on page 11 and “</w:t>
      </w:r>
      <w:r>
        <w:rPr>
          <w:rFonts w:ascii="Times New Roman" w:cs="Times New Roman" w:eastAsia="Times New Roman" w:hAnsi="Times New Roman"/>
          <w:sz w:val="15"/>
          <w:szCs w:val="15"/>
          <w:u w:val="single" w:color="auto"/>
          <w:color w:val="0000EE"/>
        </w:rPr>
        <w:t>Sales of Common Stock Below Net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Asset Value</w:t>
      </w:r>
      <w:r>
        <w:rPr>
          <w:rFonts w:ascii="Times New Roman" w:cs="Times New Roman" w:eastAsia="Times New Roman" w:hAnsi="Times New Roman"/>
          <w:sz w:val="15"/>
          <w:szCs w:val="15"/>
          <w:color w:val="000000"/>
        </w:rPr>
        <w:t>” on page 17 of this prospectus for more information.</w:t>
      </w:r>
    </w:p>
    <w:p>
      <w:pPr>
        <w:spacing w:after="0" w:line="45" w:lineRule="exact"/>
        <w:rPr>
          <w:sz w:val="20"/>
          <w:szCs w:val="20"/>
          <w:color w:val="auto"/>
        </w:rPr>
      </w:pPr>
    </w:p>
    <w:p>
      <w:pPr>
        <w:ind w:right="340" w:firstLine="450"/>
        <w:spacing w:after="0" w:line="282" w:lineRule="auto"/>
        <w:rPr>
          <w:sz w:val="20"/>
          <w:szCs w:val="20"/>
          <w:color w:val="auto"/>
        </w:rPr>
      </w:pPr>
      <w:r>
        <w:rPr>
          <w:rFonts w:ascii="Times New Roman" w:cs="Times New Roman" w:eastAsia="Times New Roman" w:hAnsi="Times New Roman"/>
          <w:sz w:val="14"/>
          <w:szCs w:val="14"/>
          <w:color w:val="auto"/>
        </w:rPr>
        <w:t>Our common stock is traded on The New York Stock Exchange under the symbol “PFLT.” Prior to April 14, 2022, our common stock was traded on The Nasdaq Global Select Market under the same symbol. The last reported closing price for our common stock on May 23, 2024 was $11.26 per share, and our NAV on March 31, 2024 was $11.40 per share.</w:t>
      </w:r>
    </w:p>
    <w:p>
      <w:pPr>
        <w:spacing w:after="0" w:line="3" w:lineRule="exact"/>
        <w:rPr>
          <w:sz w:val="20"/>
          <w:szCs w:val="20"/>
          <w:color w:val="auto"/>
        </w:rPr>
      </w:pPr>
    </w:p>
    <w:p>
      <w:pPr>
        <w:ind w:right="40" w:firstLine="450"/>
        <w:spacing w:after="0" w:line="226" w:lineRule="auto"/>
        <w:rPr>
          <w:sz w:val="20"/>
          <w:szCs w:val="20"/>
          <w:color w:val="auto"/>
        </w:rPr>
      </w:pPr>
      <w:r>
        <w:rPr>
          <w:rFonts w:ascii="Times New Roman" w:cs="Times New Roman" w:eastAsia="Times New Roman" w:hAnsi="Times New Roman"/>
          <w:sz w:val="15"/>
          <w:szCs w:val="15"/>
          <w:color w:val="auto"/>
        </w:rPr>
        <w:t xml:space="preserve">This prospectus and any accompanying prospectus supplement contain important information you should know before investing in our securities. We may also authorize one or more free writing prospectuses to be provided to you in connection with offerings. The prospectus supplement and any free writing prospectus may also add, update, or change information contained in this prospectus. Please read this prospectus, the applicable prospectus supplement, and any free writing prospectus, and the documents incorporated by reference, before you invest in our securities and keep them for future reference. We file annual, quarterly and current reports, proxy statements and other information with the SEC. You may also obtain such information free of charge or make stockholder inquiries by contacting us in writing at 1691 Michigan Avenue, Miami Beach, Florida 33139, by calling us collect at (786) 297-9500 or by visiting our website at </w:t>
      </w:r>
      <w:r>
        <w:rPr>
          <w:rFonts w:ascii="Times New Roman" w:cs="Times New Roman" w:eastAsia="Times New Roman" w:hAnsi="Times New Roman"/>
          <w:sz w:val="15"/>
          <w:szCs w:val="15"/>
          <w:i w:val="1"/>
          <w:iCs w:val="1"/>
          <w:u w:val="single" w:color="auto"/>
          <w:color w:val="auto"/>
        </w:rPr>
        <w:t>www.pennantpark.com</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The information on our website is not incorporated by reference into this prospectus. The SEC also maintains a website at </w:t>
      </w:r>
      <w:r>
        <w:rPr>
          <w:rFonts w:ascii="Times New Roman" w:cs="Times New Roman" w:eastAsia="Times New Roman" w:hAnsi="Times New Roman"/>
          <w:sz w:val="15"/>
          <w:szCs w:val="15"/>
          <w:i w:val="1"/>
          <w:iCs w:val="1"/>
          <w:u w:val="single" w:color="auto"/>
          <w:color w:val="auto"/>
        </w:rPr>
        <w:t>www.sec.gov</w:t>
      </w:r>
      <w:r>
        <w:rPr>
          <w:rFonts w:ascii="Times New Roman" w:cs="Times New Roman" w:eastAsia="Times New Roman" w:hAnsi="Times New Roman"/>
          <w:sz w:val="15"/>
          <w:szCs w:val="15"/>
          <w:color w:val="auto"/>
        </w:rPr>
        <w:t xml:space="preserve">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2819400</wp:posOffset>
            </wp:positionH>
            <wp:positionV relativeFrom="paragraph">
              <wp:posOffset>107950</wp:posOffset>
            </wp:positionV>
            <wp:extent cx="15043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04315" cy="8255"/>
                    </a:xfrm>
                    <a:prstGeom prst="rect">
                      <a:avLst/>
                    </a:prstGeom>
                    <a:noFill/>
                  </pic:spPr>
                </pic:pic>
              </a:graphicData>
            </a:graphic>
          </wp:anchor>
        </w:drawing>
      </w:r>
    </w:p>
    <w:p>
      <w:pPr>
        <w:spacing w:after="0" w:line="222" w:lineRule="exact"/>
        <w:rPr>
          <w:sz w:val="20"/>
          <w:szCs w:val="20"/>
          <w:color w:val="auto"/>
        </w:rPr>
      </w:pPr>
    </w:p>
    <w:p>
      <w:pPr>
        <w:ind w:right="20" w:firstLine="450"/>
        <w:spacing w:after="0" w:line="271"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including the risk of the use of leverage. Before buying any of our securities, you should read the discussion of the material risks of investing in us in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beginning on page 11 of this prospectus.</w:t>
      </w:r>
    </w:p>
    <w:p>
      <w:pPr>
        <w:spacing w:after="0" w:line="19" w:lineRule="exact"/>
        <w:rPr>
          <w:sz w:val="20"/>
          <w:szCs w:val="20"/>
          <w:color w:val="auto"/>
        </w:rPr>
      </w:pPr>
    </w:p>
    <w:p>
      <w:pPr>
        <w:ind w:right="540" w:firstLine="450"/>
        <w:spacing w:after="0" w:line="253" w:lineRule="auto"/>
        <w:rPr>
          <w:sz w:val="20"/>
          <w:szCs w:val="20"/>
          <w:color w:val="auto"/>
        </w:rPr>
      </w:pPr>
      <w:r>
        <w:rPr>
          <w:rFonts w:ascii="Times New Roman" w:cs="Times New Roman" w:eastAsia="Times New Roman" w:hAnsi="Times New Roman"/>
          <w:sz w:val="15"/>
          <w:szCs w:val="15"/>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2819400</wp:posOffset>
            </wp:positionH>
            <wp:positionV relativeFrom="paragraph">
              <wp:posOffset>100330</wp:posOffset>
            </wp:positionV>
            <wp:extent cx="15043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04315" cy="825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This prospectus may not be used to consummate sales of securities unless accompanied by a prospectus supplement.</w:t>
      </w:r>
    </w:p>
    <w:p>
      <w:pPr>
        <w:spacing w:after="0" w:line="5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5"/>
          <w:szCs w:val="15"/>
          <w:b w:val="1"/>
          <w:bCs w:val="1"/>
          <w:color w:val="auto"/>
        </w:rPr>
        <w:t>Prospectus dated             , 2024</w:t>
      </w:r>
    </w:p>
    <w:p>
      <w:pPr>
        <w:sectPr>
          <w:pgSz w:w="11900" w:h="16838" w:orient="portrait"/>
          <w:cols w:equalWidth="0" w:num="1">
            <w:col w:w="11240"/>
          </w:cols>
          <w:pgMar w:left="320" w:top="290" w:right="339" w:bottom="1440" w:gutter="0" w:footer="0" w:header="0"/>
        </w:sectPr>
      </w:pPr>
    </w:p>
    <w:bookmarkStart w:id="2" w:name="page3"/>
    <w:bookmarkEnd w:id="2"/>
    <w:p>
      <w:pPr>
        <w:ind w:right="20" w:firstLine="450"/>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54610"/>
                    </a:xfrm>
                    <a:prstGeom prst="rect">
                      <a:avLst/>
                    </a:prstGeom>
                    <a:noFill/>
                  </pic:spPr>
                </pic:pic>
              </a:graphicData>
            </a:graphic>
          </wp:anchor>
        </w:drawing>
        <w:t>You should rely only on the information contained in this prospectus, any accompanying prospectus supplement, any free writing prospectus and the documents incorporated by reference in this prospectus and any applicable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supplements or free writing prospectuses.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or free writing prospectus is accurate only as of the date of this prospectus or such prospectus supplement or free writing prospectus. We will update these documents to reflect material changes only as required by law. Our business, financial condition, results of operations and prospects may have changed since then.</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204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EE"/>
                <w:w w:val="96"/>
              </w:rPr>
              <w:t>PROSPECTUS SUMMARY</w:t>
            </w:r>
          </w:p>
        </w:tc>
        <w:tc>
          <w:tcPr>
            <w:tcW w:w="8860" w:type="dxa"/>
            <w:vAlign w:val="bottom"/>
            <w:gridSpan w:val="19"/>
            <w:vMerge w:val="restart"/>
          </w:tcPr>
          <w:p>
            <w:pPr>
              <w:spacing w:after="0"/>
              <w:rPr>
                <w:sz w:val="24"/>
                <w:szCs w:val="24"/>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2040" w:type="dxa"/>
            <w:vAlign w:val="bottom"/>
            <w:tcBorders>
              <w:bottom w:val="single" w:sz="8" w:color="0000EE"/>
            </w:tcBorders>
            <w:gridSpan w:val="7"/>
            <w:vMerge w:val="continue"/>
          </w:tcPr>
          <w:p>
            <w:pPr>
              <w:spacing w:after="0"/>
              <w:rPr>
                <w:sz w:val="14"/>
                <w:szCs w:val="14"/>
                <w:color w:val="auto"/>
              </w:rPr>
            </w:pPr>
          </w:p>
        </w:tc>
        <w:tc>
          <w:tcPr>
            <w:tcW w:w="8860" w:type="dxa"/>
            <w:vAlign w:val="bottom"/>
            <w:gridSpan w:val="19"/>
            <w:vMerge w:val="continue"/>
          </w:tcPr>
          <w:p>
            <w:pPr>
              <w:spacing w:after="0"/>
              <w:rPr>
                <w:sz w:val="14"/>
                <w:szCs w:val="14"/>
                <w:color w:val="auto"/>
              </w:rPr>
            </w:pPr>
          </w:p>
        </w:tc>
        <w:tc>
          <w:tcPr>
            <w:tcW w:w="30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FEES AND EXPENSES</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60" w:type="dxa"/>
            <w:vAlign w:val="bottom"/>
            <w:tcBorders>
              <w:bottom w:val="single" w:sz="8" w:color="0000EE"/>
            </w:tcBorders>
            <w:gridSpan w:val="8"/>
          </w:tcPr>
          <w:p>
            <w:pPr>
              <w:spacing w:after="0" w:line="190" w:lineRule="exact"/>
              <w:rPr>
                <w:sz w:val="20"/>
                <w:szCs w:val="20"/>
                <w:color w:val="auto"/>
              </w:rPr>
            </w:pPr>
            <w:r>
              <w:rPr>
                <w:rFonts w:ascii="Times New Roman" w:cs="Times New Roman" w:eastAsia="Times New Roman" w:hAnsi="Times New Roman"/>
                <w:sz w:val="18"/>
                <w:szCs w:val="18"/>
                <w:color w:val="0000EE"/>
                <w:w w:val="96"/>
              </w:rPr>
              <w:t>FINANCIAL HIGHLIGHTS</w:t>
            </w:r>
          </w:p>
        </w:tc>
        <w:tc>
          <w:tcPr>
            <w:tcW w:w="8840" w:type="dxa"/>
            <w:vAlign w:val="bottom"/>
            <w:gridSpan w:val="18"/>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RISK FACTORS</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FORWARD-LOOKING STATEMENTS</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1"/>
        </w:trPr>
        <w:tc>
          <w:tcPr>
            <w:tcW w:w="2860" w:type="dxa"/>
            <w:vAlign w:val="bottom"/>
            <w:tcBorders>
              <w:top w:val="single" w:sz="8" w:color="0000EE"/>
            </w:tcBorders>
            <w:gridSpan w:val="13"/>
          </w:tcPr>
          <w:p>
            <w:pPr>
              <w:spacing w:after="0" w:line="190" w:lineRule="exact"/>
              <w:rPr>
                <w:sz w:val="20"/>
                <w:szCs w:val="20"/>
                <w:color w:val="auto"/>
              </w:rPr>
            </w:pPr>
            <w:r>
              <w:rPr>
                <w:rFonts w:ascii="Times New Roman" w:cs="Times New Roman" w:eastAsia="Times New Roman" w:hAnsi="Times New Roman"/>
                <w:sz w:val="18"/>
                <w:szCs w:val="18"/>
                <w:color w:val="0000EE"/>
              </w:rPr>
              <w:t>USE OF PROCEEDS</w:t>
            </w:r>
          </w:p>
        </w:tc>
        <w:tc>
          <w:tcPr>
            <w:tcW w:w="8040" w:type="dxa"/>
            <w:vAlign w:val="bottom"/>
            <w:gridSpan w:val="13"/>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13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740" w:type="dxa"/>
            <w:vAlign w:val="bottom"/>
            <w:tcBorders>
              <w:bottom w:val="single" w:sz="8" w:color="0000EE"/>
            </w:tcBorders>
            <w:gridSpan w:val="5"/>
          </w:tcPr>
          <w:p>
            <w:pPr>
              <w:spacing w:after="0" w:line="190" w:lineRule="exact"/>
              <w:rPr>
                <w:sz w:val="20"/>
                <w:szCs w:val="20"/>
                <w:color w:val="auto"/>
              </w:rPr>
            </w:pPr>
            <w:r>
              <w:rPr>
                <w:rFonts w:ascii="Times New Roman" w:cs="Times New Roman" w:eastAsia="Times New Roman" w:hAnsi="Times New Roman"/>
                <w:sz w:val="18"/>
                <w:szCs w:val="18"/>
                <w:color w:val="0000EE"/>
                <w:w w:val="99"/>
              </w:rPr>
              <w:t>SENIOR SECURITIES</w:t>
            </w:r>
          </w:p>
        </w:tc>
        <w:tc>
          <w:tcPr>
            <w:tcW w:w="9160" w:type="dxa"/>
            <w:vAlign w:val="bottom"/>
            <w:gridSpan w:val="21"/>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PRICE RANGE OF COMMON STOCK</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13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SALES OF COMMON STOCK BELOW NET ASSET VALUE</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1"/>
        </w:trPr>
        <w:tc>
          <w:tcPr>
            <w:tcW w:w="1340" w:type="dxa"/>
            <w:vAlign w:val="bottom"/>
            <w:tcBorders>
              <w:top w:val="single" w:sz="8" w:color="0000EE"/>
              <w:bottom w:val="single" w:sz="8" w:color="0000EE"/>
            </w:tcBorders>
            <w:gridSpan w:val="2"/>
          </w:tcPr>
          <w:p>
            <w:pPr>
              <w:spacing w:after="0" w:line="190" w:lineRule="exact"/>
              <w:rPr>
                <w:sz w:val="20"/>
                <w:szCs w:val="20"/>
                <w:color w:val="auto"/>
              </w:rPr>
            </w:pPr>
            <w:r>
              <w:rPr>
                <w:rFonts w:ascii="Times New Roman" w:cs="Times New Roman" w:eastAsia="Times New Roman" w:hAnsi="Times New Roman"/>
                <w:sz w:val="18"/>
                <w:szCs w:val="18"/>
                <w:color w:val="0000EE"/>
                <w:w w:val="97"/>
              </w:rPr>
              <w:t>DISTRIBUTIONS</w:t>
            </w:r>
          </w:p>
        </w:tc>
        <w:tc>
          <w:tcPr>
            <w:tcW w:w="3180" w:type="dxa"/>
            <w:vAlign w:val="bottom"/>
            <w:tcBorders>
              <w:top w:val="single" w:sz="8" w:color="0000EE"/>
            </w:tcBorders>
            <w:gridSpan w:val="19"/>
          </w:tcPr>
          <w:p>
            <w:pPr>
              <w:spacing w:after="0"/>
              <w:rPr>
                <w:sz w:val="16"/>
                <w:szCs w:val="16"/>
                <w:color w:val="auto"/>
              </w:rPr>
            </w:pPr>
          </w:p>
        </w:tc>
        <w:tc>
          <w:tcPr>
            <w:tcW w:w="6380" w:type="dxa"/>
            <w:vAlign w:val="bottom"/>
            <w:gridSpan w:val="5"/>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PORTFOLIO COMPANIES</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MANAGEMENT OF THE COMPANY</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INVESTMENT MANAGEMENT AND ADMINISTRATION AGREEMENT</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91"/>
        </w:trPr>
        <w:tc>
          <w:tcPr>
            <w:tcW w:w="5520" w:type="dxa"/>
            <w:vAlign w:val="bottom"/>
            <w:tcBorders>
              <w:top w:val="single" w:sz="8" w:color="0000EE"/>
            </w:tcBorders>
            <w:gridSpan w:val="24"/>
          </w:tcPr>
          <w:p>
            <w:pPr>
              <w:spacing w:after="0" w:line="190" w:lineRule="exact"/>
              <w:rPr>
                <w:sz w:val="20"/>
                <w:szCs w:val="20"/>
                <w:color w:val="auto"/>
              </w:rPr>
            </w:pPr>
            <w:r>
              <w:rPr>
                <w:rFonts w:ascii="Times New Roman" w:cs="Times New Roman" w:eastAsia="Times New Roman" w:hAnsi="Times New Roman"/>
                <w:sz w:val="18"/>
                <w:szCs w:val="18"/>
                <w:color w:val="0000EE"/>
              </w:rPr>
              <w:t>PORTFOLIO MANAGEMENT</w:t>
            </w:r>
          </w:p>
        </w:tc>
        <w:tc>
          <w:tcPr>
            <w:tcW w:w="5380" w:type="dxa"/>
            <w:vAlign w:val="bottom"/>
            <w:gridSpan w:val="2"/>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DETERMINATION OF NET ASSET VALUE</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1"/>
        </w:trPr>
        <w:tc>
          <w:tcPr>
            <w:tcW w:w="3220" w:type="dxa"/>
            <w:vAlign w:val="bottom"/>
            <w:tcBorders>
              <w:top w:val="single" w:sz="8" w:color="0000EE"/>
              <w:bottom w:val="single" w:sz="8" w:color="0000EE"/>
            </w:tcBorders>
            <w:gridSpan w:val="15"/>
          </w:tcPr>
          <w:p>
            <w:pPr>
              <w:spacing w:after="0" w:line="190" w:lineRule="exact"/>
              <w:rPr>
                <w:sz w:val="20"/>
                <w:szCs w:val="20"/>
                <w:color w:val="auto"/>
              </w:rPr>
            </w:pPr>
            <w:r>
              <w:rPr>
                <w:rFonts w:ascii="Times New Roman" w:cs="Times New Roman" w:eastAsia="Times New Roman" w:hAnsi="Times New Roman"/>
                <w:sz w:val="18"/>
                <w:szCs w:val="18"/>
                <w:color w:val="0000EE"/>
                <w:w w:val="96"/>
              </w:rPr>
              <w:t>DESCRIPTION OF OUR CAPITAL STOCK</w:t>
            </w:r>
          </w:p>
        </w:tc>
        <w:tc>
          <w:tcPr>
            <w:tcW w:w="60" w:type="dxa"/>
            <w:vAlign w:val="bottom"/>
            <w:tcBorders>
              <w:top w:val="single" w:sz="8" w:color="0000EE"/>
            </w:tcBorders>
          </w:tcPr>
          <w:p>
            <w:pPr>
              <w:spacing w:after="0"/>
              <w:rPr>
                <w:sz w:val="16"/>
                <w:szCs w:val="16"/>
                <w:color w:val="auto"/>
              </w:rPr>
            </w:pPr>
          </w:p>
        </w:tc>
        <w:tc>
          <w:tcPr>
            <w:tcW w:w="7620" w:type="dxa"/>
            <w:vAlign w:val="bottom"/>
            <w:gridSpan w:val="10"/>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DESCRIPTION OF OUR PREFERRED STOCK</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191"/>
        </w:trPr>
        <w:tc>
          <w:tcPr>
            <w:tcW w:w="2840" w:type="dxa"/>
            <w:vAlign w:val="bottom"/>
            <w:tcBorders>
              <w:top w:val="single" w:sz="8" w:color="0000EE"/>
              <w:bottom w:val="single" w:sz="8" w:color="0000EE"/>
            </w:tcBorders>
            <w:gridSpan w:val="12"/>
          </w:tcPr>
          <w:p>
            <w:pPr>
              <w:spacing w:after="0" w:line="190" w:lineRule="exact"/>
              <w:rPr>
                <w:sz w:val="20"/>
                <w:szCs w:val="20"/>
                <w:color w:val="auto"/>
              </w:rPr>
            </w:pPr>
            <w:r>
              <w:rPr>
                <w:rFonts w:ascii="Times New Roman" w:cs="Times New Roman" w:eastAsia="Times New Roman" w:hAnsi="Times New Roman"/>
                <w:sz w:val="18"/>
                <w:szCs w:val="18"/>
                <w:color w:val="0000EE"/>
                <w:w w:val="96"/>
              </w:rPr>
              <w:t>DESCRIPTION OF OUR WARRANTS</w:t>
            </w:r>
          </w:p>
        </w:tc>
        <w:tc>
          <w:tcPr>
            <w:tcW w:w="640" w:type="dxa"/>
            <w:vAlign w:val="bottom"/>
            <w:tcBorders>
              <w:top w:val="single" w:sz="8" w:color="0000EE"/>
            </w:tcBorders>
            <w:gridSpan w:val="6"/>
          </w:tcPr>
          <w:p>
            <w:pPr>
              <w:spacing w:after="0"/>
              <w:rPr>
                <w:sz w:val="16"/>
                <w:szCs w:val="16"/>
                <w:color w:val="auto"/>
              </w:rPr>
            </w:pPr>
          </w:p>
        </w:tc>
        <w:tc>
          <w:tcPr>
            <w:tcW w:w="7420" w:type="dxa"/>
            <w:vAlign w:val="bottom"/>
            <w:gridSpan w:val="8"/>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91"/>
        </w:trPr>
        <w:tc>
          <w:tcPr>
            <w:tcW w:w="3800" w:type="dxa"/>
            <w:vAlign w:val="bottom"/>
            <w:tcBorders>
              <w:bottom w:val="single" w:sz="8" w:color="0000EE"/>
            </w:tcBorders>
            <w:gridSpan w:val="19"/>
          </w:tcPr>
          <w:p>
            <w:pPr>
              <w:spacing w:after="0" w:line="190" w:lineRule="exact"/>
              <w:rPr>
                <w:sz w:val="20"/>
                <w:szCs w:val="20"/>
                <w:color w:val="auto"/>
              </w:rPr>
            </w:pPr>
            <w:r>
              <w:rPr>
                <w:rFonts w:ascii="Times New Roman" w:cs="Times New Roman" w:eastAsia="Times New Roman" w:hAnsi="Times New Roman"/>
                <w:sz w:val="18"/>
                <w:szCs w:val="18"/>
                <w:color w:val="0000EE"/>
                <w:w w:val="97"/>
              </w:rPr>
              <w:t>DESCRIPTION OF OUR SUBSCRIPTION RIGHTS</w:t>
            </w:r>
          </w:p>
        </w:tc>
        <w:tc>
          <w:tcPr>
            <w:tcW w:w="7100" w:type="dxa"/>
            <w:vAlign w:val="bottom"/>
            <w:gridSpan w:val="7"/>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DESCRIPTION OF OUR DEBT SECURITIES</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6"/>
            <w:shd w:val="clear" w:color="auto" w:fill="0000EE"/>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380" w:type="dxa"/>
            <w:vAlign w:val="bottom"/>
            <w:tcBorders>
              <w:bottom w:val="single" w:sz="8" w:color="0000EE"/>
            </w:tcBorders>
            <w:gridSpan w:val="20"/>
          </w:tcPr>
          <w:p>
            <w:pPr>
              <w:spacing w:after="0" w:line="190" w:lineRule="exact"/>
              <w:rPr>
                <w:sz w:val="20"/>
                <w:szCs w:val="20"/>
                <w:color w:val="auto"/>
              </w:rPr>
            </w:pPr>
            <w:r>
              <w:rPr>
                <w:rFonts w:ascii="Times New Roman" w:cs="Times New Roman" w:eastAsia="Times New Roman" w:hAnsi="Times New Roman"/>
                <w:sz w:val="18"/>
                <w:szCs w:val="18"/>
                <w:color w:val="0000EE"/>
                <w:w w:val="96"/>
              </w:rPr>
              <w:t>BROKERAGE ALLOCATIONS AND OTHER PRACTICES</w:t>
            </w:r>
          </w:p>
        </w:tc>
        <w:tc>
          <w:tcPr>
            <w:tcW w:w="6520" w:type="dxa"/>
            <w:vAlign w:val="bottom"/>
            <w:gridSpan w:val="6"/>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91"/>
        </w:trPr>
        <w:tc>
          <w:tcPr>
            <w:tcW w:w="4760" w:type="dxa"/>
            <w:vAlign w:val="bottom"/>
            <w:tcBorders>
              <w:bottom w:val="single" w:sz="8" w:color="0000EE"/>
            </w:tcBorders>
            <w:gridSpan w:val="23"/>
          </w:tcPr>
          <w:p>
            <w:pPr>
              <w:spacing w:after="0" w:line="190" w:lineRule="exact"/>
              <w:rPr>
                <w:sz w:val="20"/>
                <w:szCs w:val="20"/>
                <w:color w:val="auto"/>
              </w:rPr>
            </w:pPr>
            <w:r>
              <w:rPr>
                <w:rFonts w:ascii="Times New Roman" w:cs="Times New Roman" w:eastAsia="Times New Roman" w:hAnsi="Times New Roman"/>
                <w:sz w:val="18"/>
                <w:szCs w:val="18"/>
                <w:color w:val="0000EE"/>
                <w:w w:val="96"/>
              </w:rPr>
              <w:t>MATERIAL U.S. FEDERAL INCOME TAX CONSIDERATIONS</w:t>
            </w:r>
          </w:p>
        </w:tc>
        <w:tc>
          <w:tcPr>
            <w:tcW w:w="6140" w:type="dxa"/>
            <w:vAlign w:val="bottom"/>
            <w:gridSpan w:val="3"/>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PLAN OF DISTRIBUTION</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60" w:type="dxa"/>
            <w:vAlign w:val="bottom"/>
            <w:gridSpan w:val="11"/>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800" w:type="dxa"/>
            <w:vAlign w:val="bottom"/>
            <w:tcBorders>
              <w:bottom w:val="single" w:sz="8" w:color="0000EE"/>
            </w:tcBorders>
            <w:gridSpan w:val="25"/>
          </w:tcPr>
          <w:p>
            <w:pPr>
              <w:spacing w:after="0" w:line="190" w:lineRule="exact"/>
              <w:rPr>
                <w:sz w:val="20"/>
                <w:szCs w:val="20"/>
                <w:color w:val="auto"/>
              </w:rPr>
            </w:pPr>
            <w:r>
              <w:rPr>
                <w:rFonts w:ascii="Times New Roman" w:cs="Times New Roman" w:eastAsia="Times New Roman" w:hAnsi="Times New Roman"/>
                <w:sz w:val="18"/>
                <w:szCs w:val="18"/>
                <w:color w:val="0000EE"/>
                <w:w w:val="96"/>
              </w:rPr>
              <w:t>SUB-ADMINISTRATOR, CUSTODIAN, TRANSFER AGENT AND TRUSTEE</w:t>
            </w:r>
          </w:p>
        </w:tc>
        <w:tc>
          <w:tcPr>
            <w:tcW w:w="5100" w:type="dxa"/>
            <w:vAlign w:val="bottom"/>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LEGAL MATTERS</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60" w:type="dxa"/>
            <w:vAlign w:val="bottom"/>
            <w:gridSpan w:val="11"/>
          </w:tcPr>
          <w:p>
            <w:pPr>
              <w:spacing w:after="0" w:line="20" w:lineRule="exact"/>
              <w:rPr>
                <w:sz w:val="1"/>
                <w:szCs w:val="1"/>
                <w:color w:val="auto"/>
              </w:rPr>
            </w:pPr>
          </w:p>
        </w:tc>
        <w:tc>
          <w:tcPr>
            <w:tcW w:w="622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INDEPENDENT REGISTERED PUBLIC ACCOUNTING FIRM</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91"/>
        </w:trPr>
        <w:tc>
          <w:tcPr>
            <w:tcW w:w="2160" w:type="dxa"/>
            <w:vAlign w:val="bottom"/>
            <w:tcBorders>
              <w:top w:val="single" w:sz="8" w:color="0000EE"/>
              <w:bottom w:val="single" w:sz="8" w:color="0000EE"/>
            </w:tcBorders>
            <w:gridSpan w:val="9"/>
          </w:tcPr>
          <w:p>
            <w:pPr>
              <w:spacing w:after="0" w:line="190" w:lineRule="exact"/>
              <w:rPr>
                <w:sz w:val="20"/>
                <w:szCs w:val="20"/>
                <w:color w:val="auto"/>
              </w:rPr>
            </w:pPr>
            <w:r>
              <w:rPr>
                <w:rFonts w:ascii="Times New Roman" w:cs="Times New Roman" w:eastAsia="Times New Roman" w:hAnsi="Times New Roman"/>
                <w:sz w:val="18"/>
                <w:szCs w:val="18"/>
                <w:color w:val="0000EE"/>
                <w:w w:val="97"/>
              </w:rPr>
              <w:t>INDEPENDENT AUDITORS</w:t>
            </w:r>
          </w:p>
        </w:tc>
        <w:tc>
          <w:tcPr>
            <w:tcW w:w="2520" w:type="dxa"/>
            <w:vAlign w:val="bottom"/>
            <w:tcBorders>
              <w:top w:val="single" w:sz="8" w:color="0000EE"/>
            </w:tcBorders>
            <w:gridSpan w:val="13"/>
          </w:tcPr>
          <w:p>
            <w:pPr>
              <w:spacing w:after="0"/>
              <w:rPr>
                <w:sz w:val="16"/>
                <w:szCs w:val="16"/>
                <w:color w:val="auto"/>
              </w:rPr>
            </w:pPr>
          </w:p>
        </w:tc>
        <w:tc>
          <w:tcPr>
            <w:tcW w:w="6220" w:type="dxa"/>
            <w:vAlign w:val="bottom"/>
            <w:gridSpan w:val="4"/>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91"/>
        </w:trPr>
        <w:tc>
          <w:tcPr>
            <w:tcW w:w="2820" w:type="dxa"/>
            <w:vAlign w:val="bottom"/>
            <w:tcBorders>
              <w:bottom w:val="single" w:sz="8" w:color="0000EE"/>
            </w:tcBorders>
            <w:gridSpan w:val="11"/>
          </w:tcPr>
          <w:p>
            <w:pPr>
              <w:spacing w:after="0" w:line="190" w:lineRule="exact"/>
              <w:rPr>
                <w:sz w:val="20"/>
                <w:szCs w:val="20"/>
                <w:color w:val="auto"/>
              </w:rPr>
            </w:pPr>
            <w:r>
              <w:rPr>
                <w:rFonts w:ascii="Times New Roman" w:cs="Times New Roman" w:eastAsia="Times New Roman" w:hAnsi="Times New Roman"/>
                <w:sz w:val="18"/>
                <w:szCs w:val="18"/>
                <w:color w:val="0000EE"/>
                <w:w w:val="97"/>
              </w:rPr>
              <w:t>INCORPORATION BY REFERENCE</w:t>
            </w:r>
          </w:p>
        </w:tc>
        <w:tc>
          <w:tcPr>
            <w:tcW w:w="8080" w:type="dxa"/>
            <w:vAlign w:val="bottom"/>
            <w:gridSpan w:val="15"/>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191"/>
        </w:trPr>
        <w:tc>
          <w:tcPr>
            <w:tcW w:w="2260" w:type="dxa"/>
            <w:vAlign w:val="bottom"/>
            <w:tcBorders>
              <w:bottom w:val="single" w:sz="8" w:color="0000EE"/>
            </w:tcBorders>
            <w:gridSpan w:val="10"/>
          </w:tcPr>
          <w:p>
            <w:pPr>
              <w:spacing w:after="0" w:line="190" w:lineRule="exact"/>
              <w:rPr>
                <w:sz w:val="20"/>
                <w:szCs w:val="20"/>
                <w:color w:val="auto"/>
              </w:rPr>
            </w:pPr>
            <w:r>
              <w:rPr>
                <w:rFonts w:ascii="Times New Roman" w:cs="Times New Roman" w:eastAsia="Times New Roman" w:hAnsi="Times New Roman"/>
                <w:sz w:val="18"/>
                <w:szCs w:val="18"/>
                <w:color w:val="0000EE"/>
                <w:w w:val="95"/>
              </w:rPr>
              <w:t>AVAILABLE INFORMATION</w:t>
            </w:r>
          </w:p>
        </w:tc>
        <w:tc>
          <w:tcPr>
            <w:tcW w:w="8640" w:type="dxa"/>
            <w:vAlign w:val="bottom"/>
            <w:gridSpan w:val="16"/>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bl>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00"/>
          </w:cols>
          <w:pgMar w:left="320" w:top="292" w:right="379" w:bottom="1440" w:gutter="0" w:footer="0" w:header="0"/>
        </w:sectPr>
      </w:pPr>
    </w:p>
    <w:bookmarkStart w:id="3" w:name="page4"/>
    <w:bookmarkEnd w:id="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54610"/>
                    </a:xfrm>
                    <a:prstGeom prst="rect">
                      <a:avLst/>
                    </a:prstGeom>
                    <a:noFill/>
                  </pic:spPr>
                </pic:pic>
              </a:graphicData>
            </a:graphic>
          </wp:anchor>
        </w:drawing>
        <w:t>ABOUT THIS PROSPECTUS</w:t>
      </w:r>
    </w:p>
    <w:p>
      <w:pPr>
        <w:spacing w:after="0" w:line="216" w:lineRule="exact"/>
        <w:rPr>
          <w:sz w:val="20"/>
          <w:szCs w:val="20"/>
          <w:color w:val="auto"/>
        </w:rPr>
      </w:pPr>
    </w:p>
    <w:p>
      <w:pPr>
        <w:ind w:firstLine="450"/>
        <w:spacing w:after="0" w:line="280" w:lineRule="auto"/>
        <w:rPr>
          <w:sz w:val="20"/>
          <w:szCs w:val="20"/>
          <w:color w:val="auto"/>
        </w:rPr>
      </w:pPr>
      <w:r>
        <w:rPr>
          <w:rFonts w:ascii="Times New Roman" w:cs="Times New Roman" w:eastAsia="Times New Roman" w:hAnsi="Times New Roman"/>
          <w:sz w:val="16"/>
          <w:szCs w:val="16"/>
          <w:color w:val="auto"/>
        </w:rPr>
        <w:t>This prospectus is part of a registration statement that we have filed with the SEC using the “shelf” registration process. Under the shelf registration process, we may offer from time to time up to $1,000,000,000 of our common stock, preferred stock, warrants representing rights to purchase shares of our common stock, preferred stock or debt securities, subscription rights or debt securities on the terms to be determined at the time of the offering.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and any free writing prospectus, together with any exhibits and the additional information described in the sections titled “Incorporation By Reference” and “Available Information,” before you make an investment decision.</w:t>
      </w:r>
    </w:p>
    <w:p>
      <w:pPr>
        <w:spacing w:after="0" w:line="3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60"/>
          </w:cols>
          <w:pgMar w:left="320" w:top="290" w:right="41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5587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5558790"/>
                    </a:xfrm>
                    <a:prstGeom prst="rect">
                      <a:avLst/>
                    </a:prstGeom>
                    <a:noFill/>
                  </pic:spPr>
                </pic:pic>
              </a:graphicData>
            </a:graphic>
          </wp:anchor>
        </w:drawing>
        <w:t>PROSPECTUS SUMMARY</w:t>
      </w:r>
    </w:p>
    <w:p>
      <w:pPr>
        <w:spacing w:after="0" w:line="214" w:lineRule="exact"/>
        <w:rPr>
          <w:sz w:val="20"/>
          <w:szCs w:val="20"/>
          <w:color w:val="auto"/>
        </w:rPr>
      </w:pPr>
    </w:p>
    <w:p>
      <w:pPr>
        <w:ind w:firstLine="435"/>
        <w:spacing w:after="0" w:line="277" w:lineRule="auto"/>
        <w:rPr>
          <w:sz w:val="20"/>
          <w:szCs w:val="20"/>
          <w:color w:val="auto"/>
        </w:rPr>
      </w:pPr>
      <w:r>
        <w:rPr>
          <w:rFonts w:ascii="Times New Roman" w:cs="Times New Roman" w:eastAsia="Times New Roman" w:hAnsi="Times New Roman"/>
          <w:sz w:val="16"/>
          <w:szCs w:val="16"/>
          <w:i w:val="1"/>
          <w:iCs w:val="1"/>
          <w:color w:val="auto"/>
        </w:rPr>
        <w:t>This summary highlights some of the information in this prospectus. It is not complete and may not contain all of the information that you may want to consider in making an investment decision. References to our portfolio, our investments and our business include investments we make through our consolidated subsidiaries. Some of the statements in this prospectus constitute forward-looking statements, which apply to both us and our consolidated subsidiaries, as applicable,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or free writing prospectus, except where the context suggests otherwise: the terms “we,” “us,” “our” and “Company” refer to PennantPark Floating Rate Capital Ltd. and its wholly owned consolidated subsidiaries; “Funding I” refers to PennantPark Floating Rate Funding I, LLC; “Taxable Subsidiary” refers to collectively PFLT Investment Holdings, LLC and PFLT Investment Holdings II, LLC; “PSSL” refers to PennantPark Senior Secured Loan Fund I LLC, an unconsolidated joint venture; “PTSF” refers to PennantPark-TSO Senior Loan Fund, LP, an unconsolidated limited partnership; “PennantPark Investment Advisers” and “Investment Adviser” refer to PennantPark Investment Advisers, LLC; “PennantPark Investment Administration” and “Administrator” refer to PennantPark Investment Administration, LLC; “2026 Notes” refers to our 4.25% Notes due 2026; “Code” refers to the Internal Revenue Code of 1986, as amended; “RIC” refers to a regulated investment company under the Code; “1940 Act” refers to the Investment Company Act of 1940, as amended; “BDC” refers to a business development company under the 1940 Act; “MCG” refers to MCG Capital Corporation; “Credit Facility” refers to our multi-currency senior secured revolving credit facility, as amended from time to time, with Truist Bank and other lenders, or the “Lenders,” entered into on August 12, 2021; “Securitization Issuer” refers to PennantPark CLO I, Ltd.; “Securitization Issuers” refers to the Securitization Issuer and PennantPark CLO I, LLC; “Debt Securitization” refers to the $301.4 million term debt securitization completed by the Securitization Issuers; and “2031 Asset-Backed Debt” refers to (i) the issuance of the Class A-1 Senior Secured Floating Rate Notes due 2031, the Class A-2 Senior Secured Fixed Rate Notes due 2031, the Class B-1 Senior Secured Floating Rate Notes due 2031, the Class B-2 Senior Secured Fixed Rate Notes due 2031, the Class C-1 Secured Deferrable Floating Rate Notes due 2031, the Class C-2 Notes Secured Deferrable Fixed Rate Notes due 2031, and the Class D Secured Deferrable Floating Notes due 2031 and (ii) the borrowing of the Class A-1 Senior Secured Floating Rate Notes due 2031 by the Securitization Issuers in connection with the Debt Securitization; “2036 Securitization Issuer” refers to PennantPark CLO VIII, LLC; “2036-Debt Securitization” refers to the $350.6 million term debt securitization completed by the 2036 Securitization Issuer; “2036 Asset-Backed Debt” refers to the issuance of the AAA(sf) Class A-1 Notes, AAA(sf) Class A-2 Notes, AA(sf) Class B Notes, A(sf) Class C Notes, BBB-(sf) Class D Notes, and the borrowing issuance of AAA(sf) Class A-1 floating rate loans. References to our portfolio, our investments, our multi-currency, senior secured revolving credit facility, as amended and restated, or the Credit Facility, and our business include investments we make through our subsidiaries.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Business of PennantPark Floating Rate Capital Ltd.</w:t>
      </w:r>
    </w:p>
    <w:p>
      <w:pPr>
        <w:spacing w:after="0" w:line="111" w:lineRule="exact"/>
        <w:rPr>
          <w:sz w:val="20"/>
          <w:szCs w:val="20"/>
          <w:color w:val="auto"/>
        </w:rPr>
      </w:pPr>
    </w:p>
    <w:p>
      <w:pPr>
        <w:ind w:right="280" w:firstLine="435"/>
        <w:spacing w:after="0" w:line="268" w:lineRule="auto"/>
        <w:rPr>
          <w:sz w:val="20"/>
          <w:szCs w:val="20"/>
          <w:color w:val="auto"/>
        </w:rPr>
      </w:pPr>
      <w:r>
        <w:rPr>
          <w:rFonts w:ascii="Times New Roman" w:cs="Times New Roman" w:eastAsia="Times New Roman" w:hAnsi="Times New Roman"/>
          <w:sz w:val="18"/>
          <w:szCs w:val="18"/>
          <w:color w:val="auto"/>
        </w:rPr>
        <w:t>PennantPark Floating Rate Capital Ltd. is a BDC whose objectives are to generate both current income and capital appreciation while seeking to preserve capital by investing primarily in floating rate loans, and other investments made to U.S. middle-market companies.</w:t>
      </w:r>
    </w:p>
    <w:p>
      <w:pPr>
        <w:spacing w:after="0" w:line="169" w:lineRule="exact"/>
        <w:rPr>
          <w:sz w:val="20"/>
          <w:szCs w:val="20"/>
          <w:color w:val="auto"/>
        </w:rPr>
      </w:pPr>
    </w:p>
    <w:p>
      <w:pPr>
        <w:ind w:right="220" w:firstLine="435"/>
        <w:spacing w:after="0" w:line="252" w:lineRule="auto"/>
        <w:rPr>
          <w:sz w:val="20"/>
          <w:szCs w:val="20"/>
          <w:color w:val="auto"/>
        </w:rPr>
      </w:pPr>
      <w:r>
        <w:rPr>
          <w:rFonts w:ascii="Times New Roman" w:cs="Times New Roman" w:eastAsia="Times New Roman" w:hAnsi="Times New Roman"/>
          <w:sz w:val="18"/>
          <w:szCs w:val="18"/>
          <w:color w:val="auto"/>
        </w:rPr>
        <w:t>We believe that floating rate loans to U.S. middle-market companies offer attractive risk-reward to investors due to a limited amount of capital available for such companies. We use the term “middle-market” to refer to companies with annual revenues between $50 million and $1 billion. Our investments are typically rated below investment grade. Securities rated below investment grade are often referred to as “leveraged loans,” “high yield” securities or “junk bonds” and are often higher risk compared to debt instruments that are rated above investment</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40"/>
          </w:cols>
          <w:pgMar w:left="520" w:top="474" w:right="539" w:bottom="1440" w:gutter="0" w:footer="0" w:header="0"/>
        </w:sectPr>
      </w:pPr>
    </w:p>
    <w:bookmarkStart w:id="5" w:name="page6"/>
    <w:bookmarkEnd w:id="5"/>
    <w:p>
      <w:pPr>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6921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5692140"/>
                    </a:xfrm>
                    <a:prstGeom prst="rect">
                      <a:avLst/>
                    </a:prstGeom>
                    <a:noFill/>
                  </pic:spPr>
                </pic:pic>
              </a:graphicData>
            </a:graphic>
          </wp:anchor>
        </w:drawing>
        <w:t>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85" w:lineRule="exact"/>
        <w:rPr>
          <w:sz w:val="20"/>
          <w:szCs w:val="20"/>
          <w:color w:val="auto"/>
        </w:rPr>
      </w:pPr>
    </w:p>
    <w:p>
      <w:pPr>
        <w:ind w:right="160" w:firstLine="435"/>
        <w:spacing w:after="0" w:line="249" w:lineRule="auto"/>
        <w:rPr>
          <w:sz w:val="20"/>
          <w:szCs w:val="20"/>
          <w:color w:val="auto"/>
        </w:rPr>
      </w:pPr>
      <w:r>
        <w:rPr>
          <w:rFonts w:ascii="Times New Roman" w:cs="Times New Roman" w:eastAsia="Times New Roman" w:hAnsi="Times New Roman"/>
          <w:sz w:val="18"/>
          <w:szCs w:val="18"/>
          <w:color w:val="auto"/>
        </w:rPr>
        <w:t>Under normal market conditions, we generally expect that at least 80% of the value of our managed assets, which means our net assets plus any borrowings for investment purposes,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185" w:lineRule="exact"/>
        <w:rPr>
          <w:sz w:val="20"/>
          <w:szCs w:val="20"/>
          <w:color w:val="auto"/>
        </w:rPr>
      </w:pPr>
    </w:p>
    <w:p>
      <w:pPr>
        <w:jc w:val="both"/>
        <w:ind w:right="120" w:firstLine="435"/>
        <w:spacing w:after="0" w:line="252" w:lineRule="auto"/>
        <w:rPr>
          <w:sz w:val="20"/>
          <w:szCs w:val="20"/>
          <w:color w:val="auto"/>
        </w:rPr>
      </w:pPr>
      <w:r>
        <w:rPr>
          <w:rFonts w:ascii="Times New Roman" w:cs="Times New Roman" w:eastAsia="Times New Roman" w:hAnsi="Times New Roman"/>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 and Structure of PennantPark Floating Rate Capital Ltd.</w:t>
      </w:r>
    </w:p>
    <w:p>
      <w:pPr>
        <w:spacing w:after="0" w:line="111" w:lineRule="exact"/>
        <w:rPr>
          <w:sz w:val="20"/>
          <w:szCs w:val="20"/>
          <w:color w:val="auto"/>
        </w:rPr>
      </w:pPr>
    </w:p>
    <w:p>
      <w:pPr>
        <w:ind w:right="240" w:firstLine="435"/>
        <w:spacing w:after="0" w:line="256" w:lineRule="auto"/>
        <w:rPr>
          <w:sz w:val="20"/>
          <w:szCs w:val="20"/>
          <w:color w:val="auto"/>
        </w:rPr>
      </w:pPr>
      <w:r>
        <w:rPr>
          <w:rFonts w:ascii="Times New Roman" w:cs="Times New Roman" w:eastAsia="Times New Roman" w:hAnsi="Times New Roman"/>
          <w:sz w:val="18"/>
          <w:szCs w:val="18"/>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0" w:lineRule="exact"/>
        <w:rPr>
          <w:sz w:val="20"/>
          <w:szCs w:val="20"/>
          <w:color w:val="auto"/>
        </w:rPr>
      </w:pPr>
    </w:p>
    <w:p>
      <w:pPr>
        <w:ind w:right="80" w:firstLine="435"/>
        <w:spacing w:after="0" w:line="247" w:lineRule="auto"/>
        <w:rPr>
          <w:sz w:val="20"/>
          <w:szCs w:val="20"/>
          <w:color w:val="auto"/>
        </w:rPr>
      </w:pPr>
      <w:r>
        <w:rPr>
          <w:rFonts w:ascii="Times New Roman" w:cs="Times New Roman" w:eastAsia="Times New Roman" w:hAnsi="Times New Roman"/>
          <w:sz w:val="18"/>
          <w:szCs w:val="18"/>
          <w:color w:val="auto"/>
        </w:rPr>
        <w:t>We execute our investment strategy directly and through our wholly owned subsidiaries, our unconsolidated joint venture and unconsolidated limited partnership. The term “subsidiary” means entities that primarily engage in investment activities in securities or other assets and are wholly owned by us. The Company does not intend to create or acquire primary control of any entity which primarily engages in investment activities of securities or other assets other than entities wholly owned by the Company. We comply with the provisions of Section 18 of the 1940 Act governing capital structure and leverage on an aggregate basis with our subsidiaries. Our subsidiaries comply with the provisions of Section 17 of the 1940 Act related to affiliated transactions and custody. To the extent that the Company forms a subsidiary advised by an investment adviser other than the Investment Adviser, the investment adviser to such subsidiaries will comply with the provisions of the 1940 Act relating to investment advisory contracts, including but not limited to, Section 15, as if it were an investment adviser to the Company under Section 2(a)(20) of the 1940 Act.</w:t>
      </w:r>
    </w:p>
    <w:p>
      <w:pPr>
        <w:spacing w:after="0" w:line="191" w:lineRule="exact"/>
        <w:rPr>
          <w:sz w:val="20"/>
          <w:szCs w:val="20"/>
          <w:color w:val="auto"/>
        </w:rPr>
      </w:pPr>
    </w:p>
    <w:p>
      <w:pPr>
        <w:ind w:right="40" w:firstLine="435"/>
        <w:spacing w:after="0" w:line="256" w:lineRule="auto"/>
        <w:rPr>
          <w:sz w:val="20"/>
          <w:szCs w:val="20"/>
          <w:color w:val="auto"/>
        </w:rPr>
      </w:pPr>
      <w:r>
        <w:rPr>
          <w:rFonts w:ascii="Times New Roman" w:cs="Times New Roman" w:eastAsia="Times New Roman" w:hAnsi="Times New Roman"/>
          <w:sz w:val="18"/>
          <w:szCs w:val="18"/>
          <w:color w:val="auto"/>
        </w:rPr>
        <w:t>Funding I, our wholly owned subsidiary and a special purpose entity, was organized in Delaware as a limited liability company in May 2011. On August 12, 2021, Funding I, as borrower, entered into the Credit Facility, which provides the ability for Funding I to borrow up to $436 million (increased from $386 million on April 9, 2024). The Credit Facility is secured by all of the assets of Funding I.</w:t>
      </w:r>
    </w:p>
    <w:p>
      <w:pPr>
        <w:spacing w:after="0" w:line="180" w:lineRule="exact"/>
        <w:rPr>
          <w:sz w:val="20"/>
          <w:szCs w:val="20"/>
          <w:color w:val="auto"/>
        </w:rPr>
      </w:pPr>
    </w:p>
    <w:p>
      <w:pPr>
        <w:ind w:right="100" w:firstLine="435"/>
        <w:spacing w:after="0" w:line="256" w:lineRule="auto"/>
        <w:rPr>
          <w:sz w:val="20"/>
          <w:szCs w:val="20"/>
          <w:color w:val="auto"/>
        </w:rPr>
      </w:pPr>
      <w:r>
        <w:rPr>
          <w:rFonts w:ascii="Times New Roman" w:cs="Times New Roman" w:eastAsia="Times New Roman" w:hAnsi="Times New Roman"/>
          <w:sz w:val="18"/>
          <w:szCs w:val="18"/>
          <w:color w:val="auto"/>
        </w:rPr>
        <w:t>In May 2017, we and a subsidiary of Kemper Corporation (NYSE: KMPR), Trinity Universal Insurance Company, or Kemper, formed PSSL, an unconsolidated joint venture. PSSL invests primarily in middle-market and other corporate debt securities consistent with our strategy. PSSL was formed as a Delaware limited liability company.</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40"/>
          </w:cols>
          <w:pgMar w:left="520" w:top="476" w:right="539" w:bottom="1440" w:gutter="0" w:footer="0" w:header="0"/>
        </w:sectPr>
      </w:pPr>
    </w:p>
    <w:bookmarkStart w:id="6" w:name="page7"/>
    <w:bookmarkEnd w:id="6"/>
    <w:p>
      <w:pPr>
        <w:ind w:right="500" w:firstLine="435"/>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5587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5558790"/>
                    </a:xfrm>
                    <a:prstGeom prst="rect">
                      <a:avLst/>
                    </a:prstGeom>
                    <a:noFill/>
                  </pic:spPr>
                </pic:pic>
              </a:graphicData>
            </a:graphic>
          </wp:anchor>
        </w:drawing>
        <w:t>In April 2019, our wholly owned subsidiary, the Securitization Issuer, was incorporated in the Cayman Islands as an exempted company with limited liability. We formed the Securitization Issuer in order to complete the Debt Securitization.</w:t>
      </w:r>
    </w:p>
    <w:p>
      <w:pPr>
        <w:spacing w:after="0" w:line="169" w:lineRule="exact"/>
        <w:rPr>
          <w:sz w:val="20"/>
          <w:szCs w:val="20"/>
          <w:color w:val="auto"/>
        </w:rPr>
      </w:pPr>
    </w:p>
    <w:p>
      <w:pPr>
        <w:ind w:firstLine="435"/>
        <w:spacing w:after="0" w:line="252" w:lineRule="auto"/>
        <w:rPr>
          <w:sz w:val="20"/>
          <w:szCs w:val="20"/>
          <w:color w:val="auto"/>
        </w:rPr>
      </w:pPr>
      <w:r>
        <w:rPr>
          <w:rFonts w:ascii="Times New Roman" w:cs="Times New Roman" w:eastAsia="Times New Roman" w:hAnsi="Times New Roman"/>
          <w:sz w:val="18"/>
          <w:szCs w:val="18"/>
          <w:color w:val="auto"/>
        </w:rPr>
        <w:t>In addition, in April 2021, we formed PTSF, an unconsolidated limited partnership, organized as a Delaware limited liability partnership. As of March 31, 2024, our capital commitment of $15.3 million is fully funded and we hold 23.08% of the total outstanding Class A Units of PTSF and a 4.99% voting interest in the general partner which manages PTSF. PTSF also invests primarily in middle-market and other corporate debt securities consistent with our strategy.</w:t>
      </w:r>
    </w:p>
    <w:p>
      <w:pPr>
        <w:spacing w:after="0" w:line="183" w:lineRule="exact"/>
        <w:rPr>
          <w:sz w:val="20"/>
          <w:szCs w:val="20"/>
          <w:color w:val="auto"/>
        </w:rPr>
      </w:pPr>
    </w:p>
    <w:p>
      <w:pPr>
        <w:ind w:right="380" w:firstLine="435"/>
        <w:spacing w:after="0" w:line="268" w:lineRule="auto"/>
        <w:rPr>
          <w:sz w:val="20"/>
          <w:szCs w:val="20"/>
          <w:color w:val="auto"/>
        </w:rPr>
      </w:pPr>
      <w:r>
        <w:rPr>
          <w:rFonts w:ascii="Times New Roman" w:cs="Times New Roman" w:eastAsia="Times New Roman" w:hAnsi="Times New Roman"/>
          <w:sz w:val="18"/>
          <w:szCs w:val="18"/>
          <w:color w:val="auto"/>
        </w:rPr>
        <w:t>In January 2024, our wholly owned subsidiary, the 2036 Securitization Issuer, was incorporated in Delaware as a limited liability company. We formed the 2036 Securitization Issuer in order to complete the 2036-Debt Securitization.</w:t>
      </w:r>
    </w:p>
    <w:p>
      <w:pPr>
        <w:spacing w:after="0" w:line="169" w:lineRule="exact"/>
        <w:rPr>
          <w:sz w:val="20"/>
          <w:szCs w:val="20"/>
          <w:color w:val="auto"/>
        </w:rPr>
      </w:pPr>
    </w:p>
    <w:p>
      <w:pPr>
        <w:ind w:right="100" w:firstLine="435"/>
        <w:spacing w:after="0" w:line="249" w:lineRule="auto"/>
        <w:rPr>
          <w:sz w:val="20"/>
          <w:szCs w:val="20"/>
          <w:color w:val="auto"/>
        </w:rPr>
      </w:pPr>
      <w:r>
        <w:rPr>
          <w:rFonts w:ascii="Times New Roman" w:cs="Times New Roman" w:eastAsia="Times New Roman" w:hAnsi="Times New Roman"/>
          <w:sz w:val="18"/>
          <w:szCs w:val="18"/>
          <w:color w:val="auto"/>
        </w:rPr>
        <w:t>On February 4, 2022, we formed PFLT Investment Holdings II, LLC, a Delaware limited liability company (“Holdings II”), as a wholly owned subsidiary. On December 31, 2022, we contributed 100% of our interests in PFLT Investment Holdings, LLC (“Holdings”) to Holdings II. Effective as of January 1, 2024, Holdings II made an election to be treated as a corporation for U.S. federal income tax purposes. On January 3, 2024, we purchased an equity interest in Holdings from Holdings II and Holdings became a partnership for U.S. federal income tax purposes. The company and Holdings II entered into a limited liability company agreement with respect to Holdings that provides for certain payments and the sharing of income, gain, loss and deductions attributable to Holdings’ investments.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Investment Adviser and Administrator</w:t>
      </w:r>
    </w:p>
    <w:p>
      <w:pPr>
        <w:spacing w:after="0" w:line="111" w:lineRule="exact"/>
        <w:rPr>
          <w:sz w:val="20"/>
          <w:szCs w:val="20"/>
          <w:color w:val="auto"/>
        </w:rPr>
      </w:pPr>
    </w:p>
    <w:p>
      <w:pPr>
        <w:ind w:right="40" w:firstLine="435"/>
        <w:spacing w:after="0" w:line="246" w:lineRule="auto"/>
        <w:rPr>
          <w:sz w:val="20"/>
          <w:szCs w:val="20"/>
          <w:color w:val="auto"/>
        </w:rPr>
      </w:pPr>
      <w:r>
        <w:rPr>
          <w:rFonts w:ascii="Times New Roman" w:cs="Times New Roman" w:eastAsia="Times New Roman" w:hAnsi="Times New Roman"/>
          <w:sz w:val="18"/>
          <w:szCs w:val="18"/>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have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through its managed funds $20.3 billion in 674 companies with more than 200 different financial sponsors through its managed funds, which includes investments by the Company totaling $5.9 billion in 492 companies.</w:t>
      </w:r>
    </w:p>
    <w:p>
      <w:pPr>
        <w:spacing w:after="0" w:line="194" w:lineRule="exact"/>
        <w:rPr>
          <w:sz w:val="20"/>
          <w:szCs w:val="20"/>
          <w:color w:val="auto"/>
        </w:rPr>
      </w:pPr>
    </w:p>
    <w:p>
      <w:pPr>
        <w:ind w:right="20" w:firstLine="435"/>
        <w:spacing w:after="0" w:line="2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 “Risk Factors—Risks Relating to our Business and Structure—There are significant potential conflicts of interest which could impact our investment returns” in our most recent Annual Report on </w:t>
      </w:r>
      <w:hyperlink r:id="rId2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more information.</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40"/>
          </w:cols>
          <w:pgMar w:left="520" w:top="476" w:right="5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6001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78040" cy="6001385"/>
                    </a:xfrm>
                    <a:prstGeom prst="rect">
                      <a:avLst/>
                    </a:prstGeom>
                    <a:noFill/>
                  </pic:spPr>
                </pic:pic>
              </a:graphicData>
            </a:graphic>
          </wp:anchor>
        </w:drawing>
        <w:t>Market Opportunity</w:t>
      </w:r>
    </w:p>
    <w:p>
      <w:pPr>
        <w:spacing w:after="0" w:line="111" w:lineRule="exact"/>
        <w:rPr>
          <w:sz w:val="20"/>
          <w:szCs w:val="20"/>
          <w:color w:val="auto"/>
        </w:rPr>
      </w:pPr>
    </w:p>
    <w:p>
      <w:pPr>
        <w:ind w:firstLine="435"/>
        <w:spacing w:after="0" w:line="268" w:lineRule="auto"/>
        <w:rPr>
          <w:sz w:val="20"/>
          <w:szCs w:val="20"/>
          <w:color w:val="auto"/>
        </w:rPr>
      </w:pPr>
      <w:r>
        <w:rPr>
          <w:rFonts w:ascii="Times New Roman" w:cs="Times New Roman" w:eastAsia="Times New Roman" w:hAnsi="Times New Roman"/>
          <w:sz w:val="18"/>
          <w:szCs w:val="18"/>
          <w:color w:val="auto"/>
        </w:rPr>
        <w:t>We believe that the limited amount of capital available to middle-market companies, coupled with the desire of these companies for flexible sources of capital, creates an attractive investment environment for us.</w:t>
      </w:r>
    </w:p>
    <w:p>
      <w:pPr>
        <w:spacing w:after="0" w:line="75" w:lineRule="exact"/>
        <w:rPr>
          <w:sz w:val="20"/>
          <w:szCs w:val="20"/>
          <w:color w:val="auto"/>
        </w:rPr>
      </w:pPr>
    </w:p>
    <w:p>
      <w:pPr>
        <w:ind w:left="960" w:right="520" w:hanging="430"/>
        <w:spacing w:after="0" w:line="257"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believe middle-market companies have faced difficulty raising debt in private markets. </w:t>
      </w:r>
      <w:r>
        <w:rPr>
          <w:rFonts w:ascii="Times New Roman" w:cs="Times New Roman" w:eastAsia="Times New Roman" w:hAnsi="Times New Roman"/>
          <w:sz w:val="18"/>
          <w:szCs w:val="18"/>
          <w:color w:val="auto"/>
        </w:rPr>
        <w:t>From time to time, banks, finance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hedge funds and collateralized loan obligation, or CLO, funds have withdrawn, and may again withdraw, capital from the middle-market, resulting in opportunities for alternative funding sources.</w:t>
      </w:r>
    </w:p>
    <w:p>
      <w:pPr>
        <w:spacing w:after="0" w:line="85" w:lineRule="exact"/>
        <w:rPr>
          <w:rFonts w:ascii="Times New Roman" w:cs="Times New Roman" w:eastAsia="Times New Roman" w:hAnsi="Times New Roman"/>
          <w:sz w:val="18"/>
          <w:szCs w:val="18"/>
          <w:color w:val="auto"/>
        </w:rPr>
      </w:pPr>
    </w:p>
    <w:p>
      <w:pPr>
        <w:ind w:left="960" w:right="200" w:hanging="430"/>
        <w:spacing w:after="0" w:line="253"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believe middle-market companies have faced difficulty in raising debt through the capital markets. </w:t>
      </w:r>
      <w:r>
        <w:rPr>
          <w:rFonts w:ascii="Times New Roman" w:cs="Times New Roman" w:eastAsia="Times New Roman" w:hAnsi="Times New Roman"/>
          <w:sz w:val="18"/>
          <w:szCs w:val="18"/>
          <w:color w:val="auto"/>
        </w:rPr>
        <w:t>Many middle-market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look to raise funds by issuing high-yield bonds and broadly syndicated loans. We believe this approach to financing becomes difficult at times when institutional investors seek to invest in larger, more liquid offerings. We believe this has made it harder for middle-market companies to raise funds by issuing high-yield securities from time to time.</w:t>
      </w:r>
    </w:p>
    <w:p>
      <w:pPr>
        <w:spacing w:after="0" w:line="87" w:lineRule="exact"/>
        <w:rPr>
          <w:rFonts w:ascii="Times New Roman" w:cs="Times New Roman" w:eastAsia="Times New Roman" w:hAnsi="Times New Roman"/>
          <w:sz w:val="18"/>
          <w:szCs w:val="18"/>
          <w:color w:val="auto"/>
        </w:rPr>
      </w:pPr>
    </w:p>
    <w:p>
      <w:pPr>
        <w:jc w:val="both"/>
        <w:ind w:left="960" w:right="120" w:hanging="430"/>
        <w:spacing w:after="0" w:line="257"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believe that credit market dislocation for middle-market companies improves the risk-reward on our investments. </w:t>
      </w:r>
      <w:r>
        <w:rPr>
          <w:rFonts w:ascii="Times New Roman" w:cs="Times New Roman" w:eastAsia="Times New Roman" w:hAnsi="Times New Roman"/>
          <w:sz w:val="18"/>
          <w:szCs w:val="18"/>
          <w:color w:val="auto"/>
        </w:rPr>
        <w:t>From time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market participants have reduced lending to middle-market and non-investment grade borrowers. As a result, we believe there is less competition in our market, more conservative capital structures, higher yields and stronger covenants.</w:t>
      </w:r>
    </w:p>
    <w:p>
      <w:pPr>
        <w:spacing w:after="0" w:line="85" w:lineRule="exact"/>
        <w:rPr>
          <w:rFonts w:ascii="Times New Roman" w:cs="Times New Roman" w:eastAsia="Times New Roman" w:hAnsi="Times New Roman"/>
          <w:sz w:val="18"/>
          <w:szCs w:val="18"/>
          <w:color w:val="auto"/>
        </w:rPr>
      </w:pPr>
    </w:p>
    <w:p>
      <w:pPr>
        <w:ind w:left="960" w:right="100" w:hanging="430"/>
        <w:spacing w:after="0" w:line="253"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believe there is a large pool of uninvested private equity capital likely to seek to combine their capital with sources of debt capital to complete private investments. </w:t>
      </w:r>
      <w:r>
        <w:rPr>
          <w:rFonts w:ascii="Times New Roman" w:cs="Times New Roman" w:eastAsia="Times New Roman" w:hAnsi="Times New Roman"/>
          <w:sz w:val="18"/>
          <w:szCs w:val="18"/>
          <w:color w:val="auto"/>
        </w:rPr>
        <w:t>We expect that private equity firms will continue to be active investors in middle-market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These private equity funds generally seek to leverage their investments by combining their capital with loans provided by other sources, and we believe that we are well-positioned to partner with such equity investors.</w:t>
      </w:r>
    </w:p>
    <w:p>
      <w:pPr>
        <w:spacing w:after="0" w:line="87" w:lineRule="exact"/>
        <w:rPr>
          <w:rFonts w:ascii="Times New Roman" w:cs="Times New Roman" w:eastAsia="Times New Roman" w:hAnsi="Times New Roman"/>
          <w:sz w:val="18"/>
          <w:szCs w:val="18"/>
          <w:color w:val="auto"/>
        </w:rPr>
      </w:pPr>
    </w:p>
    <w:p>
      <w:pPr>
        <w:ind w:left="960" w:right="20" w:hanging="430"/>
        <w:spacing w:after="0" w:line="249"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believe there is substantial supply of opportunities resulting from maturing loans that seek refinancing. </w:t>
      </w:r>
      <w:r>
        <w:rPr>
          <w:rFonts w:ascii="Times New Roman" w:cs="Times New Roman" w:eastAsia="Times New Roman" w:hAnsi="Times New Roman"/>
          <w:sz w:val="18"/>
          <w:szCs w:val="18"/>
          <w:color w:val="auto"/>
        </w:rPr>
        <w:t>A high volume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financings will come due in the next few years. Additionally, we 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from time to time, the reduced supply of credit described above should increase lending opportunities for us. We believe this supply of opportunities coupled with a lack of demand offers attractive risk-reward to investors.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11" w:lineRule="exact"/>
        <w:rPr>
          <w:sz w:val="20"/>
          <w:szCs w:val="20"/>
          <w:color w:val="auto"/>
        </w:rPr>
      </w:pPr>
    </w:p>
    <w:p>
      <w:pPr>
        <w:ind w:right="20" w:firstLine="435"/>
        <w:spacing w:after="0" w:line="303" w:lineRule="auto"/>
        <w:rPr>
          <w:sz w:val="20"/>
          <w:szCs w:val="20"/>
          <w:color w:val="auto"/>
        </w:rPr>
      </w:pPr>
      <w:r>
        <w:rPr>
          <w:rFonts w:ascii="Times New Roman" w:cs="Times New Roman" w:eastAsia="Times New Roman" w:hAnsi="Times New Roman"/>
          <w:sz w:val="16"/>
          <w:szCs w:val="16"/>
          <w:color w:val="auto"/>
        </w:rPr>
        <w:t>We may use the net proceeds from selling securities pursuant to this prospectus to reduce our then-outstanding debt obligations, to invest in new or existing portfolio companies, to capitalize a subsidiary or for other general corporate or strategic purposes. Any supplements to this prospectus or free writing prospectus relating to an offering will more fully identify the use of the proceeds from such offering. See “Use of Proceeds” for more information.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on Common Stock</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We intend to continue our monthly distributions to our stockholders. Our monthly distributions, if any, are determined by our board of directors.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Distributions may include a return of capital. See “Distributions” for more information.</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on Preferred Stock</w:t>
      </w:r>
    </w:p>
    <w:p>
      <w:pPr>
        <w:spacing w:after="0" w:line="111" w:lineRule="exact"/>
        <w:rPr>
          <w:sz w:val="20"/>
          <w:szCs w:val="20"/>
          <w:color w:val="auto"/>
        </w:rPr>
      </w:pPr>
    </w:p>
    <w:p>
      <w:pPr>
        <w:ind w:right="480" w:firstLine="435"/>
        <w:spacing w:after="0" w:line="268" w:lineRule="auto"/>
        <w:rPr>
          <w:sz w:val="20"/>
          <w:szCs w:val="20"/>
          <w:color w:val="auto"/>
        </w:rPr>
      </w:pPr>
      <w:r>
        <w:rPr>
          <w:rFonts w:ascii="Times New Roman" w:cs="Times New Roman" w:eastAsia="Times New Roman" w:hAnsi="Times New Roman"/>
          <w:sz w:val="18"/>
          <w:szCs w:val="18"/>
          <w:color w:val="auto"/>
        </w:rPr>
        <w:t>We may issue preferred stock from time to time, although we have no immediate intention to do so. Any such preferred stock will be a senior security for purposes of the 1940 Act and, accordingly, subject to the</w:t>
      </w: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20"/>
          </w:cols>
          <w:pgMar w:left="520" w:top="474" w:right="559" w:bottom="1440" w:gutter="0" w:footer="0" w:header="0"/>
        </w:sectPr>
      </w:pPr>
    </w:p>
    <w:bookmarkStart w:id="8" w:name="page9"/>
    <w:bookmarkEnd w:id="8"/>
    <w:p>
      <w:pPr>
        <w:ind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48901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78040" cy="4890135"/>
                    </a:xfrm>
                    <a:prstGeom prst="rect">
                      <a:avLst/>
                    </a:prstGeom>
                    <a:noFill/>
                  </pic:spPr>
                </pic:pic>
              </a:graphicData>
            </a:graphic>
          </wp:anchor>
        </w:drawing>
        <w:t>leverage test under the 1940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are subject to extension. The dividend rate could be variable and determined for each dividend period. See “Description of our Preferred Stock” for more information.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11" w:lineRule="exact"/>
        <w:rPr>
          <w:sz w:val="20"/>
          <w:szCs w:val="20"/>
          <w:color w:val="auto"/>
        </w:rPr>
      </w:pPr>
    </w:p>
    <w:p>
      <w:pPr>
        <w:ind w:right="60" w:firstLine="435"/>
        <w:spacing w:after="0" w:line="268" w:lineRule="auto"/>
        <w:rPr>
          <w:sz w:val="20"/>
          <w:szCs w:val="20"/>
          <w:color w:val="auto"/>
        </w:rPr>
      </w:pPr>
      <w:r>
        <w:rPr>
          <w:rFonts w:ascii="Times New Roman" w:cs="Times New Roman" w:eastAsia="Times New Roman" w:hAnsi="Times New Roman"/>
          <w:sz w:val="18"/>
          <w:szCs w:val="18"/>
          <w:color w:val="auto"/>
        </w:rPr>
        <w:t>We may offer, from time to time, up to $1,000,000,000 of our securities, on terms to be determined at the time of each such offering and set forth in a supplement to this prospectus.</w:t>
      </w:r>
    </w:p>
    <w:p>
      <w:pPr>
        <w:spacing w:after="0" w:line="169" w:lineRule="exact"/>
        <w:rPr>
          <w:sz w:val="20"/>
          <w:szCs w:val="20"/>
          <w:color w:val="auto"/>
        </w:rPr>
      </w:pPr>
    </w:p>
    <w:p>
      <w:pPr>
        <w:ind w:firstLine="435"/>
        <w:spacing w:after="0" w:line="284" w:lineRule="auto"/>
        <w:rPr>
          <w:sz w:val="20"/>
          <w:szCs w:val="20"/>
          <w:color w:val="auto"/>
        </w:rPr>
      </w:pPr>
      <w:r>
        <w:rPr>
          <w:rFonts w:ascii="Times New Roman" w:cs="Times New Roman" w:eastAsia="Times New Roman" w:hAnsi="Times New Roman"/>
          <w:sz w:val="16"/>
          <w:szCs w:val="16"/>
          <w:color w:val="auto"/>
        </w:rPr>
        <w:t>Securities may be offered at prices and on terms described in one or more supplements to this prospectus. We may sell our securities through underwriters or dealers, “at-the-market” to or through a market maker, into an existing trading market or otherwise directly to one or more purchasers or through agents or through a combination of methods of sale. A supplement to this prospectus relating to any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any accompanying supplements to this prospectus may not exceed 10% of the aggregate offering price of the securities as set forth on the cover page of such supplement to this prospectus.</w:t>
      </w:r>
    </w:p>
    <w:p>
      <w:pPr>
        <w:spacing w:after="0" w:line="160" w:lineRule="exact"/>
        <w:rPr>
          <w:sz w:val="20"/>
          <w:szCs w:val="20"/>
          <w:color w:val="auto"/>
        </w:rPr>
      </w:pPr>
    </w:p>
    <w:p>
      <w:pPr>
        <w:ind w:right="40" w:firstLine="435"/>
        <w:spacing w:after="0" w:line="268" w:lineRule="auto"/>
        <w:rPr>
          <w:sz w:val="20"/>
          <w:szCs w:val="20"/>
          <w:color w:val="auto"/>
        </w:rPr>
      </w:pPr>
      <w:r>
        <w:rPr>
          <w:rFonts w:ascii="Times New Roman" w:cs="Times New Roman" w:eastAsia="Times New Roman" w:hAnsi="Times New Roman"/>
          <w:sz w:val="18"/>
          <w:szCs w:val="18"/>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Our Business</w:t>
      </w:r>
    </w:p>
    <w:p>
      <w:pPr>
        <w:spacing w:after="0" w:line="111" w:lineRule="exact"/>
        <w:rPr>
          <w:sz w:val="20"/>
          <w:szCs w:val="20"/>
          <w:color w:val="auto"/>
        </w:rPr>
      </w:pPr>
    </w:p>
    <w:p>
      <w:pPr>
        <w:ind w:right="80" w:firstLine="435"/>
        <w:spacing w:after="0" w:line="252"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business is subject to numerous risks, as described in the section titled “Risk Factors” in this prospectus, the applicable prospectus supplement and related free writing prospectuses we may authorize for use in connection with a specific offering, if any, and under similar headings in the documents </w:t>
      </w:r>
      <w:hyperlink r:id="rId30">
        <w:r>
          <w:rPr>
            <w:rFonts w:ascii="Times New Roman" w:cs="Times New Roman" w:eastAsia="Times New Roman" w:hAnsi="Times New Roman"/>
            <w:sz w:val="18"/>
            <w:szCs w:val="18"/>
            <w:color w:val="auto"/>
          </w:rPr>
          <w:t xml:space="preserve">that are incorporated by reference into this prospectus, including the section titled “Risk Factors” included in our most recent Annual Report on </w:t>
        </w:r>
        <w:r>
          <w:rPr>
            <w:rFonts w:ascii="Times New Roman" w:cs="Times New Roman" w:eastAsia="Times New Roman" w:hAnsi="Times New Roman"/>
            <w:sz w:val="18"/>
            <w:szCs w:val="18"/>
            <w:u w:val="single" w:color="auto"/>
            <w:color w:val="0000EE"/>
          </w:rPr>
          <w:t>Form</w:t>
        </w:r>
      </w:hyperlink>
      <w:r>
        <w:rPr>
          <w:rFonts w:ascii="Times New Roman" w:cs="Times New Roman" w:eastAsia="Times New Roman" w:hAnsi="Times New Roman"/>
          <w:sz w:val="18"/>
          <w:szCs w:val="18"/>
          <w:color w:val="auto"/>
        </w:rPr>
        <w:t xml:space="preserve"> </w:t>
      </w:r>
      <w:hyperlink r:id="rId30">
        <w:r>
          <w:rPr>
            <w:rFonts w:ascii="Times New Roman" w:cs="Times New Roman" w:eastAsia="Times New Roman" w:hAnsi="Times New Roman"/>
            <w:sz w:val="18"/>
            <w:szCs w:val="18"/>
            <w:u w:val="single" w:color="auto"/>
            <w:color w:val="0000EE"/>
          </w:rPr>
          <w:t>10-K</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Quarterly Reports on</w:t>
        </w:r>
        <w:r>
          <w:rPr>
            <w:rFonts w:ascii="Times New Roman" w:cs="Times New Roman" w:eastAsia="Times New Roman" w:hAnsi="Times New Roman"/>
            <w:sz w:val="18"/>
            <w:szCs w:val="18"/>
            <w:color w:val="0000EE"/>
          </w:rPr>
          <w:t xml:space="preserve"> </w:t>
        </w:r>
      </w:hyperlink>
      <w:hyperlink r:id="rId31">
        <w:r>
          <w:rPr>
            <w:rFonts w:ascii="Times New Roman" w:cs="Times New Roman" w:eastAsia="Times New Roman" w:hAnsi="Times New Roman"/>
            <w:sz w:val="18"/>
            <w:szCs w:val="18"/>
            <w:u w:val="single" w:color="auto"/>
            <w:color w:val="0000EE"/>
          </w:rPr>
          <w:t>Form 10-Q</w:t>
        </w:r>
      </w:hyperlink>
      <w:hyperlink r:id="rId30">
        <w:r>
          <w:rPr>
            <w:rFonts w:ascii="Times New Roman" w:cs="Times New Roman" w:eastAsia="Times New Roman" w:hAnsi="Times New Roman"/>
            <w:sz w:val="18"/>
            <w:szCs w:val="18"/>
            <w:color w:val="000000"/>
          </w:rPr>
          <w:t>, as well as any amendments reflected in subsequent filings with the SEC.</w:t>
        </w:r>
      </w:hyperlink>
    </w:p>
    <w:p>
      <w:pPr>
        <w:spacing w:after="0" w:line="287"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111" w:lineRule="exact"/>
        <w:rPr>
          <w:rFonts w:ascii="Times New Roman" w:cs="Times New Roman" w:eastAsia="Times New Roman" w:hAnsi="Times New Roman"/>
          <w:sz w:val="18"/>
          <w:szCs w:val="18"/>
          <w:color w:val="0000EE"/>
        </w:rPr>
      </w:pPr>
    </w:p>
    <w:p>
      <w:pPr>
        <w:ind w:right="120" w:firstLine="435"/>
        <w:spacing w:after="0" w:line="252" w:lineRule="auto"/>
        <w:rPr>
          <w:sz w:val="20"/>
          <w:szCs w:val="20"/>
          <w:color w:val="auto"/>
        </w:rPr>
      </w:pPr>
      <w:r>
        <w:rPr>
          <w:rFonts w:ascii="Times New Roman" w:cs="Times New Roman" w:eastAsia="Times New Roman" w:hAnsi="Times New Roman"/>
          <w:sz w:val="18"/>
          <w:szCs w:val="18"/>
          <w:color w:val="auto"/>
        </w:rPr>
        <w:t xml:space="preserve">Our administrative and principal executive offices are located at 1691 Michigan Avenue, Miami Beach, Florida 33139. Our phone number is (786) 297-9500, and our internet website address is </w:t>
      </w:r>
      <w:r>
        <w:rPr>
          <w:rFonts w:ascii="Times New Roman" w:cs="Times New Roman" w:eastAsia="Times New Roman" w:hAnsi="Times New Roman"/>
          <w:sz w:val="18"/>
          <w:szCs w:val="18"/>
          <w:i w:val="1"/>
          <w:iCs w:val="1"/>
          <w:u w:val="single" w:color="auto"/>
          <w:color w:val="auto"/>
        </w:rPr>
        <w:t>www.pennantpark.com</w:t>
      </w:r>
      <w:r>
        <w:rPr>
          <w:rFonts w:ascii="Times New Roman" w:cs="Times New Roman" w:eastAsia="Times New Roman" w:hAnsi="Times New Roman"/>
          <w:sz w:val="18"/>
          <w:szCs w:val="18"/>
          <w:color w:val="auto"/>
        </w:rPr>
        <w:t>. Information contained on our website is not incorporated by reference into this prospectus or any supplements to this prospectus, and you should not consider information contained on our website to be part of this prospectus or any supplements to this prospectus.</w:t>
      </w:r>
    </w:p>
    <w:p>
      <w:pPr>
        <w:spacing w:after="0" w:line="302"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40"/>
          </w:cols>
          <w:pgMar w:left="520" w:top="476" w:right="539" w:bottom="1440" w:gutter="0" w:footer="0" w:header="0"/>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78040" cy="54610"/>
                    </a:xfrm>
                    <a:prstGeom prst="rect">
                      <a:avLst/>
                    </a:prstGeom>
                    <a:noFill/>
                  </pic:spPr>
                </pic:pic>
              </a:graphicData>
            </a:graphic>
          </wp:anchor>
        </w:drawing>
        <w:t>FEES AND EXPENSES</w:t>
      </w:r>
    </w:p>
    <w:p>
      <w:pPr>
        <w:spacing w:after="0" w:line="216" w:lineRule="exact"/>
        <w:rPr>
          <w:sz w:val="20"/>
          <w:szCs w:val="20"/>
          <w:color w:val="auto"/>
        </w:rPr>
      </w:pPr>
    </w:p>
    <w:p>
      <w:pPr>
        <w:ind w:right="100" w:firstLine="450"/>
        <w:spacing w:after="0" w:line="250" w:lineRule="auto"/>
        <w:rPr>
          <w:sz w:val="20"/>
          <w:szCs w:val="20"/>
          <w:color w:val="auto"/>
        </w:rPr>
      </w:pPr>
      <w:r>
        <w:rPr>
          <w:rFonts w:ascii="Times New Roman" w:cs="Times New Roman" w:eastAsia="Times New Roman" w:hAnsi="Times New Roman"/>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shown. Except where the context suggests otherwise, whenever reference is made to fees or expenses paid by “you” or “us” or that “we” will pay, stockholders will indirectly bear such fees or expenses as investors in us.</w:t>
      </w:r>
    </w:p>
    <w:p>
      <w:pPr>
        <w:spacing w:after="0" w:line="230" w:lineRule="exact"/>
        <w:rPr>
          <w:sz w:val="20"/>
          <w:szCs w:val="20"/>
          <w:color w:val="auto"/>
        </w:rPr>
      </w:pPr>
    </w:p>
    <w:tbl>
      <w:tblPr>
        <w:tblLayout w:type="fixed"/>
        <w:tblInd w:w="1800" w:type="dxa"/>
        <w:tblCellMar>
          <w:top w:w="0" w:type="dxa"/>
          <w:left w:w="0" w:type="dxa"/>
          <w:bottom w:w="0" w:type="dxa"/>
          <w:right w:w="0" w:type="dxa"/>
        </w:tblCellMar>
      </w:tblPr>
      <w:tr>
        <w:trPr>
          <w:trHeight w:val="211"/>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 transaction expenses</w:t>
            </w:r>
          </w:p>
        </w:tc>
        <w:tc>
          <w:tcPr>
            <w:tcW w:w="1200" w:type="dxa"/>
            <w:vAlign w:val="bottom"/>
            <w:shd w:val="clear" w:color="auto" w:fill="CCEEFF"/>
          </w:tcPr>
          <w:p>
            <w:pPr>
              <w:spacing w:after="0"/>
              <w:rPr>
                <w:sz w:val="18"/>
                <w:szCs w:val="18"/>
                <w:color w:val="auto"/>
              </w:rPr>
            </w:pPr>
          </w:p>
        </w:tc>
      </w:tr>
      <w:tr>
        <w:trPr>
          <w:trHeight w:val="211"/>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Sales load (as a percentage of offering price)</w:t>
            </w:r>
          </w:p>
        </w:tc>
        <w:tc>
          <w:tcPr>
            <w:tcW w:w="1200" w:type="dxa"/>
            <w:vAlign w:val="bottom"/>
          </w:tcPr>
          <w:p>
            <w:pPr>
              <w:ind w:left="600"/>
              <w:spacing w:after="0" w:line="211" w:lineRule="exact"/>
              <w:rPr>
                <w:sz w:val="20"/>
                <w:szCs w:val="20"/>
                <w:color w:val="auto"/>
              </w:rPr>
            </w:pPr>
            <w:r>
              <w:rPr>
                <w:rFonts w:ascii="Times New Roman" w:cs="Times New Roman" w:eastAsia="Times New Roman" w:hAnsi="Times New Roman"/>
                <w:sz w:val="18"/>
                <w:szCs w:val="18"/>
                <w:color w:val="auto"/>
                <w:w w:val="92"/>
              </w:rPr>
              <w:t>—  %</w:t>
            </w:r>
            <w:r>
              <w:rPr>
                <w:rFonts w:ascii="Times New Roman" w:cs="Times New Roman" w:eastAsia="Times New Roman" w:hAnsi="Times New Roman"/>
                <w:sz w:val="21"/>
                <w:szCs w:val="21"/>
                <w:color w:val="auto"/>
                <w:w w:val="92"/>
                <w:vertAlign w:val="superscript"/>
              </w:rPr>
              <w:t>(1)</w:t>
            </w:r>
          </w:p>
        </w:tc>
      </w:tr>
      <w:tr>
        <w:trPr>
          <w:trHeight w:val="211"/>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expenses (as a percentage of offering price)</w:t>
            </w:r>
          </w:p>
        </w:tc>
        <w:tc>
          <w:tcPr>
            <w:tcW w:w="1200" w:type="dxa"/>
            <w:vAlign w:val="bottom"/>
            <w:shd w:val="clear" w:color="auto" w:fill="CCEEFF"/>
          </w:tcPr>
          <w:p>
            <w:pPr>
              <w:ind w:left="600"/>
              <w:spacing w:after="0" w:line="211" w:lineRule="exact"/>
              <w:rPr>
                <w:sz w:val="20"/>
                <w:szCs w:val="20"/>
                <w:color w:val="auto"/>
              </w:rPr>
            </w:pP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9"/>
                <w:szCs w:val="9"/>
                <w:color w:val="auto"/>
              </w:rPr>
              <w:t xml:space="preserve"> (2)</w:t>
            </w:r>
          </w:p>
        </w:tc>
      </w:tr>
      <w:tr>
        <w:trPr>
          <w:trHeight w:val="233"/>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 expenses (as a percentage of offering price)</w:t>
            </w:r>
          </w:p>
        </w:tc>
        <w:tc>
          <w:tcPr>
            <w:tcW w:w="1200" w:type="dxa"/>
            <w:vAlign w:val="bottom"/>
          </w:tcPr>
          <w:p>
            <w:pPr>
              <w:jc w:val="right"/>
              <w:ind w:right="297"/>
              <w:spacing w:after="0"/>
              <w:rPr>
                <w:sz w:val="20"/>
                <w:szCs w:val="20"/>
                <w:color w:val="auto"/>
              </w:rPr>
            </w:pPr>
            <w:r>
              <w:rPr>
                <w:rFonts w:ascii="Times New Roman" w:cs="Times New Roman" w:eastAsia="Times New Roman" w:hAnsi="Times New Roman"/>
                <w:sz w:val="18"/>
                <w:szCs w:val="18"/>
                <w:color w:val="auto"/>
              </w:rPr>
              <w:t>— </w:t>
            </w:r>
          </w:p>
        </w:tc>
      </w:tr>
      <w:tr>
        <w:trPr>
          <w:trHeight w:val="208"/>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 annual expenses (as a percentage of average net assets attributable to</w:t>
            </w:r>
          </w:p>
        </w:tc>
        <w:tc>
          <w:tcPr>
            <w:tcW w:w="1200" w:type="dxa"/>
            <w:vAlign w:val="bottom"/>
            <w:shd w:val="clear" w:color="auto" w:fill="CCEEFF"/>
          </w:tcPr>
          <w:p>
            <w:pPr>
              <w:spacing w:after="0"/>
              <w:rPr>
                <w:sz w:val="18"/>
                <w:szCs w:val="18"/>
                <w:color w:val="auto"/>
              </w:rPr>
            </w:pPr>
          </w:p>
        </w:tc>
      </w:tr>
      <w:tr>
        <w:trPr>
          <w:trHeight w:val="244"/>
        </w:trPr>
        <w:tc>
          <w:tcPr>
            <w:tcW w:w="6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21"/>
                <w:szCs w:val="21"/>
                <w:b w:val="1"/>
                <w:bCs w:val="1"/>
                <w:color w:val="auto"/>
                <w:vertAlign w:val="superscript"/>
              </w:rPr>
              <w:t>(3)</w:t>
            </w:r>
          </w:p>
        </w:tc>
        <w:tc>
          <w:tcPr>
            <w:tcW w:w="1200" w:type="dxa"/>
            <w:vAlign w:val="bottom"/>
            <w:shd w:val="clear" w:color="auto" w:fill="CCEEFF"/>
          </w:tcPr>
          <w:p>
            <w:pPr>
              <w:spacing w:after="0"/>
              <w:rPr>
                <w:sz w:val="21"/>
                <w:szCs w:val="21"/>
                <w:color w:val="auto"/>
              </w:rPr>
            </w:pPr>
          </w:p>
        </w:tc>
      </w:tr>
      <w:tr>
        <w:trPr>
          <w:trHeight w:val="237"/>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 fees</w:t>
            </w:r>
          </w:p>
        </w:tc>
        <w:tc>
          <w:tcPr>
            <w:tcW w:w="1200" w:type="dxa"/>
            <w:vAlign w:val="bottom"/>
          </w:tcPr>
          <w:p>
            <w:pPr>
              <w:jc w:val="right"/>
              <w:spacing w:after="0" w:line="237" w:lineRule="exact"/>
              <w:rPr>
                <w:sz w:val="20"/>
                <w:szCs w:val="20"/>
                <w:color w:val="auto"/>
              </w:rPr>
            </w:pPr>
            <w:r>
              <w:rPr>
                <w:rFonts w:ascii="Times New Roman" w:cs="Times New Roman" w:eastAsia="Times New Roman" w:hAnsi="Times New Roman"/>
                <w:sz w:val="18"/>
                <w:szCs w:val="18"/>
                <w:color w:val="auto"/>
              </w:rPr>
              <w:t>1.98 %</w:t>
            </w:r>
            <w:r>
              <w:rPr>
                <w:rFonts w:ascii="Times New Roman" w:cs="Times New Roman" w:eastAsia="Times New Roman" w:hAnsi="Times New Roman"/>
                <w:sz w:val="21"/>
                <w:szCs w:val="21"/>
                <w:color w:val="auto"/>
                <w:vertAlign w:val="superscript"/>
              </w:rPr>
              <w:t>(4)</w:t>
            </w:r>
          </w:p>
        </w:tc>
      </w:tr>
      <w:tr>
        <w:trPr>
          <w:trHeight w:val="237"/>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Incentive fees</w:t>
            </w:r>
          </w:p>
        </w:tc>
        <w:tc>
          <w:tcPr>
            <w:tcW w:w="1200" w:type="dxa"/>
            <w:vAlign w:val="bottom"/>
            <w:shd w:val="clear" w:color="auto" w:fill="CCEEFF"/>
          </w:tcPr>
          <w:p>
            <w:pPr>
              <w:jc w:val="right"/>
              <w:spacing w:after="0" w:line="237" w:lineRule="exact"/>
              <w:rPr>
                <w:sz w:val="20"/>
                <w:szCs w:val="20"/>
                <w:color w:val="auto"/>
              </w:rPr>
            </w:pPr>
            <w:r>
              <w:rPr>
                <w:rFonts w:ascii="Times New Roman" w:cs="Times New Roman" w:eastAsia="Times New Roman" w:hAnsi="Times New Roman"/>
                <w:sz w:val="18"/>
                <w:szCs w:val="18"/>
                <w:color w:val="auto"/>
              </w:rPr>
              <w:t>2.76 %</w:t>
            </w:r>
            <w:r>
              <w:rPr>
                <w:rFonts w:ascii="Times New Roman" w:cs="Times New Roman" w:eastAsia="Times New Roman" w:hAnsi="Times New Roman"/>
                <w:sz w:val="21"/>
                <w:szCs w:val="21"/>
                <w:color w:val="auto"/>
                <w:vertAlign w:val="superscript"/>
              </w:rPr>
              <w:t>(5)</w:t>
            </w:r>
          </w:p>
        </w:tc>
      </w:tr>
      <w:tr>
        <w:trPr>
          <w:trHeight w:val="237"/>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on borrowed funds</w:t>
            </w:r>
          </w:p>
        </w:tc>
        <w:tc>
          <w:tcPr>
            <w:tcW w:w="1200" w:type="dxa"/>
            <w:vAlign w:val="bottom"/>
          </w:tcPr>
          <w:p>
            <w:pPr>
              <w:jc w:val="right"/>
              <w:spacing w:after="0" w:line="237" w:lineRule="exact"/>
              <w:rPr>
                <w:sz w:val="20"/>
                <w:szCs w:val="20"/>
                <w:color w:val="auto"/>
              </w:rPr>
            </w:pPr>
            <w:r>
              <w:rPr>
                <w:rFonts w:ascii="Times New Roman" w:cs="Times New Roman" w:eastAsia="Times New Roman" w:hAnsi="Times New Roman"/>
                <w:sz w:val="18"/>
                <w:szCs w:val="18"/>
                <w:color w:val="auto"/>
              </w:rPr>
              <w:t>8.50 %</w:t>
            </w:r>
            <w:r>
              <w:rPr>
                <w:rFonts w:ascii="Times New Roman" w:cs="Times New Roman" w:eastAsia="Times New Roman" w:hAnsi="Times New Roman"/>
                <w:sz w:val="21"/>
                <w:szCs w:val="21"/>
                <w:color w:val="auto"/>
                <w:vertAlign w:val="superscript"/>
              </w:rPr>
              <w:t>(6)</w:t>
            </w:r>
          </w:p>
        </w:tc>
      </w:tr>
      <w:tr>
        <w:trPr>
          <w:trHeight w:val="237"/>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fund fees and expenses</w:t>
            </w:r>
          </w:p>
        </w:tc>
        <w:tc>
          <w:tcPr>
            <w:tcW w:w="1200" w:type="dxa"/>
            <w:vAlign w:val="bottom"/>
            <w:shd w:val="clear" w:color="auto" w:fill="CCEEFF"/>
          </w:tcPr>
          <w:p>
            <w:pPr>
              <w:jc w:val="right"/>
              <w:spacing w:after="0" w:line="237" w:lineRule="exact"/>
              <w:rPr>
                <w:sz w:val="20"/>
                <w:szCs w:val="20"/>
                <w:color w:val="auto"/>
              </w:rPr>
            </w:pPr>
            <w:r>
              <w:rPr>
                <w:rFonts w:ascii="Times New Roman" w:cs="Times New Roman" w:eastAsia="Times New Roman" w:hAnsi="Times New Roman"/>
                <w:sz w:val="18"/>
                <w:szCs w:val="18"/>
                <w:color w:val="auto"/>
              </w:rPr>
              <w:t>12.26 %</w:t>
            </w:r>
            <w:r>
              <w:rPr>
                <w:rFonts w:ascii="Times New Roman" w:cs="Times New Roman" w:eastAsia="Times New Roman" w:hAnsi="Times New Roman"/>
                <w:sz w:val="21"/>
                <w:szCs w:val="21"/>
                <w:color w:val="auto"/>
                <w:vertAlign w:val="superscript"/>
              </w:rPr>
              <w:t>(7)</w:t>
            </w:r>
          </w:p>
        </w:tc>
      </w:tr>
      <w:tr>
        <w:trPr>
          <w:trHeight w:val="237"/>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1200" w:type="dxa"/>
            <w:vAlign w:val="bottom"/>
          </w:tcPr>
          <w:p>
            <w:pPr>
              <w:jc w:val="right"/>
              <w:spacing w:after="0" w:line="237" w:lineRule="exact"/>
              <w:rPr>
                <w:sz w:val="20"/>
                <w:szCs w:val="20"/>
                <w:color w:val="auto"/>
              </w:rPr>
            </w:pPr>
            <w:r>
              <w:rPr>
                <w:rFonts w:ascii="Times New Roman" w:cs="Times New Roman" w:eastAsia="Times New Roman" w:hAnsi="Times New Roman"/>
                <w:sz w:val="18"/>
                <w:szCs w:val="18"/>
                <w:color w:val="auto"/>
              </w:rPr>
              <w:t>1.38 %</w:t>
            </w:r>
            <w:r>
              <w:rPr>
                <w:rFonts w:ascii="Times New Roman" w:cs="Times New Roman" w:eastAsia="Times New Roman" w:hAnsi="Times New Roman"/>
                <w:sz w:val="21"/>
                <w:szCs w:val="21"/>
                <w:color w:val="auto"/>
                <w:vertAlign w:val="superscript"/>
              </w:rPr>
              <w:t>(8)</w:t>
            </w:r>
          </w:p>
        </w:tc>
      </w:tr>
      <w:tr>
        <w:trPr>
          <w:trHeight w:val="237"/>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estimated annual expenses</w:t>
            </w:r>
          </w:p>
        </w:tc>
        <w:tc>
          <w:tcPr>
            <w:tcW w:w="1200" w:type="dxa"/>
            <w:vAlign w:val="bottom"/>
            <w:shd w:val="clear" w:color="auto" w:fill="CCEEFF"/>
          </w:tcPr>
          <w:p>
            <w:pPr>
              <w:jc w:val="right"/>
              <w:spacing w:after="0" w:line="237" w:lineRule="exact"/>
              <w:rPr>
                <w:sz w:val="20"/>
                <w:szCs w:val="20"/>
                <w:color w:val="auto"/>
              </w:rPr>
            </w:pPr>
            <w:r>
              <w:rPr>
                <w:rFonts w:ascii="Times New Roman" w:cs="Times New Roman" w:eastAsia="Times New Roman" w:hAnsi="Times New Roman"/>
                <w:sz w:val="18"/>
                <w:szCs w:val="18"/>
                <w:color w:val="auto"/>
              </w:rPr>
              <w:t>26.88 %</w:t>
            </w:r>
            <w:r>
              <w:rPr>
                <w:rFonts w:ascii="Times New Roman" w:cs="Times New Roman" w:eastAsia="Times New Roman" w:hAnsi="Times New Roman"/>
                <w:sz w:val="21"/>
                <w:szCs w:val="21"/>
                <w:color w:val="auto"/>
                <w:vertAlign w:val="superscript"/>
              </w:rPr>
              <w:t>(9)</w:t>
            </w:r>
          </w:p>
        </w:tc>
      </w:tr>
    </w:tbl>
    <w:p>
      <w:pPr>
        <w:spacing w:after="0" w:line="140" w:lineRule="exact"/>
        <w:rPr>
          <w:sz w:val="20"/>
          <w:szCs w:val="20"/>
          <w:color w:val="auto"/>
        </w:rPr>
      </w:pPr>
    </w:p>
    <w:p>
      <w:pPr>
        <w:ind w:left="460" w:right="460" w:hanging="455"/>
        <w:spacing w:after="0" w:line="254"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securities to which any applicable prospectus relates are sold to or through underwriters or agents, a corresponding prospectus supplement will disclose the applicable sales load.</w:t>
      </w:r>
    </w:p>
    <w:p>
      <w:pPr>
        <w:ind w:left="460" w:right="660" w:hanging="455"/>
        <w:spacing w:after="0" w:line="244"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we conduct an offering of our securities, a corresponding prospectus supplement will disclose the estimated amount of offering expenses, the offering price and the offering expenses borne by us as a percentage of the offering price.</w:t>
      </w:r>
    </w:p>
    <w:p>
      <w:pPr>
        <w:ind w:left="460" w:hanging="455"/>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assets attributable to common shares equals average net assets for the fiscal quarter ended March 31, 2024.</w:t>
      </w:r>
    </w:p>
    <w:p>
      <w:pPr>
        <w:spacing w:after="0" w:line="3"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management fee is calculated at an annual rate of 1.00% of our average adjusted gross assets on March 31, 2024.</w:t>
      </w:r>
    </w:p>
    <w:p>
      <w:pPr>
        <w:spacing w:after="0" w:line="3" w:lineRule="exact"/>
        <w:rPr>
          <w:rFonts w:ascii="Times New Roman" w:cs="Times New Roman" w:eastAsia="Times New Roman" w:hAnsi="Times New Roman"/>
          <w:sz w:val="18"/>
          <w:szCs w:val="18"/>
          <w:color w:val="auto"/>
        </w:rPr>
      </w:pPr>
    </w:p>
    <w:p>
      <w:pPr>
        <w:ind w:left="460" w:hanging="455"/>
        <w:spacing w:after="0" w:line="244"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 of incentive fees paid with respect to net investment income and capital gains, if any, is based on actual amounts incurred during the fiscal quarter ended March 31, 2024.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GAAP. As we cannot predict our future net investment income or capital gains, the incentive fee paid in future periods, if any, may be substantially different than the fee earned during the fiscal quarter ended March 31, 2024. For more detailed information about the incentive fee, please see “Item 1. Business—Investment Management Agreement” and “Item 1. Business—Investment Advisory Fees” in our most recent Annual Report on </w:t>
      </w:r>
      <w:hyperlink r:id="rId33">
        <w:r>
          <w:rPr>
            <w:rFonts w:ascii="Times New Roman" w:cs="Times New Roman" w:eastAsia="Times New Roman" w:hAnsi="Times New Roman"/>
            <w:sz w:val="18"/>
            <w:szCs w:val="18"/>
            <w:u w:val="single" w:color="auto"/>
            <w:color w:val="0000EE"/>
          </w:rPr>
          <w:t>Form 10-K</w:t>
        </w:r>
      </w:hyperlink>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2024, we had $168.9 million in borrowings outstanding under the Credit Facility, $185.0 million outstanding under of 2026 Notes,</w:t>
      </w:r>
    </w:p>
    <w:p>
      <w:pPr>
        <w:spacing w:after="0" w:line="3" w:lineRule="exact"/>
        <w:rPr>
          <w:rFonts w:ascii="Times New Roman" w:cs="Times New Roman" w:eastAsia="Times New Roman" w:hAnsi="Times New Roman"/>
          <w:sz w:val="18"/>
          <w:szCs w:val="18"/>
          <w:color w:val="auto"/>
        </w:rPr>
      </w:pPr>
    </w:p>
    <w:p>
      <w:pPr>
        <w:ind w:left="460" w:right="20"/>
        <w:spacing w:after="0" w:line="24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$226.3 million outstanding under the 2031 Asset-Backed Debt and $287.0 million outstanding under the 2036 Asset-Backed Debt. We may use proceeds of an offering of securities under any applicable registration statement to repay outstanding obligations under our existing financing arrangements or other indebtedness. After completing any such offering, we may continue to borrow under our existing financing arrangements to finance our investment objectives.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-2950210</wp:posOffset>
            </wp:positionV>
            <wp:extent cx="7854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00"/>
          </w:cols>
          <w:pgMar w:left="320" w:top="290" w:right="379" w:bottom="1440" w:gutter="0" w:footer="0" w:header="0"/>
        </w:sectPr>
      </w:pPr>
    </w:p>
    <w:bookmarkStart w:id="10" w:name="page11"/>
    <w:bookmarkEnd w:id="10"/>
    <w:p>
      <w:pPr>
        <w:ind w:left="460"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7178040" cy="54610"/>
                    </a:xfrm>
                    <a:prstGeom prst="rect">
                      <a:avLst/>
                    </a:prstGeom>
                    <a:noFill/>
                  </pic:spPr>
                </pic:pic>
              </a:graphicData>
            </a:graphic>
          </wp:anchor>
        </w:drawing>
        <w:t>have estimated the annual interest expense on borrowed funds and we caution you that our actual interest expense in the future will depend on prevailing interest rates and our rate of borrowing, which may be substantially higher than the amount provided in this table.</w:t>
      </w:r>
    </w:p>
    <w:p>
      <w:pPr>
        <w:spacing w:after="0" w:line="1" w:lineRule="exact"/>
        <w:rPr>
          <w:sz w:val="20"/>
          <w:szCs w:val="20"/>
          <w:color w:val="auto"/>
        </w:rPr>
      </w:pPr>
    </w:p>
    <w:p>
      <w:pPr>
        <w:jc w:val="both"/>
        <w:ind w:left="460" w:right="80" w:hanging="455"/>
        <w:spacing w:after="0" w:line="245"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indirectly bear 87.5% of the expenses of our investment in PSSL. No management fee is charged by PennantPark Investment Advisers in connection with PSSL. PSSL pays the Administrator an annual fee of 0.25% of average gross assets under management. For this chart, PSSL fees and operating expenses are based on our share of the actual fees and operating expenses of PSSL for the fiscal quarter ended March 31, 2024, annualized for a full year. Expenses for PSSL may fluctuate over time and may be substantially higher or lower in the future.</w:t>
      </w:r>
    </w:p>
    <w:p>
      <w:pPr>
        <w:spacing w:after="0" w:line="189" w:lineRule="exact"/>
        <w:rPr>
          <w:rFonts w:ascii="Times New Roman" w:cs="Times New Roman" w:eastAsia="Times New Roman" w:hAnsi="Times New Roman"/>
          <w:sz w:val="18"/>
          <w:szCs w:val="18"/>
          <w:color w:val="auto"/>
        </w:rPr>
      </w:pPr>
    </w:p>
    <w:p>
      <w:pPr>
        <w:ind w:left="460" w:right="40"/>
        <w:spacing w:after="0" w:line="24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indirectly bear 23.08% of the expenses of our investment in PTSF. A management fee equal to 0.50% per annum of the gross assets of PTSF and its subsidiaries is charged by PennantPark Investment Advisers in connection with PTSF and the entity is subject to an incentive fee of 20% of residual income proceeds after the internal rate of return on the equity has reached at least 12%. For this chart, PTSF fees and operating expenses are based on our share of the actual fees and operating expenses of PTSF for the fiscal quarter ended March 31, 2024, annualized for a full year. Expenses for PTSF may fluctuate over time and may be substantially higher or lower in the future.</w:t>
      </w:r>
    </w:p>
    <w:p>
      <w:pPr>
        <w:spacing w:after="0" w:line="1" w:lineRule="exact"/>
        <w:rPr>
          <w:rFonts w:ascii="Times New Roman" w:cs="Times New Roman" w:eastAsia="Times New Roman" w:hAnsi="Times New Roman"/>
          <w:sz w:val="18"/>
          <w:szCs w:val="18"/>
          <w:color w:val="auto"/>
        </w:rPr>
      </w:pPr>
    </w:p>
    <w:p>
      <w:pPr>
        <w:ind w:left="460" w:right="20" w:hanging="455"/>
        <w:spacing w:after="0" w:line="244"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includes our general and administrative expenses, professional fees, directors’ fees, insurance costs, taxes and the expenses of the Investment Adviser reimbursable under our Investment Management Agreement and of the Administrator reimbursable under our Administration Agreement. Such expenses are estimated for the current fiscal year based on actual other expenses for the quarter ended March 31, 2024, annualized for a full year.</w:t>
      </w:r>
    </w:p>
    <w:p>
      <w:pPr>
        <w:ind w:left="460" w:hanging="455"/>
        <w:spacing w:after="0" w:line="244"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average net assets (defined as total assets less indebtedness) rather than total assets, which include assets that have been funded with borrowed money. If the “Total estimated annual expenses” percentage were calculated instead as a percentage of total assets, our “Total estimated annual expenses” would be 12.21% of average total assets.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Example</w:t>
      </w:r>
    </w:p>
    <w:p>
      <w:pPr>
        <w:spacing w:after="0" w:line="111" w:lineRule="exact"/>
        <w:rPr>
          <w:sz w:val="20"/>
          <w:szCs w:val="20"/>
          <w:color w:val="auto"/>
        </w:rPr>
      </w:pPr>
    </w:p>
    <w:p>
      <w:pPr>
        <w:ind w:right="60" w:firstLine="450"/>
        <w:spacing w:after="0" w:line="252" w:lineRule="auto"/>
        <w:rPr>
          <w:sz w:val="20"/>
          <w:szCs w:val="20"/>
          <w:color w:val="auto"/>
        </w:rPr>
      </w:pPr>
      <w:r>
        <w:rPr>
          <w:rFonts w:ascii="Times New Roman" w:cs="Times New Roman" w:eastAsia="Times New Roman" w:hAnsi="Times New Roman"/>
          <w:sz w:val="18"/>
          <w:szCs w:val="18"/>
          <w:color w:val="auto"/>
        </w:rPr>
        <w:t>The following example illustrates the projected dollar amount of total cumulative expenses that you would pay on a $1,000 hypothetical investment in common shares, assuming (1) a 3.0% sales load (underwriting discounts and commissions) and offering expenses totaling 0.50%, (2) total net estimated annual expenses of 24.12% of average net assets attributable to common shares as set forth in the table above (other than performance-based incentive fees) and (3) a 5% annual return.</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169"/>
        </w:trPr>
        <w:tc>
          <w:tcPr>
            <w:tcW w:w="6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You would pay the following expenses on a $1,000 common stock investment</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1 Years</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3 Years</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8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10 Years</w:t>
            </w:r>
          </w:p>
        </w:tc>
      </w:tr>
      <w:tr>
        <w:trPr>
          <w:trHeight w:val="192"/>
        </w:trPr>
        <w:tc>
          <w:tcPr>
            <w:tcW w:w="690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Assuming a 5% annual return (assumes no return from net realized capital gains or net</w:t>
            </w:r>
          </w:p>
        </w:tc>
        <w:tc>
          <w:tcPr>
            <w:tcW w:w="3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29"/>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capital appreciation)</w:t>
            </w:r>
          </w:p>
        </w:tc>
        <w:tc>
          <w:tcPr>
            <w:tcW w:w="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246</w:t>
            </w:r>
          </w:p>
        </w:tc>
        <w:tc>
          <w:tcPr>
            <w:tcW w:w="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553</w:t>
            </w:r>
          </w:p>
        </w:tc>
        <w:tc>
          <w:tcPr>
            <w:tcW w:w="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755</w:t>
            </w: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$ 1,004</w:t>
            </w:r>
          </w:p>
        </w:tc>
      </w:tr>
      <w:tr>
        <w:trPr>
          <w:trHeight w:val="192"/>
        </w:trPr>
        <w:tc>
          <w:tcPr>
            <w:tcW w:w="690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Assuming a 5% annual return (assumes return only from realized capital gains and thus subject</w:t>
            </w: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28"/>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the capital gains incentive fee)</w:t>
            </w:r>
          </w:p>
        </w:tc>
        <w:tc>
          <w:tcPr>
            <w:tcW w:w="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253</w:t>
            </w:r>
          </w:p>
        </w:tc>
        <w:tc>
          <w:tcPr>
            <w:tcW w:w="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566</w:t>
            </w:r>
          </w:p>
        </w:tc>
        <w:tc>
          <w:tcPr>
            <w:tcW w:w="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766</w:t>
            </w:r>
          </w:p>
        </w:tc>
        <w:tc>
          <w:tcPr>
            <w:tcW w:w="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$ 1,004</w:t>
            </w:r>
          </w:p>
        </w:tc>
      </w:tr>
    </w:tbl>
    <w:p>
      <w:pPr>
        <w:spacing w:after="0" w:line="193" w:lineRule="exact"/>
        <w:rPr>
          <w:sz w:val="20"/>
          <w:szCs w:val="20"/>
          <w:color w:val="auto"/>
        </w:rPr>
      </w:pPr>
    </w:p>
    <w:p>
      <w:pPr>
        <w:ind w:firstLine="450"/>
        <w:spacing w:after="0" w:line="28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If we were to earn an annual return equal to or less than 5% from net investment income, the incentive fee under our Investment Management Agreement would not be earned or payable. If our returns on our investments, including the realized capital gains, result in an incentive fee, then our expenses would be higher. The example assumes that all distributions are reinvested at NAV. See “Item 5. Market for Registrant’s Common Equity, Related Stockholder Matters and Issuer Purchases of Equity Securities—Distributions” for more information in our most recent Annual Report on </w:t>
      </w:r>
      <w:hyperlink r:id="rId36">
        <w:r>
          <w:rPr>
            <w:rFonts w:ascii="Times New Roman" w:cs="Times New Roman" w:eastAsia="Times New Roman" w:hAnsi="Times New Roman"/>
            <w:sz w:val="16"/>
            <w:szCs w:val="16"/>
            <w:u w:val="single" w:color="auto"/>
            <w:color w:val="0000EE"/>
          </w:rPr>
          <w:t>Form 10-K</w:t>
        </w:r>
      </w:hyperlink>
      <w:r>
        <w:rPr>
          <w:rFonts w:ascii="Times New Roman" w:cs="Times New Roman" w:eastAsia="Times New Roman" w:hAnsi="Times New Roman"/>
          <w:sz w:val="16"/>
          <w:szCs w:val="16"/>
          <w:color w:val="auto"/>
        </w:rPr>
        <w: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292" w:right="339" w:bottom="1440" w:gutter="0" w:footer="0" w:header="0"/>
        </w:sectPr>
      </w:pPr>
    </w:p>
    <w:bookmarkStart w:id="11" w:name="page12"/>
    <w:bookmarkEnd w:id="11"/>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7178040" cy="54610"/>
                    </a:xfrm>
                    <a:prstGeom prst="rect">
                      <a:avLst/>
                    </a:prstGeom>
                    <a:noFill/>
                  </pic:spPr>
                </pic:pic>
              </a:graphicData>
            </a:graphic>
          </wp:anchor>
        </w:drawing>
        <w:t>FINANCIAL HIGHLIGHTS</w:t>
      </w:r>
    </w:p>
    <w:p>
      <w:pPr>
        <w:spacing w:after="0" w:line="216" w:lineRule="exact"/>
        <w:rPr>
          <w:sz w:val="20"/>
          <w:szCs w:val="20"/>
          <w:color w:val="auto"/>
        </w:rPr>
      </w:pPr>
    </w:p>
    <w:p>
      <w:pPr>
        <w:ind w:right="140" w:firstLine="450"/>
        <w:spacing w:after="0" w:line="247"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financial data set forth in the following table as of and for the years ended September 30, 2023, 2022, 2021, 2020, 2019, 2018, 2017, 2016, 2015 and 2014 are derived from our consolidated financial statements, which have been audited by an independent registered public accounting firm for those periods. The financial data set forth in the following table as of and for the six months ended March 31, 2024 is derived from our unaudited consolidated financial statements, but in the opinion of management, reflects all adjustments (consisting only of normal recurring adjustments) that are necessary to present fairly the results of such interim period. Interim results as of and for the six months ended March 31, 2024 are not necessarily indicative of the results that may be expected for the year ending September 30, 2024. This financial data should be read in conjunction with our Consolidated Financial Statements and related notes thereto and “Management’s Discussion and Analysis of Financial Condition and Results of Operations” included in our most recent Annual Report on </w:t>
      </w:r>
      <w:hyperlink r:id="rId2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our most recent Quarterly Report on</w:t>
      </w:r>
      <w:r>
        <w:rPr>
          <w:rFonts w:ascii="Times New Roman" w:cs="Times New Roman" w:eastAsia="Times New Roman" w:hAnsi="Times New Roman"/>
          <w:sz w:val="18"/>
          <w:szCs w:val="18"/>
          <w:color w:val="0000EE"/>
        </w:rPr>
        <w:t xml:space="preserve"> </w:t>
      </w:r>
      <w:hyperlink r:id="rId38">
        <w:r>
          <w:rPr>
            <w:rFonts w:ascii="Times New Roman" w:cs="Times New Roman" w:eastAsia="Times New Roman" w:hAnsi="Times New Roman"/>
            <w:sz w:val="18"/>
            <w:szCs w:val="18"/>
            <w:u w:val="single" w:color="auto"/>
            <w:color w:val="0000EE"/>
          </w:rPr>
          <w:t>Form 10-Q</w:t>
        </w:r>
      </w:hyperlink>
      <w:r>
        <w:rPr>
          <w:rFonts w:ascii="Times New Roman" w:cs="Times New Roman" w:eastAsia="Times New Roman" w:hAnsi="Times New Roman"/>
          <w:sz w:val="18"/>
          <w:szCs w:val="18"/>
          <w:color w:val="000000"/>
        </w:rPr>
        <w: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gridSpan w:val="3"/>
          </w:tcPr>
          <w:p>
            <w:pPr>
              <w:jc w:val="center"/>
              <w:ind w:right="140"/>
              <w:spacing w:after="0" w:line="145" w:lineRule="exact"/>
              <w:rPr>
                <w:sz w:val="20"/>
                <w:szCs w:val="20"/>
                <w:color w:val="auto"/>
              </w:rPr>
            </w:pPr>
            <w:r>
              <w:rPr>
                <w:rFonts w:ascii="Times New Roman" w:cs="Times New Roman" w:eastAsia="Times New Roman" w:hAnsi="Times New Roman"/>
                <w:sz w:val="14"/>
                <w:szCs w:val="14"/>
                <w:b w:val="1"/>
                <w:bCs w:val="1"/>
                <w:color w:val="auto"/>
                <w:w w:val="99"/>
              </w:rPr>
              <w:t>six months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w w:val="98"/>
              </w:rPr>
              <w:t>ended in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gridSpan w:val="3"/>
          </w:tcPr>
          <w:p>
            <w:pPr>
              <w:jc w:val="center"/>
              <w:ind w:right="160"/>
              <w:spacing w:after="0" w:line="14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20" w:type="dxa"/>
            <w:vAlign w:val="bottom"/>
            <w:tcBorders>
              <w:top w:val="single" w:sz="8" w:color="CCEEFF"/>
            </w:tcBorders>
            <w:shd w:val="clear" w:color="auto" w:fill="CCEEFF"/>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Per Share Data:</w:t>
            </w: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right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Net asset value,</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beginning of</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11.13</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11.62</w:t>
            </w:r>
          </w:p>
        </w:tc>
        <w:tc>
          <w:tcPr>
            <w:tcW w:w="200" w:type="dxa"/>
            <w:vAlign w:val="bottom"/>
          </w:tcPr>
          <w:p>
            <w:pPr>
              <w:spacing w:after="0"/>
              <w:rPr>
                <w:sz w:val="12"/>
                <w:szCs w:val="12"/>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12.62</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12.31</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12.97</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13.82</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14.10</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14.06</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13.95</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14.40</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14.10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period</w:t>
            </w:r>
          </w:p>
        </w:tc>
        <w:tc>
          <w:tcPr>
            <w:tcW w:w="8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Net investment</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0.64</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1.33</w:t>
            </w:r>
          </w:p>
        </w:tc>
        <w:tc>
          <w:tcPr>
            <w:tcW w:w="6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1.18</w:t>
            </w:r>
          </w:p>
        </w:tc>
        <w:tc>
          <w:tcPr>
            <w:tcW w:w="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1.12</w:t>
            </w: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1.17</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0.81</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Borders>
              <w:right w:val="single" w:sz="8" w:color="CCEEFF"/>
            </w:tcBorders>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income (1)</w:t>
            </w: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Net realized and</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unrealized (loss)</w:t>
            </w:r>
          </w:p>
        </w:tc>
        <w:tc>
          <w:tcPr>
            <w:tcW w:w="8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0.25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(0.56)</w:t>
            </w:r>
          </w:p>
        </w:tc>
        <w:tc>
          <w:tcPr>
            <w:tcW w:w="60" w:type="dxa"/>
            <w:vAlign w:val="bottom"/>
          </w:tcPr>
          <w:p>
            <w:pPr>
              <w:spacing w:after="0"/>
              <w:rPr>
                <w:sz w:val="12"/>
                <w:szCs w:val="12"/>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(1.10)</w:t>
            </w:r>
          </w:p>
        </w:tc>
        <w:tc>
          <w:tcPr>
            <w:tcW w:w="60" w:type="dxa"/>
            <w:vAlign w:val="bottom"/>
          </w:tcPr>
          <w:p>
            <w:pPr>
              <w:spacing w:after="0"/>
              <w:rPr>
                <w:sz w:val="12"/>
                <w:szCs w:val="12"/>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0.44</w:t>
            </w:r>
          </w:p>
        </w:tc>
        <w:tc>
          <w:tcPr>
            <w:tcW w:w="80" w:type="dxa"/>
            <w:vAlign w:val="bottom"/>
          </w:tcPr>
          <w:p>
            <w:pPr>
              <w:spacing w:after="0"/>
              <w:rPr>
                <w:sz w:val="12"/>
                <w:szCs w:val="12"/>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(0.65)</w:t>
            </w:r>
          </w:p>
        </w:tc>
        <w:tc>
          <w:tcPr>
            <w:tcW w:w="8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(0.88)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0.06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0.10</w:t>
            </w:r>
          </w:p>
        </w:tc>
        <w:tc>
          <w:tcPr>
            <w:tcW w:w="100" w:type="dxa"/>
            <w:vAlign w:val="bottom"/>
          </w:tcPr>
          <w:p>
            <w:pPr>
              <w:spacing w:after="0"/>
              <w:rPr>
                <w:sz w:val="12"/>
                <w:szCs w:val="12"/>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0.23</w:t>
            </w:r>
          </w:p>
        </w:tc>
        <w:tc>
          <w:tcPr>
            <w:tcW w:w="80" w:type="dxa"/>
            <w:vAlign w:val="bottom"/>
          </w:tcPr>
          <w:p>
            <w:pPr>
              <w:spacing w:after="0"/>
              <w:rPr>
                <w:sz w:val="12"/>
                <w:szCs w:val="12"/>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(0.31)</w:t>
            </w:r>
          </w:p>
        </w:tc>
        <w:tc>
          <w:tcPr>
            <w:tcW w:w="8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0.26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gain (1)</w:t>
            </w: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Net increase in net</w:t>
            </w: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assets resulting</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from</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0.89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0.77</w:t>
            </w:r>
          </w:p>
        </w:tc>
        <w:tc>
          <w:tcPr>
            <w:tcW w:w="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0.08</w:t>
            </w:r>
          </w:p>
        </w:tc>
        <w:tc>
          <w:tcPr>
            <w:tcW w:w="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1.46</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0.47</w:t>
            </w: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0.29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0.87</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0.77</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operations (1)</w:t>
            </w: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Distribution of net</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investment</w:t>
            </w:r>
          </w:p>
        </w:tc>
        <w:tc>
          <w:tcPr>
            <w:tcW w:w="80" w:type="dxa"/>
            <w:vAlign w:val="bottom"/>
          </w:tcPr>
          <w:p>
            <w:pPr>
              <w:spacing w:after="0"/>
              <w:rPr>
                <w:sz w:val="12"/>
                <w:szCs w:val="12"/>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(0.62)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(1.19)</w:t>
            </w:r>
          </w:p>
        </w:tc>
        <w:tc>
          <w:tcPr>
            <w:tcW w:w="60" w:type="dxa"/>
            <w:vAlign w:val="bottom"/>
          </w:tcPr>
          <w:p>
            <w:pPr>
              <w:spacing w:after="0"/>
              <w:rPr>
                <w:sz w:val="12"/>
                <w:szCs w:val="12"/>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(1.14)</w:t>
            </w:r>
          </w:p>
        </w:tc>
        <w:tc>
          <w:tcPr>
            <w:tcW w:w="6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tcPr>
          <w:p>
            <w:pPr>
              <w:spacing w:after="0"/>
              <w:rPr>
                <w:sz w:val="12"/>
                <w:szCs w:val="12"/>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(1.03)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(1.13)</w:t>
            </w:r>
          </w:p>
        </w:tc>
        <w:tc>
          <w:tcPr>
            <w:tcW w:w="80" w:type="dxa"/>
            <w:vAlign w:val="bottom"/>
          </w:tcPr>
          <w:p>
            <w:pPr>
              <w:spacing w:after="0"/>
              <w:rPr>
                <w:sz w:val="12"/>
                <w:szCs w:val="12"/>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(0.98)</w:t>
            </w:r>
          </w:p>
        </w:tc>
        <w:tc>
          <w:tcPr>
            <w:tcW w:w="80" w:type="dxa"/>
            <w:vAlign w:val="bottom"/>
          </w:tcPr>
          <w:p>
            <w:pPr>
              <w:spacing w:after="0"/>
              <w:rPr>
                <w:sz w:val="12"/>
                <w:szCs w:val="12"/>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(0.84)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income</w:t>
            </w: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Distribution of</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(0.11)</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right w:val="single" w:sz="8" w:color="CCEEFF"/>
            </w:tcBorders>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(0.01)</w:t>
            </w: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(0.18)</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(0.24)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realized gains</w:t>
            </w: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4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color w:val="auto"/>
              </w:rPr>
              <w:t>Total distributions</w:t>
            </w: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to</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stockholders (1),</w:t>
            </w:r>
          </w:p>
        </w:tc>
        <w:tc>
          <w:tcPr>
            <w:tcW w:w="80" w:type="dxa"/>
            <w:vAlign w:val="bottom"/>
          </w:tcPr>
          <w:p>
            <w:pPr>
              <w:spacing w:after="0"/>
              <w:rPr>
                <w:sz w:val="12"/>
                <w:szCs w:val="12"/>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(0.62)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(1.19)</w:t>
            </w:r>
          </w:p>
        </w:tc>
        <w:tc>
          <w:tcPr>
            <w:tcW w:w="60" w:type="dxa"/>
            <w:vAlign w:val="bottom"/>
          </w:tcPr>
          <w:p>
            <w:pPr>
              <w:spacing w:after="0"/>
              <w:rPr>
                <w:sz w:val="12"/>
                <w:szCs w:val="12"/>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(1.14)</w:t>
            </w:r>
          </w:p>
        </w:tc>
        <w:tc>
          <w:tcPr>
            <w:tcW w:w="6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tcPr>
          <w:p>
            <w:pPr>
              <w:spacing w:after="0"/>
              <w:rPr>
                <w:sz w:val="12"/>
                <w:szCs w:val="12"/>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tcPr>
          <w:p>
            <w:pPr>
              <w:spacing w:after="0"/>
              <w:rPr>
                <w:sz w:val="12"/>
                <w:szCs w:val="12"/>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tcPr>
          <w:p>
            <w:pPr>
              <w:spacing w:after="0"/>
              <w:rPr>
                <w:sz w:val="12"/>
                <w:szCs w:val="12"/>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74"/>
        </w:trPr>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Accretive</w:t>
            </w: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(dilutive) effect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of common</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stock issuance</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and acquisition</w:t>
            </w:r>
          </w:p>
        </w:tc>
        <w:tc>
          <w:tcPr>
            <w:tcW w:w="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vMerge w:val="restart"/>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(0.08)</w:t>
            </w:r>
          </w:p>
        </w:tc>
        <w:tc>
          <w:tcPr>
            <w:tcW w:w="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0.06</w:t>
            </w:r>
          </w:p>
        </w:tc>
        <w:tc>
          <w:tcPr>
            <w:tcW w:w="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(0.01)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(0.06)</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of MCG (1)</w:t>
            </w:r>
          </w:p>
        </w:tc>
        <w:tc>
          <w:tcPr>
            <w:tcW w:w="8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Net asset value,</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11.40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11.13</w:t>
            </w:r>
          </w:p>
        </w:tc>
        <w:tc>
          <w:tcPr>
            <w:tcW w:w="200" w:type="dxa"/>
            <w:vAlign w:val="bottom"/>
          </w:tcPr>
          <w:p>
            <w:pPr>
              <w:spacing w:after="0"/>
              <w:rPr>
                <w:sz w:val="11"/>
                <w:szCs w:val="11"/>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11.62</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12.62</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12.31</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12.97</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13.82</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14.10</w:t>
            </w:r>
          </w:p>
        </w:tc>
        <w:tc>
          <w:tcPr>
            <w:tcW w:w="100" w:type="dxa"/>
            <w:vAlign w:val="bottom"/>
          </w:tcPr>
          <w:p>
            <w:pPr>
              <w:spacing w:after="0"/>
              <w:rPr>
                <w:sz w:val="11"/>
                <w:szCs w:val="11"/>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14.06</w:t>
            </w:r>
          </w:p>
        </w:tc>
        <w:tc>
          <w:tcPr>
            <w:tcW w:w="80" w:type="dxa"/>
            <w:vAlign w:val="bottom"/>
          </w:tcPr>
          <w:p>
            <w:pPr>
              <w:spacing w:after="0"/>
              <w:rPr>
                <w:sz w:val="11"/>
                <w:szCs w:val="11"/>
                <w:color w:val="auto"/>
              </w:rPr>
            </w:pPr>
          </w:p>
        </w:tc>
        <w:tc>
          <w:tcPr>
            <w:tcW w:w="8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13.95</w:t>
            </w:r>
          </w:p>
        </w:tc>
        <w:tc>
          <w:tcPr>
            <w:tcW w:w="8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14.40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end of period</w:t>
            </w: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Per share market</w:t>
            </w: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value, end of</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11.38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10.66</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9.60</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12.79</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8.44</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11.60</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13.15</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14.48</w:t>
            </w:r>
          </w:p>
        </w:tc>
        <w:tc>
          <w:tcPr>
            <w:tcW w:w="10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13.23</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11.94</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13.78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period</w:t>
            </w: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Total return*(3)</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1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40"/>
              <w:spacing w:after="0" w:line="151" w:lineRule="exact"/>
              <w:rPr>
                <w:sz w:val="20"/>
                <w:szCs w:val="20"/>
                <w:color w:val="auto"/>
              </w:rPr>
            </w:pPr>
            <w:r>
              <w:rPr>
                <w:rFonts w:ascii="Times New Roman" w:cs="Times New Roman" w:eastAsia="Times New Roman" w:hAnsi="Times New Roman"/>
                <w:sz w:val="14"/>
                <w:szCs w:val="14"/>
                <w:color w:val="auto"/>
              </w:rPr>
              <w:t>12.76%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80"/>
              <w:spacing w:after="0" w:line="151" w:lineRule="exact"/>
              <w:rPr>
                <w:sz w:val="20"/>
                <w:szCs w:val="20"/>
                <w:color w:val="auto"/>
              </w:rPr>
            </w:pPr>
            <w:r>
              <w:rPr>
                <w:rFonts w:ascii="Times New Roman" w:cs="Times New Roman" w:eastAsia="Times New Roman" w:hAnsi="Times New Roman"/>
                <w:sz w:val="14"/>
                <w:szCs w:val="14"/>
                <w:color w:val="auto"/>
              </w:rPr>
              <w:t>23.84%</w:t>
            </w:r>
          </w:p>
        </w:tc>
        <w:tc>
          <w:tcPr>
            <w:tcW w:w="60" w:type="dxa"/>
            <w:vAlign w:val="bottom"/>
          </w:tcPr>
          <w:p>
            <w:pPr>
              <w:spacing w:after="0"/>
              <w:rPr>
                <w:sz w:val="13"/>
                <w:szCs w:val="13"/>
                <w:color w:val="auto"/>
              </w:rPr>
            </w:pPr>
          </w:p>
        </w:tc>
        <w:tc>
          <w:tcPr>
            <w:tcW w:w="900" w:type="dxa"/>
            <w:vAlign w:val="bottom"/>
            <w:gridSpan w:val="2"/>
          </w:tcPr>
          <w:p>
            <w:pPr>
              <w:jc w:val="right"/>
              <w:ind w:right="100"/>
              <w:spacing w:after="0" w:line="151" w:lineRule="exact"/>
              <w:rPr>
                <w:sz w:val="20"/>
                <w:szCs w:val="20"/>
                <w:color w:val="auto"/>
              </w:rPr>
            </w:pPr>
            <w:r>
              <w:rPr>
                <w:rFonts w:ascii="Times New Roman" w:cs="Times New Roman" w:eastAsia="Times New Roman" w:hAnsi="Times New Roman"/>
                <w:sz w:val="14"/>
                <w:szCs w:val="14"/>
                <w:color w:val="auto"/>
              </w:rPr>
              <w:t>(17.76)%</w:t>
            </w:r>
          </w:p>
        </w:tc>
        <w:tc>
          <w:tcPr>
            <w:tcW w:w="60" w:type="dxa"/>
            <w:vAlign w:val="bottom"/>
          </w:tcPr>
          <w:p>
            <w:pPr>
              <w:spacing w:after="0"/>
              <w:rPr>
                <w:sz w:val="13"/>
                <w:szCs w:val="13"/>
                <w:color w:val="auto"/>
              </w:rPr>
            </w:pPr>
          </w:p>
        </w:tc>
        <w:tc>
          <w:tcPr>
            <w:tcW w:w="840" w:type="dxa"/>
            <w:vAlign w:val="bottom"/>
            <w:gridSpan w:val="2"/>
          </w:tcPr>
          <w:p>
            <w:pPr>
              <w:jc w:val="right"/>
              <w:ind w:right="80"/>
              <w:spacing w:after="0" w:line="151" w:lineRule="exact"/>
              <w:rPr>
                <w:sz w:val="20"/>
                <w:szCs w:val="20"/>
                <w:color w:val="auto"/>
              </w:rPr>
            </w:pPr>
            <w:r>
              <w:rPr>
                <w:rFonts w:ascii="Times New Roman" w:cs="Times New Roman" w:eastAsia="Times New Roman" w:hAnsi="Times New Roman"/>
                <w:sz w:val="14"/>
                <w:szCs w:val="14"/>
                <w:color w:val="auto"/>
              </w:rPr>
              <w:t>66.47%</w:t>
            </w:r>
          </w:p>
        </w:tc>
        <w:tc>
          <w:tcPr>
            <w:tcW w:w="80" w:type="dxa"/>
            <w:vAlign w:val="bottom"/>
          </w:tcPr>
          <w:p>
            <w:pPr>
              <w:spacing w:after="0"/>
              <w:rPr>
                <w:sz w:val="13"/>
                <w:szCs w:val="13"/>
                <w:color w:val="auto"/>
              </w:rPr>
            </w:pPr>
          </w:p>
        </w:tc>
        <w:tc>
          <w:tcPr>
            <w:tcW w:w="880" w:type="dxa"/>
            <w:vAlign w:val="bottom"/>
            <w:gridSpan w:val="2"/>
          </w:tcPr>
          <w:p>
            <w:pPr>
              <w:jc w:val="right"/>
              <w:ind w:right="80"/>
              <w:spacing w:after="0" w:line="151" w:lineRule="exact"/>
              <w:rPr>
                <w:sz w:val="20"/>
                <w:szCs w:val="20"/>
                <w:color w:val="auto"/>
              </w:rPr>
            </w:pPr>
            <w:r>
              <w:rPr>
                <w:rFonts w:ascii="Times New Roman" w:cs="Times New Roman" w:eastAsia="Times New Roman" w:hAnsi="Times New Roman"/>
                <w:sz w:val="14"/>
                <w:szCs w:val="14"/>
                <w:color w:val="auto"/>
              </w:rPr>
              <w:t>(17.15)%</w:t>
            </w:r>
          </w:p>
        </w:tc>
        <w:tc>
          <w:tcPr>
            <w:tcW w:w="80" w:type="dxa"/>
            <w:vAlign w:val="bottom"/>
          </w:tcPr>
          <w:p>
            <w:pPr>
              <w:spacing w:after="0"/>
              <w:rPr>
                <w:sz w:val="13"/>
                <w:szCs w:val="13"/>
                <w:color w:val="auto"/>
              </w:rPr>
            </w:pPr>
          </w:p>
        </w:tc>
        <w:tc>
          <w:tcPr>
            <w:tcW w:w="840" w:type="dxa"/>
            <w:vAlign w:val="bottom"/>
            <w:gridSpan w:val="2"/>
          </w:tcPr>
          <w:p>
            <w:pPr>
              <w:jc w:val="right"/>
              <w:ind w:right="40"/>
              <w:spacing w:after="0" w:line="151" w:lineRule="exact"/>
              <w:rPr>
                <w:sz w:val="20"/>
                <w:szCs w:val="20"/>
                <w:color w:val="auto"/>
              </w:rPr>
            </w:pPr>
            <w:r>
              <w:rPr>
                <w:rFonts w:ascii="Times New Roman" w:cs="Times New Roman" w:eastAsia="Times New Roman" w:hAnsi="Times New Roman"/>
                <w:sz w:val="14"/>
                <w:szCs w:val="14"/>
                <w:color w:val="auto"/>
              </w:rPr>
              <w:t>(3.20)%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40"/>
              <w:spacing w:after="0" w:line="151" w:lineRule="exact"/>
              <w:rPr>
                <w:sz w:val="20"/>
                <w:szCs w:val="20"/>
                <w:color w:val="auto"/>
              </w:rPr>
            </w:pPr>
            <w:r>
              <w:rPr>
                <w:rFonts w:ascii="Times New Roman" w:cs="Times New Roman" w:eastAsia="Times New Roman" w:hAnsi="Times New Roman"/>
                <w:sz w:val="14"/>
                <w:szCs w:val="14"/>
                <w:color w:val="auto"/>
              </w:rPr>
              <w:t>(1.29)%</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40"/>
              <w:spacing w:after="0" w:line="151" w:lineRule="exact"/>
              <w:rPr>
                <w:sz w:val="20"/>
                <w:szCs w:val="20"/>
                <w:color w:val="auto"/>
              </w:rPr>
            </w:pPr>
            <w:r>
              <w:rPr>
                <w:rFonts w:ascii="Times New Roman" w:cs="Times New Roman" w:eastAsia="Times New Roman" w:hAnsi="Times New Roman"/>
                <w:sz w:val="14"/>
                <w:szCs w:val="14"/>
                <w:color w:val="auto"/>
              </w:rPr>
              <w:t>18.71%</w:t>
            </w:r>
          </w:p>
        </w:tc>
        <w:tc>
          <w:tcPr>
            <w:tcW w:w="100" w:type="dxa"/>
            <w:vAlign w:val="bottom"/>
          </w:tcPr>
          <w:p>
            <w:pPr>
              <w:spacing w:after="0"/>
              <w:rPr>
                <w:sz w:val="13"/>
                <w:szCs w:val="13"/>
                <w:color w:val="auto"/>
              </w:rPr>
            </w:pPr>
          </w:p>
        </w:tc>
        <w:tc>
          <w:tcPr>
            <w:tcW w:w="840" w:type="dxa"/>
            <w:vAlign w:val="bottom"/>
            <w:gridSpan w:val="2"/>
          </w:tcPr>
          <w:p>
            <w:pPr>
              <w:jc w:val="right"/>
              <w:ind w:right="80"/>
              <w:spacing w:after="0" w:line="151" w:lineRule="exact"/>
              <w:rPr>
                <w:sz w:val="20"/>
                <w:szCs w:val="20"/>
                <w:color w:val="auto"/>
              </w:rPr>
            </w:pPr>
            <w:r>
              <w:rPr>
                <w:rFonts w:ascii="Times New Roman" w:cs="Times New Roman" w:eastAsia="Times New Roman" w:hAnsi="Times New Roman"/>
                <w:sz w:val="14"/>
                <w:szCs w:val="14"/>
                <w:color w:val="auto"/>
              </w:rPr>
              <w:t>21.77%</w:t>
            </w:r>
          </w:p>
        </w:tc>
        <w:tc>
          <w:tcPr>
            <w:tcW w:w="80" w:type="dxa"/>
            <w:vAlign w:val="bottom"/>
          </w:tcPr>
          <w:p>
            <w:pPr>
              <w:spacing w:after="0"/>
              <w:rPr>
                <w:sz w:val="13"/>
                <w:szCs w:val="13"/>
                <w:color w:val="auto"/>
              </w:rPr>
            </w:pPr>
          </w:p>
        </w:tc>
        <w:tc>
          <w:tcPr>
            <w:tcW w:w="880" w:type="dxa"/>
            <w:vAlign w:val="bottom"/>
            <w:gridSpan w:val="2"/>
          </w:tcPr>
          <w:p>
            <w:pPr>
              <w:jc w:val="right"/>
              <w:ind w:right="80"/>
              <w:spacing w:after="0" w:line="151" w:lineRule="exact"/>
              <w:rPr>
                <w:sz w:val="20"/>
                <w:szCs w:val="20"/>
                <w:color w:val="auto"/>
              </w:rPr>
            </w:pPr>
            <w:r>
              <w:rPr>
                <w:rFonts w:ascii="Times New Roman" w:cs="Times New Roman" w:eastAsia="Times New Roman" w:hAnsi="Times New Roman"/>
                <w:sz w:val="14"/>
                <w:szCs w:val="14"/>
                <w:color w:val="auto"/>
              </w:rPr>
              <w:t>(6.01)%</w:t>
            </w:r>
          </w:p>
        </w:tc>
        <w:tc>
          <w:tcPr>
            <w:tcW w:w="80" w:type="dxa"/>
            <w:vAlign w:val="bottom"/>
          </w:tcPr>
          <w:p>
            <w:pPr>
              <w:spacing w:after="0"/>
              <w:rPr>
                <w:sz w:val="13"/>
                <w:szCs w:val="13"/>
                <w:color w:val="auto"/>
              </w:rPr>
            </w:pPr>
          </w:p>
        </w:tc>
        <w:tc>
          <w:tcPr>
            <w:tcW w:w="780" w:type="dxa"/>
            <w:vAlign w:val="bottom"/>
            <w:gridSpan w:val="2"/>
          </w:tcPr>
          <w:p>
            <w:pPr>
              <w:jc w:val="right"/>
              <w:ind w:right="40"/>
              <w:spacing w:after="0" w:line="151" w:lineRule="exact"/>
              <w:rPr>
                <w:sz w:val="20"/>
                <w:szCs w:val="20"/>
                <w:color w:val="auto"/>
              </w:rPr>
            </w:pPr>
            <w:r>
              <w:rPr>
                <w:rFonts w:ascii="Times New Roman" w:cs="Times New Roman" w:eastAsia="Times New Roman" w:hAnsi="Times New Roman"/>
                <w:sz w:val="14"/>
                <w:szCs w:val="14"/>
                <w:color w:val="auto"/>
              </w:rPr>
              <w:t>8.05%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11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Shares outstanding</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5"/>
              </w:rPr>
              <w:t>63,228,138</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58,734,702</w:t>
            </w: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w w:val="98"/>
              </w:rPr>
              <w:t>45,345,638</w:t>
            </w:r>
          </w:p>
        </w:tc>
        <w:tc>
          <w:tcPr>
            <w:tcW w:w="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98"/>
              </w:rPr>
              <w:t>38,880,728</w:t>
            </w: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98"/>
              </w:rPr>
              <w:t>38,772,074</w:t>
            </w: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38,772,074</w:t>
            </w: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38,772,074</w:t>
            </w: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32,480,074</w:t>
            </w:r>
          </w:p>
        </w:tc>
        <w:tc>
          <w:tcPr>
            <w:tcW w:w="16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98"/>
              </w:rPr>
              <w:t>26,730,074</w:t>
            </w: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w w:val="95"/>
              </w:rPr>
              <w:t>26,730,074</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8"/>
              </w:rPr>
              <w:t>14,898,056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at end of period</w:t>
            </w: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140" w:type="dxa"/>
            <w:vAlign w:val="bottom"/>
            <w:gridSpan w:val="2"/>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Ratios**/</w:t>
            </w: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b w:val="1"/>
                <w:bCs w:val="1"/>
                <w:color w:val="auto"/>
              </w:rPr>
              <w:t>Supplemental</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Data:</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Ratio of operating</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expenses to</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average net</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5.97%</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5.90%</w:t>
            </w:r>
          </w:p>
        </w:tc>
        <w:tc>
          <w:tcPr>
            <w:tcW w:w="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5.34%</w:t>
            </w:r>
          </w:p>
        </w:tc>
        <w:tc>
          <w:tcPr>
            <w:tcW w:w="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3.77%</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5.19%</w:t>
            </w: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3.94%</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4.13%</w:t>
            </w:r>
          </w:p>
        </w:tc>
        <w:tc>
          <w:tcPr>
            <w:tcW w:w="10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3.56%</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3.01%</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4.45%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assets (4)</w:t>
            </w: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Ratio of debt</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related expenses</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to average net</w:t>
            </w:r>
          </w:p>
        </w:tc>
        <w:tc>
          <w:tcPr>
            <w:tcW w:w="80" w:type="dxa"/>
            <w:vAlign w:val="bottom"/>
          </w:tcPr>
          <w:p>
            <w:pPr>
              <w:spacing w:after="0"/>
              <w:rPr>
                <w:sz w:val="12"/>
                <w:szCs w:val="12"/>
                <w:color w:val="auto"/>
              </w:rPr>
            </w:pP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7.00%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6.68%</w:t>
            </w:r>
          </w:p>
        </w:tc>
        <w:tc>
          <w:tcPr>
            <w:tcW w:w="60" w:type="dxa"/>
            <w:vAlign w:val="bottom"/>
          </w:tcPr>
          <w:p>
            <w:pPr>
              <w:spacing w:after="0"/>
              <w:rPr>
                <w:sz w:val="12"/>
                <w:szCs w:val="12"/>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5.85%</w:t>
            </w:r>
          </w:p>
        </w:tc>
        <w:tc>
          <w:tcPr>
            <w:tcW w:w="60" w:type="dxa"/>
            <w:vAlign w:val="bottom"/>
          </w:tcPr>
          <w:p>
            <w:pPr>
              <w:spacing w:after="0"/>
              <w:rPr>
                <w:sz w:val="12"/>
                <w:szCs w:val="12"/>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5.63%</w:t>
            </w:r>
          </w:p>
        </w:tc>
        <w:tc>
          <w:tcPr>
            <w:tcW w:w="80" w:type="dxa"/>
            <w:vAlign w:val="bottom"/>
          </w:tcPr>
          <w:p>
            <w:pPr>
              <w:spacing w:after="0"/>
              <w:rPr>
                <w:sz w:val="12"/>
                <w:szCs w:val="12"/>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5.21%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4.73%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tcPr>
          <w:p>
            <w:pPr>
              <w:spacing w:after="0"/>
              <w:rPr>
                <w:sz w:val="12"/>
                <w:szCs w:val="12"/>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1.58%</w:t>
            </w:r>
          </w:p>
        </w:tc>
        <w:tc>
          <w:tcPr>
            <w:tcW w:w="8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2.34%</w:t>
            </w:r>
          </w:p>
        </w:tc>
        <w:tc>
          <w:tcPr>
            <w:tcW w:w="80" w:type="dxa"/>
            <w:vAlign w:val="bottom"/>
          </w:tcPr>
          <w:p>
            <w:pPr>
              <w:spacing w:after="0"/>
              <w:rPr>
                <w:sz w:val="12"/>
                <w:szCs w:val="12"/>
                <w:color w:val="auto"/>
              </w:rPr>
            </w:pP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1.95%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assets (5)</w:t>
            </w: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Ratio of total</w:t>
            </w: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expenses to</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average net</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12.97%</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12.58%</w:t>
            </w:r>
          </w:p>
        </w:tc>
        <w:tc>
          <w:tcPr>
            <w:tcW w:w="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11.19%</w:t>
            </w:r>
          </w:p>
        </w:tc>
        <w:tc>
          <w:tcPr>
            <w:tcW w:w="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8.77%</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10.82%</w:t>
            </w: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9.15%</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7.74%</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6.11%</w:t>
            </w:r>
          </w:p>
        </w:tc>
        <w:tc>
          <w:tcPr>
            <w:tcW w:w="10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5.14%</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5.35%</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6.40%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assets (5)</w:t>
            </w: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Ratio of net</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investment</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income to</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average net</w:t>
            </w:r>
          </w:p>
        </w:tc>
        <w:tc>
          <w:tcPr>
            <w:tcW w:w="80" w:type="dxa"/>
            <w:vAlign w:val="bottom"/>
          </w:tcPr>
          <w:p>
            <w:pPr>
              <w:spacing w:after="0"/>
              <w:rPr>
                <w:sz w:val="12"/>
                <w:szCs w:val="12"/>
                <w:color w:val="auto"/>
              </w:rPr>
            </w:pP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11.42%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11.82%</w:t>
            </w:r>
          </w:p>
        </w:tc>
        <w:tc>
          <w:tcPr>
            <w:tcW w:w="60" w:type="dxa"/>
            <w:vAlign w:val="bottom"/>
          </w:tcPr>
          <w:p>
            <w:pPr>
              <w:spacing w:after="0"/>
              <w:rPr>
                <w:sz w:val="12"/>
                <w:szCs w:val="12"/>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9.55%</w:t>
            </w:r>
          </w:p>
        </w:tc>
        <w:tc>
          <w:tcPr>
            <w:tcW w:w="60" w:type="dxa"/>
            <w:vAlign w:val="bottom"/>
          </w:tcPr>
          <w:p>
            <w:pPr>
              <w:spacing w:after="0"/>
              <w:rPr>
                <w:sz w:val="12"/>
                <w:szCs w:val="12"/>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8.07%</w:t>
            </w:r>
          </w:p>
        </w:tc>
        <w:tc>
          <w:tcPr>
            <w:tcW w:w="8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9.00%</w:t>
            </w:r>
          </w:p>
        </w:tc>
        <w:tc>
          <w:tcPr>
            <w:tcW w:w="80" w:type="dxa"/>
            <w:vAlign w:val="bottom"/>
          </w:tcPr>
          <w:p>
            <w:pPr>
              <w:spacing w:after="0"/>
              <w:rPr>
                <w:sz w:val="12"/>
                <w:szCs w:val="12"/>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8.76%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5.81%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7.85%</w:t>
            </w:r>
          </w:p>
        </w:tc>
        <w:tc>
          <w:tcPr>
            <w:tcW w:w="100" w:type="dxa"/>
            <w:vAlign w:val="bottom"/>
          </w:tcPr>
          <w:p>
            <w:pPr>
              <w:spacing w:after="0"/>
              <w:rPr>
                <w:sz w:val="12"/>
                <w:szCs w:val="12"/>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7.42%</w:t>
            </w:r>
          </w:p>
        </w:tc>
        <w:tc>
          <w:tcPr>
            <w:tcW w:w="8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7.43%</w:t>
            </w:r>
          </w:p>
        </w:tc>
        <w:tc>
          <w:tcPr>
            <w:tcW w:w="80" w:type="dxa"/>
            <w:vAlign w:val="bottom"/>
          </w:tcPr>
          <w:p>
            <w:pPr>
              <w:spacing w:after="0"/>
              <w:rPr>
                <w:sz w:val="12"/>
                <w:szCs w:val="12"/>
                <w:color w:val="auto"/>
              </w:rPr>
            </w:pP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7.77%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assets (5)</w:t>
            </w: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Net assets at end of</w:t>
            </w: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period</w:t>
            </w: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720,711</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653,605</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527,092</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490,611</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477,270</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503,057</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535,842</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457,906</w:t>
            </w:r>
          </w:p>
        </w:tc>
        <w:tc>
          <w:tcPr>
            <w:tcW w:w="1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375,907</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372,890</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214,528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tcBorders>
              <w:right w:val="single" w:sz="8" w:color="CCEEFF"/>
            </w:tcBorders>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4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color w:val="auto"/>
              </w:rPr>
              <w:t>Weighted average</w:t>
            </w: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debt outstanding</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667,111</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615,068</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698,765</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622,739</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737,209</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512,135</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354,322</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269,320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140,218</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123,924</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147,599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Weighted average</w:t>
            </w: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debt per</w:t>
            </w: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11.13</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12.10</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17.06</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16.06</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19.01</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13.21</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9.25</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8.90</w:t>
            </w:r>
          </w:p>
        </w:tc>
        <w:tc>
          <w:tcPr>
            <w:tcW w:w="1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5.25</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7.61</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9.91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 (1)</w:t>
            </w:r>
          </w:p>
        </w:tc>
        <w:tc>
          <w:tcPr>
            <w:tcW w:w="8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tcBorders>
              <w:right w:val="single" w:sz="8" w:color="CCEEFF"/>
            </w:tcBorders>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Asset coverage per</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1,825</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2,304</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1,784</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1,746</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1,677</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1,786</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2,122</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2,780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2,601</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13,598</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2,469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unit (6)</w:t>
            </w:r>
          </w:p>
        </w:tc>
        <w:tc>
          <w:tcPr>
            <w:tcW w:w="8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Portfolio turnover</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17.58%</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28.64%</w:t>
            </w:r>
          </w:p>
        </w:tc>
        <w:tc>
          <w:tcPr>
            <w:tcW w:w="6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45.03%</w:t>
            </w:r>
          </w:p>
        </w:tc>
        <w:tc>
          <w:tcPr>
            <w:tcW w:w="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62.58%</w:t>
            </w: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35.08%</w:t>
            </w: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52.64%</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47.15%</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59.70%</w:t>
            </w:r>
          </w:p>
        </w:tc>
        <w:tc>
          <w:tcPr>
            <w:tcW w:w="100" w:type="dxa"/>
            <w:vAlign w:val="bottom"/>
            <w:tcBorders>
              <w:right w:val="single" w:sz="8" w:color="CCEEFF"/>
            </w:tcBorders>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32.16%</w:t>
            </w: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51.02%</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62.74%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ratio</w:t>
            </w: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ectPr>
          <w:pgSz w:w="11900" w:h="16838" w:orient="portrait"/>
          <w:cols w:equalWidth="0" w:num="1">
            <w:col w:w="11340"/>
          </w:cols>
          <w:pgMar w:left="320" w:top="290" w:right="239" w:bottom="1440" w:gutter="0" w:footer="0" w:header="0"/>
        </w:sectPr>
      </w:pPr>
    </w:p>
    <w:p>
      <w:pPr>
        <w:jc w:val="center"/>
        <w:ind w:right="10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340"/>
          </w:cols>
          <w:pgMar w:left="320" w:top="290" w:right="2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7178040" cy="54610"/>
                    </a:xfrm>
                    <a:prstGeom prst="rect">
                      <a:avLst/>
                    </a:prstGeom>
                    <a:noFill/>
                  </pic:spPr>
                </pic:pic>
              </a:graphicData>
            </a:graphic>
          </wp:anchor>
        </w:drawing>
        <w:t>Note: The expense and investment income ratios above do not reflect the Company’s proportionate share of income and expenses of PSSL and PTSF.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7854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168" w:lineRule="exact"/>
        <w:rPr>
          <w:sz w:val="20"/>
          <w:szCs w:val="20"/>
          <w:color w:val="auto"/>
        </w:rPr>
      </w:pPr>
    </w:p>
    <w:p>
      <w:pPr>
        <w:ind w:left="460" w:hanging="455"/>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annualized for periods less than one year.</w:t>
      </w:r>
    </w:p>
    <w:p>
      <w:pPr>
        <w:spacing w:after="0" w:line="21" w:lineRule="exact"/>
        <w:rPr>
          <w:sz w:val="20"/>
          <w:szCs w:val="20"/>
          <w:color w:val="auto"/>
        </w:rPr>
      </w:pPr>
    </w:p>
    <w:p>
      <w:pPr>
        <w:ind w:left="460" w:hanging="455"/>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Re-occuring investment income and expenses included in these ratios are annualized for periods less than one year.</w:t>
      </w:r>
    </w:p>
    <w:p>
      <w:pPr>
        <w:spacing w:after="0" w:line="4" w:lineRule="exact"/>
        <w:rPr>
          <w:sz w:val="20"/>
          <w:szCs w:val="20"/>
          <w:color w:val="auto"/>
        </w:rPr>
      </w:pPr>
    </w:p>
    <w:p>
      <w:pPr>
        <w:ind w:left="460" w:hanging="455"/>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weighted average shares outstanding for the respective periods.</w:t>
      </w:r>
    </w:p>
    <w:p>
      <w:pPr>
        <w:spacing w:after="0" w:line="3" w:lineRule="exact"/>
        <w:rPr>
          <w:rFonts w:ascii="Times New Roman" w:cs="Times New Roman" w:eastAsia="Times New Roman" w:hAnsi="Times New Roman"/>
          <w:sz w:val="18"/>
          <w:szCs w:val="18"/>
          <w:color w:val="auto"/>
        </w:rPr>
      </w:pPr>
    </w:p>
    <w:p>
      <w:pPr>
        <w:ind w:left="460" w:right="160" w:hanging="455"/>
        <w:spacing w:after="0" w:line="244"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status of distributions is calculated in accordance with income tax regulations, which may differ from amounts determined under GAAP, and reported on Form 1099-DIV each calendar year.</w:t>
      </w:r>
    </w:p>
    <w:p>
      <w:pPr>
        <w:ind w:left="460" w:hanging="455"/>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change in market price per share during the period and assumes distributions, if any, are reinvested.</w:t>
      </w:r>
    </w:p>
    <w:p>
      <w:pPr>
        <w:spacing w:after="0" w:line="3"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debt related costs.</w:t>
      </w:r>
    </w:p>
    <w:p>
      <w:pPr>
        <w:spacing w:after="0" w:line="3"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interest and expenses on debt (annualized) as well as Credit Facility amendment and debt issuance costs, if any (not annualized).</w:t>
      </w:r>
    </w:p>
    <w:p>
      <w:pPr>
        <w:spacing w:after="0" w:line="3" w:lineRule="exact"/>
        <w:rPr>
          <w:rFonts w:ascii="Times New Roman" w:cs="Times New Roman" w:eastAsia="Times New Roman" w:hAnsi="Times New Roman"/>
          <w:sz w:val="18"/>
          <w:szCs w:val="18"/>
          <w:color w:val="auto"/>
        </w:rPr>
      </w:pPr>
    </w:p>
    <w:p>
      <w:pPr>
        <w:ind w:left="460" w:hanging="455"/>
        <w:spacing w:after="0" w:line="246"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at par (changed from fair value). This asset ratio coverage is multiplied by $1,000 to determine the asset coverage per unit.</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60"/>
          </w:cols>
          <w:pgMar w:left="320" w:top="292" w:right="519" w:bottom="1440" w:gutter="0" w:footer="0" w:header="0"/>
        </w:sectPr>
      </w:pPr>
    </w:p>
    <w:bookmarkStart w:id="13" w:name="page14"/>
    <w:bookmarkEnd w:id="13"/>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7178040" cy="54610"/>
                    </a:xfrm>
                    <a:prstGeom prst="rect">
                      <a:avLst/>
                    </a:prstGeom>
                    <a:noFill/>
                  </pic:spPr>
                </pic:pic>
              </a:graphicData>
            </a:graphic>
          </wp:anchor>
        </w:drawing>
        <w:t>RISK FACTORS</w:t>
      </w:r>
    </w:p>
    <w:p>
      <w:pPr>
        <w:spacing w:after="0" w:line="216" w:lineRule="exact"/>
        <w:rPr>
          <w:sz w:val="20"/>
          <w:szCs w:val="20"/>
          <w:color w:val="auto"/>
        </w:rPr>
      </w:pPr>
    </w:p>
    <w:p>
      <w:pPr>
        <w:ind w:firstLine="450"/>
        <w:spacing w:after="0" w:line="28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Investing in our securities involves a number of significant risks. In addition to the other information contained in this prospectus and the applicable prospectus supplement and any free writing prospectus, you should consider carefully the following information and the risk factors incorporated by reference in our Annual Report on </w:t>
      </w:r>
      <w:hyperlink r:id="rId30">
        <w:r>
          <w:rPr>
            <w:rFonts w:ascii="Times New Roman" w:cs="Times New Roman" w:eastAsia="Times New Roman" w:hAnsi="Times New Roman"/>
            <w:sz w:val="16"/>
            <w:szCs w:val="16"/>
            <w:u w:val="single" w:color="auto"/>
            <w:color w:val="0000EE"/>
          </w:rPr>
          <w:t>Form 10-K</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for the fiscal year ended September 30, 2023, filed on December 8, 2023, or our then most recent Annual Report on Form 10-K and any subsequent Quarterly Reports on Form 10-Q or Current Reports on Form 8-K we file after the date of this prospectus, and all other information contained or incorporated by reference into this prospectus, as updated by our subsequent filings under the Exchange Act and the risk factors and other information contained in any prospectus supplement and any free writing prospectus before acquiring any of such securities and before making an investment in our securities. Additional risks and uncertainties not presently known to us or not presently deemed material by us may also impair our operations and performance. Each of the risk factors could materially adversely affect our business, financial condition and results of operations. In such case, the NAV and market price of our common stock could decline or the value of our preferred stock, warrants, subscription rights or debt securities may decline, and investors may lose all or part of their investment. Please also read carefully the section titled “Forward-Looking Statements.”</w:t>
      </w:r>
    </w:p>
    <w:p>
      <w:pPr>
        <w:spacing w:after="0" w:line="3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40"/>
          </w:cols>
          <w:pgMar w:left="320" w:top="290" w:right="439" w:bottom="1440" w:gutter="0" w:footer="0" w:header="0"/>
        </w:sectPr>
      </w:pPr>
    </w:p>
    <w:bookmarkStart w:id="14" w:name="page15"/>
    <w:bookmarkEnd w:id="14"/>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7178040" cy="54610"/>
                    </a:xfrm>
                    <a:prstGeom prst="rect">
                      <a:avLst/>
                    </a:prstGeom>
                    <a:noFill/>
                  </pic:spPr>
                </pic:pic>
              </a:graphicData>
            </a:graphic>
          </wp:anchor>
        </w:drawing>
        <w:t>FORWARD-LOOKING STATEMENTS</w:t>
      </w:r>
    </w:p>
    <w:p>
      <w:pPr>
        <w:spacing w:after="0" w:line="216" w:lineRule="exact"/>
        <w:rPr>
          <w:sz w:val="20"/>
          <w:szCs w:val="20"/>
          <w:color w:val="auto"/>
        </w:rPr>
      </w:pPr>
    </w:p>
    <w:p>
      <w:pPr>
        <w:ind w:right="20" w:firstLine="450"/>
        <w:spacing w:after="0" w:line="249" w:lineRule="auto"/>
        <w:rPr>
          <w:sz w:val="20"/>
          <w:szCs w:val="20"/>
          <w:color w:val="auto"/>
        </w:rPr>
      </w:pPr>
      <w:r>
        <w:rPr>
          <w:rFonts w:ascii="Times New Roman" w:cs="Times New Roman" w:eastAsia="Times New Roman" w:hAnsi="Times New Roman"/>
          <w:sz w:val="18"/>
          <w:szCs w:val="18"/>
          <w:color w:val="auto"/>
        </w:rPr>
        <w:t>This prospectus, including the documents we incorporate by reference herein, contains, and any applicable prospectus supplement or free writing prospectus, including the documents we incorporate by reference therein, contain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or incorporated by reference in this prospectus and any applicable prospectus supplement or free writing prospectus involve risks and uncertainties, including statements as to:</w:t>
      </w:r>
    </w:p>
    <w:p>
      <w:pPr>
        <w:spacing w:after="0" w:line="93" w:lineRule="exact"/>
        <w:rPr>
          <w:sz w:val="20"/>
          <w:szCs w:val="20"/>
          <w:color w:val="auto"/>
        </w:rPr>
      </w:pPr>
    </w:p>
    <w:p>
      <w:pPr>
        <w:ind w:left="1000" w:hanging="442"/>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prospects and the prospects of our prospective portfolio companies;</w:t>
      </w:r>
    </w:p>
    <w:p>
      <w:pPr>
        <w:spacing w:after="0" w:line="121" w:lineRule="exact"/>
        <w:rPr>
          <w:rFonts w:ascii="Times New Roman" w:cs="Times New Roman" w:eastAsia="Times New Roman" w:hAnsi="Times New Roman"/>
          <w:sz w:val="18"/>
          <w:szCs w:val="18"/>
          <w:color w:val="auto"/>
        </w:rPr>
      </w:pPr>
    </w:p>
    <w:p>
      <w:pPr>
        <w:ind w:left="1000" w:right="80" w:hanging="442"/>
        <w:spacing w:after="0" w:line="268"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political, economic or industry conditions, the interest rate environment or conditions affecting the financial and capital markets that could result in changes to the value of our assets;</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of our future success on the general economy and its impact on the industries in which we invest;</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protracted decline in the liquidity of credit markets on our business;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investments that we expect to make;</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fluctuations in interest rates and foreign exchange rates on our business and our portfolio companies;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contractual arrangements and relationships with third parties;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of our investments in portfolio companies, particularly those having no liquid trading market;</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prospective portfolio companies to achieve their objectives;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financings and investments and ability to fund capital commitments to PSSL;</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cash resources and working capital;</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cash flows, if any, from the operations of our prospective portfolio companies;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price and volume fluctuations in the stock market;</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levels of inflation, and its impact on us and our portfolio companies;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Investment Adviser to locate suitable investments for us and to monitor and administer our investments;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future legislation and regulation on our business and our portfolio companies;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Russia-Ukraine and Hamas-Israel conflicts and other world economic and political issues; and</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develop and maintain effective internal control over financial reporting.</w:t>
      </w:r>
    </w:p>
    <w:p>
      <w:pPr>
        <w:spacing w:after="0" w:line="214" w:lineRule="exact"/>
        <w:rPr>
          <w:sz w:val="20"/>
          <w:szCs w:val="20"/>
          <w:color w:val="auto"/>
        </w:rPr>
      </w:pPr>
    </w:p>
    <w:p>
      <w:pPr>
        <w:ind w:right="80" w:firstLine="450"/>
        <w:spacing w:after="0" w:line="256" w:lineRule="auto"/>
        <w:rPr>
          <w:sz w:val="20"/>
          <w:szCs w:val="20"/>
          <w:color w:val="auto"/>
        </w:rPr>
      </w:pPr>
      <w:r>
        <w:rPr>
          <w:rFonts w:ascii="Times New Roman" w:cs="Times New Roman" w:eastAsia="Times New Roman" w:hAnsi="Times New Roman"/>
          <w:sz w:val="18"/>
          <w:szCs w:val="18"/>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set forth in “Risk Factors” and elsewhere in this prospectus.</w:t>
      </w:r>
    </w:p>
    <w:p>
      <w:pPr>
        <w:spacing w:after="0" w:line="180" w:lineRule="exact"/>
        <w:rPr>
          <w:sz w:val="20"/>
          <w:szCs w:val="20"/>
          <w:color w:val="auto"/>
        </w:rPr>
      </w:pPr>
    </w:p>
    <w:p>
      <w:pPr>
        <w:ind w:firstLine="450"/>
        <w:spacing w:after="0" w:line="268" w:lineRule="auto"/>
        <w:rPr>
          <w:sz w:val="20"/>
          <w:szCs w:val="20"/>
          <w:color w:val="auto"/>
        </w:rPr>
      </w:pPr>
      <w:r>
        <w:rPr>
          <w:rFonts w:ascii="Times New Roman" w:cs="Times New Roman" w:eastAsia="Times New Roman" w:hAnsi="Times New Roman"/>
          <w:sz w:val="18"/>
          <w:szCs w:val="18"/>
          <w:color w:val="auto"/>
        </w:rPr>
        <w:t>Although we believe that the assumptions on which these forward-looking statements are based are reasonable, any of those assumptions could prove to be inaccurate, and as a result, the forward-looking</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40"/>
          </w:cols>
          <w:pgMar w:left="320" w:top="290" w:right="439" w:bottom="1440" w:gutter="0" w:footer="0" w:header="0"/>
        </w:sectPr>
      </w:pPr>
    </w:p>
    <w:bookmarkStart w:id="15" w:name="page16"/>
    <w:bookmarkEnd w:id="15"/>
    <w:p>
      <w:pPr>
        <w:ind w:right="10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7178040" cy="54610"/>
                    </a:xfrm>
                    <a:prstGeom prst="rect">
                      <a:avLst/>
                    </a:prstGeom>
                    <a:noFill/>
                  </pic:spPr>
                </pic:pic>
              </a:graphicData>
            </a:graphic>
          </wp:anchor>
        </w:drawing>
        <w:t>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contained or incorporated by reference in this prospectus and any applicable prospectus supplement or free writing prospectus should not be regarded as a representation by us that our plans and objectives will be achieved.</w:t>
      </w:r>
    </w:p>
    <w:p>
      <w:pPr>
        <w:spacing w:after="0" w:line="183" w:lineRule="exact"/>
        <w:rPr>
          <w:sz w:val="20"/>
          <w:szCs w:val="20"/>
          <w:color w:val="auto"/>
        </w:rPr>
      </w:pPr>
    </w:p>
    <w:p>
      <w:pPr>
        <w:ind w:firstLine="450"/>
        <w:spacing w:after="0" w:line="250" w:lineRule="auto"/>
        <w:rPr>
          <w:sz w:val="20"/>
          <w:szCs w:val="20"/>
          <w:color w:val="auto"/>
        </w:rPr>
      </w:pPr>
      <w:r>
        <w:rPr>
          <w:rFonts w:ascii="Times New Roman" w:cs="Times New Roman" w:eastAsia="Times New Roman" w:hAnsi="Times New Roman"/>
          <w:sz w:val="18"/>
          <w:szCs w:val="18"/>
          <w:color w:val="auto"/>
        </w:rPr>
        <w:t>We base the forward-looking statements included in this prospectus, any prospectus supplement, free writing prospectus and documents incorporated by reference on information available to us on the date of the relevant document, and we assume no obligation to update any such forward-looking statements. Although we undertake no obligation to revise or update any forward-looking statements in such documents, whether as a result of new information, future events or otherwise, you are advised to consult any additional disclosures that we may make directly to you or through reports that we have filed or in the future may file with the SEC, including reports on Forms 10-K and 10-Q and current reports on Form 8-K.</w:t>
      </w:r>
    </w:p>
    <w:p>
      <w:pPr>
        <w:spacing w:after="0" w:line="185" w:lineRule="exact"/>
        <w:rPr>
          <w:sz w:val="20"/>
          <w:szCs w:val="20"/>
          <w:color w:val="auto"/>
        </w:rPr>
      </w:pPr>
    </w:p>
    <w:p>
      <w:pPr>
        <w:ind w:right="220" w:firstLine="450"/>
        <w:spacing w:after="0" w:line="256" w:lineRule="auto"/>
        <w:rPr>
          <w:sz w:val="20"/>
          <w:szCs w:val="20"/>
          <w:color w:val="auto"/>
        </w:rPr>
      </w:pPr>
      <w:r>
        <w:rPr>
          <w:rFonts w:ascii="Times New Roman" w:cs="Times New Roman" w:eastAsia="Times New Roman" w:hAnsi="Times New Roman"/>
          <w:sz w:val="18"/>
          <w:szCs w:val="18"/>
          <w:color w:val="auto"/>
        </w:rPr>
        <w:t>You should understand that, under Section 27A(b)(2)(B) of the Securities Act of 1933, as amended, or the Securities Act, and Section 21E(b)(2) of the Exchange Act, the “safe harbor” provisions of the Private Securities Litigation Reform Act of 1995 do not apply to forward-looking statements made in connection with any offering of securities pursuant to this prospectus or in periodic reports we file under the Exchange Act.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292" w:right="3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7178040" cy="54610"/>
                    </a:xfrm>
                    <a:prstGeom prst="rect">
                      <a:avLst/>
                    </a:prstGeom>
                    <a:noFill/>
                  </pic:spPr>
                </pic:pic>
              </a:graphicData>
            </a:graphic>
          </wp:anchor>
        </w:drawing>
        <w:t>USE OF PROCEEDS</w:t>
      </w:r>
    </w:p>
    <w:p>
      <w:pPr>
        <w:spacing w:after="0" w:line="216" w:lineRule="exact"/>
        <w:rPr>
          <w:sz w:val="20"/>
          <w:szCs w:val="20"/>
          <w:color w:val="auto"/>
        </w:rPr>
      </w:pPr>
    </w:p>
    <w:p>
      <w:pPr>
        <w:ind w:right="80" w:firstLine="450"/>
        <w:spacing w:after="0" w:line="256" w:lineRule="auto"/>
        <w:rPr>
          <w:sz w:val="20"/>
          <w:szCs w:val="20"/>
          <w:color w:val="auto"/>
        </w:rPr>
      </w:pPr>
      <w:r>
        <w:rPr>
          <w:rFonts w:ascii="Times New Roman" w:cs="Times New Roman" w:eastAsia="Times New Roman" w:hAnsi="Times New Roman"/>
          <w:sz w:val="18"/>
          <w:szCs w:val="18"/>
          <w:color w:val="auto"/>
        </w:rPr>
        <w:t>Unless otherwise specified in a prospectus supplement or a free writing prospectus we have authorized for use in connection with a specific offering, we may use the net proceeds from selling securities pursuant to this prospectus to reduce our then-outstanding debt obligations, to invest in new or existing portfolio companies, to capitalize a subsidiary or for other general corporate or strategic purposes.</w:t>
      </w:r>
    </w:p>
    <w:p>
      <w:pPr>
        <w:spacing w:after="0" w:line="180" w:lineRule="exact"/>
        <w:rPr>
          <w:sz w:val="20"/>
          <w:szCs w:val="20"/>
          <w:color w:val="auto"/>
        </w:rPr>
      </w:pPr>
    </w:p>
    <w:p>
      <w:pPr>
        <w:ind w:firstLine="450"/>
        <w:spacing w:after="0" w:line="2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indebtedness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“Business—Regulation—Temporary Investments” in our most recently filed Annual Report on </w:t>
      </w:r>
      <w:hyperlink r:id="rId2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more information.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20"/>
          </w:cols>
          <w:pgMar w:left="320" w:top="290" w:right="359" w:bottom="1440" w:gutter="0" w:footer="0" w:header="0"/>
        </w:sectPr>
      </w:pPr>
    </w:p>
    <w:bookmarkStart w:id="17" w:name="page18"/>
    <w:bookmarkEnd w:id="1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7178040" cy="54610"/>
                    </a:xfrm>
                    <a:prstGeom prst="rect">
                      <a:avLst/>
                    </a:prstGeom>
                    <a:noFill/>
                  </pic:spPr>
                </pic:pic>
              </a:graphicData>
            </a:graphic>
          </wp:anchor>
        </w:drawing>
        <w:t>SENIOR SECURITIES</w:t>
      </w:r>
    </w:p>
    <w:p>
      <w:pPr>
        <w:spacing w:after="0" w:line="216" w:lineRule="exact"/>
        <w:rPr>
          <w:sz w:val="20"/>
          <w:szCs w:val="20"/>
          <w:color w:val="auto"/>
        </w:rPr>
      </w:pPr>
    </w:p>
    <w:p>
      <w:pPr>
        <w:ind w:firstLine="45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Information about our senior securities is shown in the following table as of the end of the fiscal quarter ended March 31, 2024 and as of September 30, 2023, 2022, 2021, 2020, 2019, 2018, 2017, 2016, 2015, and 2014. The report of RSM US LLP, an independent registered public accounting firm, on our senior securities table as of September 30, 2023 is included in our most recent Annual Report on </w:t>
      </w:r>
      <w:hyperlink r:id="rId30">
        <w:r>
          <w:rPr>
            <w:rFonts w:ascii="Times New Roman" w:cs="Times New Roman" w:eastAsia="Times New Roman" w:hAnsi="Times New Roman"/>
            <w:sz w:val="18"/>
            <w:szCs w:val="18"/>
            <w:u w:val="single" w:color="auto"/>
            <w:color w:val="0000EE"/>
          </w:rPr>
          <w:t>Form 10-K</w:t>
        </w:r>
      </w:hyperlink>
      <w:r>
        <w:rPr>
          <w:rFonts w:ascii="Times New Roman" w:cs="Times New Roman" w:eastAsia="Times New Roman" w:hAnsi="Times New Roman"/>
          <w:sz w:val="18"/>
          <w:szCs w:val="18"/>
          <w:color w:val="auto"/>
        </w:rPr>
        <w:t>, filed on December 8, 2023, and is incorporated by reference into the registration statement of which this prospectus is a part.</w:t>
      </w:r>
    </w:p>
    <w:p>
      <w:pPr>
        <w:spacing w:after="0" w:line="187"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2560" w:type="dxa"/>
            <w:vAlign w:val="bottom"/>
            <w:gridSpan w:val="2"/>
            <w:vMerge w:val="restart"/>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Total Amount</w:t>
            </w:r>
          </w:p>
        </w:tc>
        <w:tc>
          <w:tcPr>
            <w:tcW w:w="184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Asset Coverage</w:t>
            </w: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5"/>
        </w:trPr>
        <w:tc>
          <w:tcPr>
            <w:tcW w:w="3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Class and Year/Period</w:t>
            </w:r>
          </w:p>
        </w:tc>
        <w:tc>
          <w:tcPr>
            <w:tcW w:w="2560" w:type="dxa"/>
            <w:vAlign w:val="bottom"/>
            <w:gridSpan w:val="2"/>
            <w:vMerge w:val="continue"/>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3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Market Value</w:t>
            </w:r>
          </w:p>
        </w:tc>
        <w:tc>
          <w:tcPr>
            <w:tcW w:w="0" w:type="dxa"/>
            <w:vAlign w:val="bottom"/>
          </w:tcPr>
          <w:p>
            <w:pPr>
              <w:spacing w:after="0"/>
              <w:rPr>
                <w:sz w:val="1"/>
                <w:szCs w:val="1"/>
                <w:color w:val="auto"/>
              </w:rPr>
            </w:pPr>
          </w:p>
        </w:tc>
      </w:tr>
      <w:tr>
        <w:trPr>
          <w:trHeight w:val="169"/>
        </w:trPr>
        <w:tc>
          <w:tcPr>
            <w:tcW w:w="3700" w:type="dxa"/>
            <w:vAlign w:val="bottom"/>
            <w:gridSpan w:val="2"/>
            <w:vMerge w:val="continue"/>
          </w:tcPr>
          <w:p>
            <w:pPr>
              <w:spacing w:after="0"/>
              <w:rPr>
                <w:sz w:val="14"/>
                <w:szCs w:val="14"/>
                <w:color w:val="auto"/>
              </w:rPr>
            </w:pPr>
          </w:p>
        </w:tc>
        <w:tc>
          <w:tcPr>
            <w:tcW w:w="2560" w:type="dxa"/>
            <w:vAlign w:val="bottom"/>
            <w:gridSpan w:val="2"/>
          </w:tcPr>
          <w:p>
            <w:pPr>
              <w:ind w:left="1240"/>
              <w:spacing w:after="0"/>
              <w:rPr>
                <w:sz w:val="20"/>
                <w:szCs w:val="20"/>
                <w:color w:val="auto"/>
              </w:rPr>
            </w:pPr>
            <w:r>
              <w:rPr>
                <w:rFonts w:ascii="Times New Roman" w:cs="Times New Roman" w:eastAsia="Times New Roman" w:hAnsi="Times New Roman"/>
                <w:sz w:val="14"/>
                <w:szCs w:val="14"/>
                <w:b w:val="1"/>
                <w:bCs w:val="1"/>
                <w:color w:val="auto"/>
              </w:rPr>
              <w:t xml:space="preserve">Outstanding </w:t>
            </w:r>
            <w:r>
              <w:rPr>
                <w:rFonts w:ascii="Times New Roman" w:cs="Times New Roman" w:eastAsia="Times New Roman" w:hAnsi="Times New Roman"/>
                <w:sz w:val="8"/>
                <w:szCs w:val="8"/>
                <w:b w:val="1"/>
                <w:bCs w:val="1"/>
                <w:color w:val="auto"/>
              </w:rPr>
              <w:t>(1)</w:t>
            </w:r>
          </w:p>
        </w:tc>
        <w:tc>
          <w:tcPr>
            <w:tcW w:w="580" w:type="dxa"/>
            <w:vAlign w:val="bottom"/>
          </w:tcPr>
          <w:p>
            <w:pPr>
              <w:spacing w:after="0"/>
              <w:rPr>
                <w:sz w:val="14"/>
                <w:szCs w:val="14"/>
                <w:color w:val="auto"/>
              </w:rPr>
            </w:pPr>
          </w:p>
        </w:tc>
        <w:tc>
          <w:tcPr>
            <w:tcW w:w="12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 xml:space="preserve">Per Unit </w:t>
            </w:r>
            <w:r>
              <w:rPr>
                <w:rFonts w:ascii="Times New Roman" w:cs="Times New Roman" w:eastAsia="Times New Roman" w:hAnsi="Times New Roman"/>
                <w:sz w:val="8"/>
                <w:szCs w:val="8"/>
                <w:b w:val="1"/>
                <w:bCs w:val="1"/>
                <w:color w:val="auto"/>
              </w:rPr>
              <w:t>(2)</w:t>
            </w:r>
          </w:p>
        </w:tc>
        <w:tc>
          <w:tcPr>
            <w:tcW w:w="134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 xml:space="preserve">Per Unit </w:t>
            </w:r>
            <w:r>
              <w:rPr>
                <w:rFonts w:ascii="Times New Roman" w:cs="Times New Roman" w:eastAsia="Times New Roman" w:hAnsi="Times New Roman"/>
                <w:sz w:val="8"/>
                <w:szCs w:val="8"/>
                <w:b w:val="1"/>
                <w:bCs w:val="1"/>
                <w:color w:val="auto"/>
              </w:rPr>
              <w:t>(3)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Credit Facility</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Fiscal 2024 (as of March 31, 2024)</w:t>
            </w:r>
          </w:p>
        </w:tc>
        <w:tc>
          <w:tcPr>
            <w:tcW w:w="14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168,855</w:t>
            </w:r>
          </w:p>
        </w:tc>
        <w:tc>
          <w:tcPr>
            <w:tcW w:w="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1,825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2023</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9,400</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2,304</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Fiscal 2022</w:t>
            </w:r>
          </w:p>
        </w:tc>
        <w:tc>
          <w:tcPr>
            <w:tcW w:w="1420" w:type="dxa"/>
            <w:vAlign w:val="bottom"/>
          </w:tcPr>
          <w:p>
            <w:pPr>
              <w:spacing w:after="0"/>
              <w:rPr>
                <w:sz w:val="18"/>
                <w:szCs w:val="18"/>
                <w:color w:val="auto"/>
              </w:rPr>
            </w:pP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168,830</w:t>
            </w:r>
          </w:p>
        </w:tc>
        <w:tc>
          <w:tcPr>
            <w:tcW w:w="580" w:type="dxa"/>
            <w:vAlign w:val="bottom"/>
          </w:tcPr>
          <w:p>
            <w:pPr>
              <w:spacing w:after="0"/>
              <w:rPr>
                <w:sz w:val="18"/>
                <w:szCs w:val="18"/>
                <w:color w:val="auto"/>
              </w:rPr>
            </w:pP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1,784</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2021</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219,400</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1,746</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Fiscal 2020</w:t>
            </w:r>
          </w:p>
        </w:tc>
        <w:tc>
          <w:tcPr>
            <w:tcW w:w="1420" w:type="dxa"/>
            <w:vAlign w:val="bottom"/>
          </w:tcPr>
          <w:p>
            <w:pPr>
              <w:spacing w:after="0"/>
              <w:rPr>
                <w:sz w:val="18"/>
                <w:szCs w:val="18"/>
                <w:color w:val="auto"/>
              </w:rPr>
            </w:pP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308,599</w:t>
            </w:r>
          </w:p>
        </w:tc>
        <w:tc>
          <w:tcPr>
            <w:tcW w:w="580" w:type="dxa"/>
            <w:vAlign w:val="bottom"/>
          </w:tcPr>
          <w:p>
            <w:pPr>
              <w:spacing w:after="0"/>
              <w:rPr>
                <w:sz w:val="18"/>
                <w:szCs w:val="18"/>
                <w:color w:val="auto"/>
              </w:rPr>
            </w:pP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1,677</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2019</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265,308</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1,786</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Fiscal 2018</w:t>
            </w:r>
          </w:p>
        </w:tc>
        <w:tc>
          <w:tcPr>
            <w:tcW w:w="1420" w:type="dxa"/>
            <w:vAlign w:val="bottom"/>
          </w:tcPr>
          <w:p>
            <w:pPr>
              <w:spacing w:after="0"/>
              <w:rPr>
                <w:sz w:val="18"/>
                <w:szCs w:val="18"/>
                <w:color w:val="auto"/>
              </w:rPr>
            </w:pP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333,728</w:t>
            </w:r>
          </w:p>
        </w:tc>
        <w:tc>
          <w:tcPr>
            <w:tcW w:w="580" w:type="dxa"/>
            <w:vAlign w:val="bottom"/>
          </w:tcPr>
          <w:p>
            <w:pPr>
              <w:spacing w:after="0"/>
              <w:rPr>
                <w:sz w:val="18"/>
                <w:szCs w:val="18"/>
                <w:color w:val="auto"/>
              </w:rPr>
            </w:pP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2,122</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2017</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253,783</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2,780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Fiscal 2016</w:t>
            </w:r>
          </w:p>
        </w:tc>
        <w:tc>
          <w:tcPr>
            <w:tcW w:w="1420" w:type="dxa"/>
            <w:vAlign w:val="bottom"/>
          </w:tcPr>
          <w:p>
            <w:pPr>
              <w:spacing w:after="0"/>
              <w:rPr>
                <w:sz w:val="18"/>
                <w:szCs w:val="18"/>
                <w:color w:val="auto"/>
              </w:rPr>
            </w:pP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232,908</w:t>
            </w:r>
          </w:p>
        </w:tc>
        <w:tc>
          <w:tcPr>
            <w:tcW w:w="580" w:type="dxa"/>
            <w:vAlign w:val="bottom"/>
          </w:tcPr>
          <w:p>
            <w:pPr>
              <w:spacing w:after="0"/>
              <w:rPr>
                <w:sz w:val="18"/>
                <w:szCs w:val="18"/>
                <w:color w:val="auto"/>
              </w:rPr>
            </w:pP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2,601</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2015</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29,600</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13,598</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Fiscal 2014</w:t>
            </w:r>
          </w:p>
        </w:tc>
        <w:tc>
          <w:tcPr>
            <w:tcW w:w="1420" w:type="dxa"/>
            <w:vAlign w:val="bottom"/>
          </w:tcPr>
          <w:p>
            <w:pPr>
              <w:spacing w:after="0"/>
              <w:rPr>
                <w:sz w:val="18"/>
                <w:szCs w:val="18"/>
                <w:color w:val="auto"/>
              </w:rPr>
            </w:pP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146,400</w:t>
            </w:r>
          </w:p>
        </w:tc>
        <w:tc>
          <w:tcPr>
            <w:tcW w:w="580" w:type="dxa"/>
            <w:vAlign w:val="bottom"/>
          </w:tcPr>
          <w:p>
            <w:pPr>
              <w:spacing w:after="0"/>
              <w:rPr>
                <w:sz w:val="18"/>
                <w:szCs w:val="18"/>
                <w:color w:val="auto"/>
              </w:rPr>
            </w:pP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2,469</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2023 Notes</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Fiscal 2023</w:t>
            </w:r>
          </w:p>
        </w:tc>
        <w:tc>
          <w:tcPr>
            <w:tcW w:w="14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76,219</w:t>
            </w:r>
          </w:p>
        </w:tc>
        <w:tc>
          <w:tcPr>
            <w:tcW w:w="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2,304</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2022</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97,006</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1,784</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Fiscal 2021</w:t>
            </w:r>
          </w:p>
        </w:tc>
        <w:tc>
          <w:tcPr>
            <w:tcW w:w="1420" w:type="dxa"/>
            <w:vAlign w:val="bottom"/>
          </w:tcPr>
          <w:p>
            <w:pPr>
              <w:spacing w:after="0"/>
              <w:rPr>
                <w:sz w:val="18"/>
                <w:szCs w:val="18"/>
                <w:color w:val="auto"/>
              </w:rPr>
            </w:pP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117,793</w:t>
            </w:r>
          </w:p>
        </w:tc>
        <w:tc>
          <w:tcPr>
            <w:tcW w:w="580" w:type="dxa"/>
            <w:vAlign w:val="bottom"/>
          </w:tcPr>
          <w:p>
            <w:pPr>
              <w:spacing w:after="0"/>
              <w:rPr>
                <w:sz w:val="18"/>
                <w:szCs w:val="18"/>
                <w:color w:val="auto"/>
              </w:rPr>
            </w:pP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1,746</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2020</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138,580</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1,677</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Fiscal 2019</w:t>
            </w:r>
          </w:p>
        </w:tc>
        <w:tc>
          <w:tcPr>
            <w:tcW w:w="1420" w:type="dxa"/>
            <w:vAlign w:val="bottom"/>
          </w:tcPr>
          <w:p>
            <w:pPr>
              <w:spacing w:after="0"/>
              <w:rPr>
                <w:sz w:val="18"/>
                <w:szCs w:val="18"/>
                <w:color w:val="auto"/>
              </w:rPr>
            </w:pP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138,580</w:t>
            </w:r>
          </w:p>
        </w:tc>
        <w:tc>
          <w:tcPr>
            <w:tcW w:w="580" w:type="dxa"/>
            <w:vAlign w:val="bottom"/>
          </w:tcPr>
          <w:p>
            <w:pPr>
              <w:spacing w:after="0"/>
              <w:rPr>
                <w:sz w:val="18"/>
                <w:szCs w:val="18"/>
                <w:color w:val="auto"/>
              </w:rPr>
            </w:pP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1,786</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2018</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138,580</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2,122</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2026 Notes</w:t>
            </w: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2024 (as of March 31, 2024)</w:t>
            </w:r>
          </w:p>
        </w:tc>
        <w:tc>
          <w:tcPr>
            <w:tcW w:w="142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185,000</w:t>
            </w:r>
          </w:p>
        </w:tc>
        <w:tc>
          <w:tcPr>
            <w:tcW w:w="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1,825</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Fiscal 2023</w:t>
            </w:r>
          </w:p>
        </w:tc>
        <w:tc>
          <w:tcPr>
            <w:tcW w:w="1420" w:type="dxa"/>
            <w:vAlign w:val="bottom"/>
          </w:tcPr>
          <w:p>
            <w:pPr>
              <w:spacing w:after="0"/>
              <w:rPr>
                <w:sz w:val="18"/>
                <w:szCs w:val="18"/>
                <w:color w:val="auto"/>
              </w:rPr>
            </w:pP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185,000</w:t>
            </w:r>
          </w:p>
        </w:tc>
        <w:tc>
          <w:tcPr>
            <w:tcW w:w="580" w:type="dxa"/>
            <w:vAlign w:val="bottom"/>
          </w:tcPr>
          <w:p>
            <w:pPr>
              <w:spacing w:after="0"/>
              <w:rPr>
                <w:sz w:val="18"/>
                <w:szCs w:val="18"/>
                <w:color w:val="auto"/>
              </w:rPr>
            </w:pP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2,304</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2022</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185,000</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1,784</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Fiscal 2021</w:t>
            </w:r>
          </w:p>
        </w:tc>
        <w:tc>
          <w:tcPr>
            <w:tcW w:w="1420" w:type="dxa"/>
            <w:vAlign w:val="bottom"/>
          </w:tcPr>
          <w:p>
            <w:pPr>
              <w:spacing w:after="0"/>
              <w:rPr>
                <w:sz w:val="18"/>
                <w:szCs w:val="18"/>
                <w:color w:val="auto"/>
              </w:rPr>
            </w:pP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100,000</w:t>
            </w:r>
          </w:p>
        </w:tc>
        <w:tc>
          <w:tcPr>
            <w:tcW w:w="580" w:type="dxa"/>
            <w:vAlign w:val="bottom"/>
          </w:tcPr>
          <w:p>
            <w:pPr>
              <w:spacing w:after="0"/>
              <w:rPr>
                <w:sz w:val="18"/>
                <w:szCs w:val="18"/>
                <w:color w:val="auto"/>
              </w:rPr>
            </w:pP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1,746</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2031 Asset-Backed Debt</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Fiscal 2024 (as of March 31, 2024)</w:t>
            </w:r>
          </w:p>
        </w:tc>
        <w:tc>
          <w:tcPr>
            <w:tcW w:w="14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226,259</w:t>
            </w:r>
          </w:p>
        </w:tc>
        <w:tc>
          <w:tcPr>
            <w:tcW w:w="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1,825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2023</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228,000</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2,304</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Fiscal 2022</w:t>
            </w:r>
          </w:p>
        </w:tc>
        <w:tc>
          <w:tcPr>
            <w:tcW w:w="1420" w:type="dxa"/>
            <w:vAlign w:val="bottom"/>
          </w:tcPr>
          <w:p>
            <w:pPr>
              <w:spacing w:after="0"/>
              <w:rPr>
                <w:sz w:val="18"/>
                <w:szCs w:val="18"/>
                <w:color w:val="auto"/>
              </w:rPr>
            </w:pP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228,000</w:t>
            </w:r>
          </w:p>
        </w:tc>
        <w:tc>
          <w:tcPr>
            <w:tcW w:w="580" w:type="dxa"/>
            <w:vAlign w:val="bottom"/>
          </w:tcPr>
          <w:p>
            <w:pPr>
              <w:spacing w:after="0"/>
              <w:rPr>
                <w:sz w:val="18"/>
                <w:szCs w:val="18"/>
                <w:color w:val="auto"/>
              </w:rPr>
            </w:pP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1,784</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2021</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228,000</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1,746</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Fiscal 2020</w:t>
            </w:r>
          </w:p>
        </w:tc>
        <w:tc>
          <w:tcPr>
            <w:tcW w:w="1420" w:type="dxa"/>
            <w:vAlign w:val="bottom"/>
          </w:tcPr>
          <w:p>
            <w:pPr>
              <w:spacing w:after="0"/>
              <w:rPr>
                <w:sz w:val="18"/>
                <w:szCs w:val="18"/>
                <w:color w:val="auto"/>
              </w:rPr>
            </w:pP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228,000</w:t>
            </w:r>
          </w:p>
        </w:tc>
        <w:tc>
          <w:tcPr>
            <w:tcW w:w="580" w:type="dxa"/>
            <w:vAlign w:val="bottom"/>
          </w:tcPr>
          <w:p>
            <w:pPr>
              <w:spacing w:after="0"/>
              <w:rPr>
                <w:sz w:val="18"/>
                <w:szCs w:val="18"/>
                <w:color w:val="auto"/>
              </w:rPr>
            </w:pP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1,677</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2019</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228,000</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1,786</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2036 Asset-Backed Debt</w:t>
            </w: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2024 (as of March 31, 2024)</w:t>
            </w:r>
          </w:p>
        </w:tc>
        <w:tc>
          <w:tcPr>
            <w:tcW w:w="142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287,000</w:t>
            </w:r>
          </w:p>
        </w:tc>
        <w:tc>
          <w:tcPr>
            <w:tcW w:w="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1,825</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460" w:hanging="455"/>
        <w:spacing w:after="0"/>
        <w:tabs>
          <w:tab w:leader="none" w:pos="460" w:val="left"/>
        </w:tabs>
        <w:numPr>
          <w:ilvl w:val="0"/>
          <w:numId w:val="8"/>
        </w:numPr>
        <w:rPr>
          <w:rFonts w:ascii="Times New Roman" w:cs="Times New Roman" w:eastAsia="Times New Roman" w:hAnsi="Times New Roman"/>
          <w:sz w:val="22"/>
          <w:szCs w:val="22"/>
          <w:b w:val="1"/>
          <w:bCs w:val="1"/>
          <w:color w:val="auto"/>
          <w:vertAlign w:val="superscript"/>
        </w:rPr>
      </w:pPr>
      <w:r>
        <w:rPr>
          <w:rFonts w:ascii="Times New Roman" w:cs="Times New Roman" w:eastAsia="Times New Roman" w:hAnsi="Times New Roman"/>
          <w:sz w:val="18"/>
          <w:szCs w:val="18"/>
          <w:color w:val="auto"/>
        </w:rPr>
        <w:t>Total cost of each class of senior securities outstanding at the end of the period presented in thousands (000s).</w:t>
      </w:r>
    </w:p>
    <w:p>
      <w:pPr>
        <w:spacing w:after="0" w:line="2" w:lineRule="exact"/>
        <w:rPr>
          <w:rFonts w:ascii="Times New Roman" w:cs="Times New Roman" w:eastAsia="Times New Roman" w:hAnsi="Times New Roman"/>
          <w:sz w:val="22"/>
          <w:szCs w:val="22"/>
          <w:b w:val="1"/>
          <w:bCs w:val="1"/>
          <w:color w:val="auto"/>
          <w:vertAlign w:val="superscript"/>
        </w:rPr>
      </w:pPr>
    </w:p>
    <w:p>
      <w:pPr>
        <w:ind w:left="460" w:right="40" w:hanging="455"/>
        <w:spacing w:after="0" w:line="226" w:lineRule="auto"/>
        <w:tabs>
          <w:tab w:leader="none" w:pos="460" w:val="left"/>
        </w:tabs>
        <w:numPr>
          <w:ilvl w:val="0"/>
          <w:numId w:val="8"/>
        </w:numPr>
        <w:rPr>
          <w:rFonts w:ascii="Times New Roman" w:cs="Times New Roman" w:eastAsia="Times New Roman" w:hAnsi="Times New Roman"/>
          <w:sz w:val="22"/>
          <w:szCs w:val="22"/>
          <w:b w:val="1"/>
          <w:bCs w:val="1"/>
          <w:color w:val="auto"/>
          <w:vertAlign w:val="superscript"/>
        </w:rPr>
      </w:pPr>
      <w:r>
        <w:rPr>
          <w:rFonts w:ascii="Times New Roman" w:cs="Times New Roman" w:eastAsia="Times New Roman" w:hAnsi="Times New Roman"/>
          <w:sz w:val="18"/>
          <w:szCs w:val="18"/>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at par. This asset coverage ratio is multiplied by $1,000 to determine the Asset Coverage Per Unit.</w:t>
      </w:r>
    </w:p>
    <w:p>
      <w:pPr>
        <w:spacing w:after="0" w:line="1" w:lineRule="exact"/>
        <w:rPr>
          <w:rFonts w:ascii="Times New Roman" w:cs="Times New Roman" w:eastAsia="Times New Roman" w:hAnsi="Times New Roman"/>
          <w:sz w:val="22"/>
          <w:szCs w:val="22"/>
          <w:b w:val="1"/>
          <w:bCs w:val="1"/>
          <w:color w:val="auto"/>
          <w:vertAlign w:val="superscript"/>
        </w:rPr>
      </w:pPr>
    </w:p>
    <w:p>
      <w:pPr>
        <w:ind w:left="460" w:hanging="455"/>
        <w:spacing w:after="0" w:line="199" w:lineRule="auto"/>
        <w:tabs>
          <w:tab w:leader="none" w:pos="460" w:val="left"/>
        </w:tabs>
        <w:numPr>
          <w:ilvl w:val="0"/>
          <w:numId w:val="8"/>
        </w:numPr>
        <w:rPr>
          <w:rFonts w:ascii="Times New Roman" w:cs="Times New Roman" w:eastAsia="Times New Roman" w:hAnsi="Times New Roman"/>
          <w:sz w:val="22"/>
          <w:szCs w:val="22"/>
          <w:b w:val="1"/>
          <w:bCs w:val="1"/>
          <w:color w:val="auto"/>
          <w:vertAlign w:val="superscript"/>
        </w:rPr>
      </w:pPr>
      <w:r>
        <w:rPr>
          <w:rFonts w:ascii="Times New Roman" w:cs="Times New Roman" w:eastAsia="Times New Roman" w:hAnsi="Times New Roman"/>
          <w:sz w:val="18"/>
          <w:szCs w:val="18"/>
          <w:color w:val="auto"/>
        </w:rPr>
        <w:t>Not applicable, as senior securities are not registered for public trading in the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-675005</wp:posOffset>
            </wp:positionV>
            <wp:extent cx="7854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80"/>
          </w:cols>
          <w:pgMar w:left="320" w:top="290" w:right="39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7178040" cy="54610"/>
                    </a:xfrm>
                    <a:prstGeom prst="rect">
                      <a:avLst/>
                    </a:prstGeom>
                    <a:noFill/>
                  </pic:spPr>
                </pic:pic>
              </a:graphicData>
            </a:graphic>
          </wp:anchor>
        </w:drawing>
        <w:t>PRICE RANGE OF COMMON STOCK</w:t>
      </w:r>
    </w:p>
    <w:p>
      <w:pPr>
        <w:spacing w:after="0" w:line="216" w:lineRule="exact"/>
        <w:rPr>
          <w:sz w:val="20"/>
          <w:szCs w:val="20"/>
          <w:color w:val="auto"/>
        </w:rPr>
      </w:pPr>
    </w:p>
    <w:p>
      <w:pPr>
        <w:ind w:right="20" w:firstLine="450"/>
        <w:spacing w:after="0" w:line="250" w:lineRule="auto"/>
        <w:rPr>
          <w:sz w:val="20"/>
          <w:szCs w:val="20"/>
          <w:color w:val="auto"/>
        </w:rPr>
      </w:pPr>
      <w:r>
        <w:rPr>
          <w:rFonts w:ascii="Times New Roman" w:cs="Times New Roman" w:eastAsia="Times New Roman" w:hAnsi="Times New Roman"/>
          <w:sz w:val="18"/>
          <w:szCs w:val="18"/>
          <w:color w:val="auto"/>
        </w:rPr>
        <w:t>On April 14, 2022, listing and trading of the Company’s common stock commenced on the New York Stock Exchange after the Company voluntarily withdrew the principal listing of its common stock from the Nasdaq Global Stock Market effective at market close on April 13, 2022. Our common stock trades on the New York Stock Exchange under the symbol “PFLT.” The following table lists the high and low closing sale prices for our common stock, the closing sale prices as a premium or (discount) to our NAV per share and distributions per share for each full quarterly period within the fiscal years ended September 30, 2023 and 2022, and each full fiscal quarter since the beginning of the fiscal year ended September 30, 2024.</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Premium /</w:t>
            </w:r>
          </w:p>
        </w:tc>
        <w:tc>
          <w:tcPr>
            <w:tcW w:w="16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Premium /</w:t>
            </w: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3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60" w:type="dxa"/>
            <w:vAlign w:val="bottom"/>
          </w:tcPr>
          <w:p>
            <w:pPr>
              <w:jc w:val="center"/>
              <w:ind w:right="57"/>
              <w:spacing w:after="0" w:line="145" w:lineRule="exact"/>
              <w:rPr>
                <w:sz w:val="20"/>
                <w:szCs w:val="20"/>
                <w:color w:val="auto"/>
              </w:rPr>
            </w:pPr>
            <w:r>
              <w:rPr>
                <w:rFonts w:ascii="Times New Roman" w:cs="Times New Roman" w:eastAsia="Times New Roman" w:hAnsi="Times New Roman"/>
                <w:sz w:val="14"/>
                <w:szCs w:val="14"/>
                <w:b w:val="1"/>
                <w:bCs w:val="1"/>
                <w:color w:val="auto"/>
                <w:w w:val="99"/>
              </w:rPr>
              <w:t>(Discount)</w:t>
            </w:r>
          </w:p>
        </w:tc>
        <w:tc>
          <w:tcPr>
            <w:tcW w:w="1600" w:type="dxa"/>
            <w:vAlign w:val="bottom"/>
          </w:tcPr>
          <w:p>
            <w:pPr>
              <w:jc w:val="center"/>
              <w:ind w:right="137"/>
              <w:spacing w:after="0" w:line="145" w:lineRule="exact"/>
              <w:rPr>
                <w:sz w:val="20"/>
                <w:szCs w:val="20"/>
                <w:color w:val="auto"/>
              </w:rPr>
            </w:pPr>
            <w:r>
              <w:rPr>
                <w:rFonts w:ascii="Times New Roman" w:cs="Times New Roman" w:eastAsia="Times New Roman" w:hAnsi="Times New Roman"/>
                <w:sz w:val="14"/>
                <w:szCs w:val="14"/>
                <w:b w:val="1"/>
                <w:bCs w:val="1"/>
                <w:color w:val="auto"/>
                <w:w w:val="99"/>
              </w:rPr>
              <w:t>(Discount)</w:t>
            </w: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80" w:type="dxa"/>
            <w:vAlign w:val="bottom"/>
            <w:vMerge w:val="restart"/>
          </w:tcPr>
          <w:p>
            <w:pPr>
              <w:jc w:val="right"/>
              <w:ind w:right="196"/>
              <w:spacing w:after="0"/>
              <w:rPr>
                <w:sz w:val="20"/>
                <w:szCs w:val="20"/>
                <w:color w:val="auto"/>
              </w:rPr>
            </w:pPr>
            <w:r>
              <w:rPr>
                <w:rFonts w:ascii="Times New Roman" w:cs="Times New Roman" w:eastAsia="Times New Roman" w:hAnsi="Times New Roman"/>
                <w:sz w:val="28"/>
                <w:szCs w:val="28"/>
                <w:b w:val="1"/>
                <w:bCs w:val="1"/>
                <w:color w:val="auto"/>
                <w:vertAlign w:val="subscript"/>
              </w:rPr>
              <w:t>NAV</w:t>
            </w:r>
            <w:r>
              <w:rPr>
                <w:rFonts w:ascii="Times New Roman" w:cs="Times New Roman" w:eastAsia="Times New Roman" w:hAnsi="Times New Roman"/>
                <w:sz w:val="9"/>
                <w:szCs w:val="9"/>
                <w:b w:val="1"/>
                <w:bCs w:val="1"/>
                <w:color w:val="auto"/>
              </w:rPr>
              <w:t xml:space="preserve"> (1)</w:t>
            </w:r>
          </w:p>
        </w:tc>
        <w:tc>
          <w:tcPr>
            <w:tcW w:w="2000" w:type="dxa"/>
            <w:vAlign w:val="bottom"/>
            <w:gridSpan w:val="3"/>
          </w:tcPr>
          <w:p>
            <w:pPr>
              <w:jc w:val="right"/>
              <w:ind w:right="354"/>
              <w:spacing w:after="0" w:line="158" w:lineRule="exact"/>
              <w:rPr>
                <w:sz w:val="20"/>
                <w:szCs w:val="20"/>
                <w:color w:val="auto"/>
              </w:rPr>
            </w:pPr>
            <w:r>
              <w:rPr>
                <w:rFonts w:ascii="Times New Roman" w:cs="Times New Roman" w:eastAsia="Times New Roman" w:hAnsi="Times New Roman"/>
                <w:sz w:val="14"/>
                <w:szCs w:val="14"/>
                <w:b w:val="1"/>
                <w:bCs w:val="1"/>
                <w:color w:val="auto"/>
              </w:rPr>
              <w:t>Closing Sale Prices</w:t>
            </w:r>
          </w:p>
        </w:tc>
        <w:tc>
          <w:tcPr>
            <w:tcW w:w="1560" w:type="dxa"/>
            <w:vAlign w:val="bottom"/>
          </w:tcPr>
          <w:p>
            <w:pPr>
              <w:jc w:val="center"/>
              <w:ind w:right="77"/>
              <w:spacing w:after="0" w:line="158" w:lineRule="exact"/>
              <w:rPr>
                <w:sz w:val="20"/>
                <w:szCs w:val="20"/>
                <w:color w:val="auto"/>
              </w:rPr>
            </w:pPr>
            <w:r>
              <w:rPr>
                <w:rFonts w:ascii="Times New Roman" w:cs="Times New Roman" w:eastAsia="Times New Roman" w:hAnsi="Times New Roman"/>
                <w:sz w:val="14"/>
                <w:szCs w:val="14"/>
                <w:b w:val="1"/>
                <w:bCs w:val="1"/>
                <w:color w:val="auto"/>
                <w:w w:val="98"/>
              </w:rPr>
              <w:t>of High Sale</w:t>
            </w:r>
          </w:p>
        </w:tc>
        <w:tc>
          <w:tcPr>
            <w:tcW w:w="1600" w:type="dxa"/>
            <w:vAlign w:val="bottom"/>
          </w:tcPr>
          <w:p>
            <w:pPr>
              <w:jc w:val="center"/>
              <w:ind w:right="137"/>
              <w:spacing w:after="0" w:line="158" w:lineRule="exact"/>
              <w:rPr>
                <w:sz w:val="20"/>
                <w:szCs w:val="20"/>
                <w:color w:val="auto"/>
              </w:rPr>
            </w:pPr>
            <w:r>
              <w:rPr>
                <w:rFonts w:ascii="Times New Roman" w:cs="Times New Roman" w:eastAsia="Times New Roman" w:hAnsi="Times New Roman"/>
                <w:sz w:val="14"/>
                <w:szCs w:val="14"/>
                <w:b w:val="1"/>
                <w:bCs w:val="1"/>
                <w:color w:val="auto"/>
                <w:w w:val="99"/>
              </w:rPr>
              <w:t>of Low Sale</w:t>
            </w:r>
          </w:p>
        </w:tc>
        <w:tc>
          <w:tcPr>
            <w:tcW w:w="1080" w:type="dxa"/>
            <w:vAlign w:val="bottom"/>
            <w:gridSpan w:val="2"/>
          </w:tcPr>
          <w:p>
            <w:pPr>
              <w:ind w:left="240"/>
              <w:spacing w:after="0" w:line="158" w:lineRule="exact"/>
              <w:rPr>
                <w:sz w:val="20"/>
                <w:szCs w:val="20"/>
                <w:color w:val="auto"/>
              </w:rPr>
            </w:pPr>
            <w:r>
              <w:rPr>
                <w:rFonts w:ascii="Times New Roman" w:cs="Times New Roman" w:eastAsia="Times New Roman" w:hAnsi="Times New Roman"/>
                <w:sz w:val="14"/>
                <w:szCs w:val="14"/>
                <w:b w:val="1"/>
                <w:bCs w:val="1"/>
                <w:color w:val="auto"/>
              </w:rPr>
              <w:t>Distributions</w:t>
            </w:r>
          </w:p>
        </w:tc>
        <w:tc>
          <w:tcPr>
            <w:tcW w:w="0" w:type="dxa"/>
            <w:vAlign w:val="bottom"/>
          </w:tcPr>
          <w:p>
            <w:pPr>
              <w:spacing w:after="0"/>
              <w:rPr>
                <w:sz w:val="1"/>
                <w:szCs w:val="1"/>
                <w:color w:val="auto"/>
              </w:rPr>
            </w:pPr>
          </w:p>
        </w:tc>
      </w:tr>
      <w:tr>
        <w:trPr>
          <w:trHeight w:val="169"/>
        </w:trPr>
        <w:tc>
          <w:tcPr>
            <w:tcW w:w="332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98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High</w:t>
            </w:r>
          </w:p>
        </w:tc>
        <w:tc>
          <w:tcPr>
            <w:tcW w:w="360" w:type="dxa"/>
            <w:vAlign w:val="bottom"/>
          </w:tcPr>
          <w:p>
            <w:pPr>
              <w:spacing w:after="0"/>
              <w:rPr>
                <w:sz w:val="14"/>
                <w:szCs w:val="14"/>
                <w:color w:val="auto"/>
              </w:rPr>
            </w:pPr>
          </w:p>
        </w:tc>
        <w:tc>
          <w:tcPr>
            <w:tcW w:w="66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w w:val="98"/>
              </w:rPr>
              <w:t>Low</w:t>
            </w:r>
          </w:p>
        </w:tc>
        <w:tc>
          <w:tcPr>
            <w:tcW w:w="15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8"/>
              </w:rPr>
              <w:t xml:space="preserve">Price to NAV </w:t>
            </w:r>
            <w:r>
              <w:rPr>
                <w:rFonts w:ascii="Times New Roman" w:cs="Times New Roman" w:eastAsia="Times New Roman" w:hAnsi="Times New Roman"/>
                <w:sz w:val="8"/>
                <w:szCs w:val="8"/>
                <w:b w:val="1"/>
                <w:bCs w:val="1"/>
                <w:color w:val="auto"/>
                <w:w w:val="98"/>
              </w:rPr>
              <w:t>(2)</w:t>
            </w:r>
          </w:p>
        </w:tc>
        <w:tc>
          <w:tcPr>
            <w:tcW w:w="16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8"/>
              </w:rPr>
              <w:t xml:space="preserve">Price to NAV </w:t>
            </w:r>
            <w:r>
              <w:rPr>
                <w:rFonts w:ascii="Times New Roman" w:cs="Times New Roman" w:eastAsia="Times New Roman" w:hAnsi="Times New Roman"/>
                <w:sz w:val="8"/>
                <w:szCs w:val="8"/>
                <w:b w:val="1"/>
                <w:bCs w:val="1"/>
                <w:color w:val="auto"/>
                <w:w w:val="98"/>
              </w:rPr>
              <w:t>(2)</w:t>
            </w:r>
          </w:p>
        </w:tc>
        <w:tc>
          <w:tcPr>
            <w:tcW w:w="340" w:type="dxa"/>
            <w:vAlign w:val="bottom"/>
          </w:tcPr>
          <w:p>
            <w:pPr>
              <w:spacing w:after="0"/>
              <w:rPr>
                <w:sz w:val="14"/>
                <w:szCs w:val="14"/>
                <w:color w:val="auto"/>
              </w:rPr>
            </w:pPr>
          </w:p>
        </w:tc>
        <w:tc>
          <w:tcPr>
            <w:tcW w:w="74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Declared</w:t>
            </w:r>
          </w:p>
        </w:tc>
        <w:tc>
          <w:tcPr>
            <w:tcW w:w="0" w:type="dxa"/>
            <w:vAlign w:val="bottom"/>
          </w:tcPr>
          <w:p>
            <w:pPr>
              <w:spacing w:after="0"/>
              <w:rPr>
                <w:sz w:val="1"/>
                <w:szCs w:val="1"/>
                <w:color w:val="auto"/>
              </w:rPr>
            </w:pPr>
          </w:p>
        </w:tc>
      </w:tr>
      <w:tr>
        <w:trPr>
          <w:trHeight w:val="21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September 30, 2024</w:t>
            </w:r>
          </w:p>
        </w:tc>
        <w:tc>
          <w:tcPr>
            <w:tcW w:w="1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68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$11.40</w:t>
            </w:r>
          </w:p>
        </w:tc>
        <w:tc>
          <w:tcPr>
            <w:tcW w:w="98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$12.61</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w w:val="93"/>
              </w:rPr>
              <w:t>11.09</w:t>
            </w:r>
          </w:p>
        </w:tc>
        <w:tc>
          <w:tcPr>
            <w:tcW w:w="1560" w:type="dxa"/>
            <w:vAlign w:val="bottom"/>
          </w:tcPr>
          <w:p>
            <w:pPr>
              <w:jc w:val="right"/>
              <w:ind w:right="177"/>
              <w:spacing w:after="0"/>
              <w:rPr>
                <w:sz w:val="20"/>
                <w:szCs w:val="20"/>
                <w:color w:val="auto"/>
              </w:rPr>
            </w:pPr>
            <w:r>
              <w:rPr>
                <w:rFonts w:ascii="Times New Roman" w:cs="Times New Roman" w:eastAsia="Times New Roman" w:hAnsi="Times New Roman"/>
                <w:sz w:val="18"/>
                <w:szCs w:val="18"/>
                <w:color w:val="auto"/>
              </w:rPr>
              <w:t>11%</w:t>
            </w:r>
          </w:p>
        </w:tc>
        <w:tc>
          <w:tcPr>
            <w:tcW w:w="160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0.308</w:t>
            </w:r>
          </w:p>
        </w:tc>
        <w:tc>
          <w:tcPr>
            <w:tcW w:w="0" w:type="dxa"/>
            <w:vAlign w:val="bottom"/>
          </w:tcPr>
          <w:p>
            <w:pPr>
              <w:spacing w:after="0"/>
              <w:rPr>
                <w:sz w:val="1"/>
                <w:szCs w:val="1"/>
                <w:color w:val="auto"/>
              </w:rPr>
            </w:pPr>
          </w:p>
        </w:tc>
      </w:tr>
      <w:tr>
        <w:trPr>
          <w:trHeight w:val="21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68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11.20</w:t>
            </w:r>
          </w:p>
        </w:tc>
        <w:tc>
          <w:tcPr>
            <w:tcW w:w="98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12.24</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9.71</w:t>
            </w:r>
          </w:p>
        </w:tc>
        <w:tc>
          <w:tcPr>
            <w:tcW w:w="156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8"/>
                <w:szCs w:val="18"/>
                <w:color w:val="auto"/>
              </w:rPr>
              <w:t>9</w:t>
            </w:r>
          </w:p>
        </w:tc>
        <w:tc>
          <w:tcPr>
            <w:tcW w:w="160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0.308</w:t>
            </w:r>
          </w:p>
        </w:tc>
        <w:tc>
          <w:tcPr>
            <w:tcW w:w="0" w:type="dxa"/>
            <w:vAlign w:val="bottom"/>
          </w:tcPr>
          <w:p>
            <w:pPr>
              <w:spacing w:after="0"/>
              <w:rPr>
                <w:sz w:val="1"/>
                <w:szCs w:val="1"/>
                <w:color w:val="auto"/>
              </w:rPr>
            </w:pPr>
          </w:p>
        </w:tc>
      </w:tr>
      <w:tr>
        <w:trPr>
          <w:trHeight w:val="211"/>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September 30, 2023</w:t>
            </w:r>
          </w:p>
        </w:tc>
        <w:tc>
          <w:tcPr>
            <w:tcW w:w="1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68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$11.13</w:t>
            </w:r>
          </w:p>
        </w:tc>
        <w:tc>
          <w:tcPr>
            <w:tcW w:w="98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$11.39</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w w:val="93"/>
              </w:rPr>
              <w:t>10.32</w:t>
            </w:r>
          </w:p>
        </w:tc>
        <w:tc>
          <w:tcPr>
            <w:tcW w:w="15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rPr>
              <w:t>2%</w:t>
            </w:r>
          </w:p>
        </w:tc>
        <w:tc>
          <w:tcPr>
            <w:tcW w:w="160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0.308</w:t>
            </w:r>
          </w:p>
        </w:tc>
        <w:tc>
          <w:tcPr>
            <w:tcW w:w="0" w:type="dxa"/>
            <w:vAlign w:val="bottom"/>
          </w:tcPr>
          <w:p>
            <w:pPr>
              <w:spacing w:after="0"/>
              <w:rPr>
                <w:sz w:val="1"/>
                <w:szCs w:val="1"/>
                <w:color w:val="auto"/>
              </w:rPr>
            </w:pPr>
          </w:p>
        </w:tc>
      </w:tr>
      <w:tr>
        <w:trPr>
          <w:trHeight w:val="211"/>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68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10.96</w:t>
            </w:r>
          </w:p>
        </w:tc>
        <w:tc>
          <w:tcPr>
            <w:tcW w:w="98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11.06</w:t>
            </w:r>
          </w:p>
        </w:tc>
        <w:tc>
          <w:tcPr>
            <w:tcW w:w="360" w:type="dxa"/>
            <w:vAlign w:val="bottom"/>
          </w:tcPr>
          <w:p>
            <w:pPr>
              <w:spacing w:after="0"/>
              <w:rPr>
                <w:sz w:val="18"/>
                <w:szCs w:val="18"/>
                <w:color w:val="auto"/>
              </w:rPr>
            </w:pPr>
          </w:p>
        </w:tc>
        <w:tc>
          <w:tcPr>
            <w:tcW w:w="6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w w:val="93"/>
              </w:rPr>
              <w:t>10.37</w:t>
            </w:r>
          </w:p>
        </w:tc>
        <w:tc>
          <w:tcPr>
            <w:tcW w:w="1560" w:type="dxa"/>
            <w:vAlign w:val="bottom"/>
          </w:tcPr>
          <w:p>
            <w:pPr>
              <w:jc w:val="right"/>
              <w:ind w:right="317"/>
              <w:spacing w:after="0"/>
              <w:rPr>
                <w:sz w:val="20"/>
                <w:szCs w:val="20"/>
                <w:color w:val="auto"/>
              </w:rPr>
            </w:pPr>
            <w:r>
              <w:rPr>
                <w:rFonts w:ascii="Times New Roman" w:cs="Times New Roman" w:eastAsia="Times New Roman" w:hAnsi="Times New Roman"/>
                <w:sz w:val="18"/>
                <w:szCs w:val="18"/>
                <w:color w:val="auto"/>
              </w:rPr>
              <w:t>1</w:t>
            </w:r>
          </w:p>
        </w:tc>
        <w:tc>
          <w:tcPr>
            <w:tcW w:w="1600" w:type="dxa"/>
            <w:vAlign w:val="bottom"/>
          </w:tcPr>
          <w:p>
            <w:pPr>
              <w:jc w:val="right"/>
              <w:ind w:right="297"/>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0.303</w:t>
            </w:r>
          </w:p>
        </w:tc>
        <w:tc>
          <w:tcPr>
            <w:tcW w:w="0" w:type="dxa"/>
            <w:vAlign w:val="bottom"/>
          </w:tcPr>
          <w:p>
            <w:pPr>
              <w:spacing w:after="0"/>
              <w:rPr>
                <w:sz w:val="1"/>
                <w:szCs w:val="1"/>
                <w:color w:val="auto"/>
              </w:rPr>
            </w:pPr>
          </w:p>
        </w:tc>
      </w:tr>
      <w:tr>
        <w:trPr>
          <w:trHeight w:val="21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68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11.15</w:t>
            </w:r>
          </w:p>
        </w:tc>
        <w:tc>
          <w:tcPr>
            <w:tcW w:w="98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12.20</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9.98</w:t>
            </w:r>
          </w:p>
        </w:tc>
        <w:tc>
          <w:tcPr>
            <w:tcW w:w="156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8"/>
                <w:szCs w:val="18"/>
                <w:color w:val="auto"/>
              </w:rPr>
              <w:t>9</w:t>
            </w:r>
          </w:p>
        </w:tc>
        <w:tc>
          <w:tcPr>
            <w:tcW w:w="160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0.290</w:t>
            </w:r>
          </w:p>
        </w:tc>
        <w:tc>
          <w:tcPr>
            <w:tcW w:w="0" w:type="dxa"/>
            <w:vAlign w:val="bottom"/>
          </w:tcPr>
          <w:p>
            <w:pPr>
              <w:spacing w:after="0"/>
              <w:rPr>
                <w:sz w:val="1"/>
                <w:szCs w:val="1"/>
                <w:color w:val="auto"/>
              </w:rPr>
            </w:pPr>
          </w:p>
        </w:tc>
      </w:tr>
      <w:tr>
        <w:trPr>
          <w:trHeight w:val="211"/>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68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11.30</w:t>
            </w:r>
          </w:p>
        </w:tc>
        <w:tc>
          <w:tcPr>
            <w:tcW w:w="98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11.56</w:t>
            </w:r>
          </w:p>
        </w:tc>
        <w:tc>
          <w:tcPr>
            <w:tcW w:w="360" w:type="dxa"/>
            <w:vAlign w:val="bottom"/>
          </w:tcPr>
          <w:p>
            <w:pPr>
              <w:spacing w:after="0"/>
              <w:rPr>
                <w:sz w:val="18"/>
                <w:szCs w:val="18"/>
                <w:color w:val="auto"/>
              </w:rPr>
            </w:pPr>
          </w:p>
        </w:tc>
        <w:tc>
          <w:tcPr>
            <w:tcW w:w="6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9.77</w:t>
            </w:r>
          </w:p>
        </w:tc>
        <w:tc>
          <w:tcPr>
            <w:tcW w:w="1560" w:type="dxa"/>
            <w:vAlign w:val="bottom"/>
          </w:tcPr>
          <w:p>
            <w:pPr>
              <w:jc w:val="right"/>
              <w:ind w:right="317"/>
              <w:spacing w:after="0"/>
              <w:rPr>
                <w:sz w:val="20"/>
                <w:szCs w:val="20"/>
                <w:color w:val="auto"/>
              </w:rPr>
            </w:pPr>
            <w:r>
              <w:rPr>
                <w:rFonts w:ascii="Times New Roman" w:cs="Times New Roman" w:eastAsia="Times New Roman" w:hAnsi="Times New Roman"/>
                <w:sz w:val="18"/>
                <w:szCs w:val="18"/>
                <w:color w:val="auto"/>
              </w:rPr>
              <w:t>2</w:t>
            </w:r>
          </w:p>
        </w:tc>
        <w:tc>
          <w:tcPr>
            <w:tcW w:w="1600" w:type="dxa"/>
            <w:vAlign w:val="bottom"/>
          </w:tcPr>
          <w:p>
            <w:pPr>
              <w:jc w:val="right"/>
              <w:ind w:right="297"/>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0.285</w:t>
            </w:r>
          </w:p>
        </w:tc>
        <w:tc>
          <w:tcPr>
            <w:tcW w:w="0" w:type="dxa"/>
            <w:vAlign w:val="bottom"/>
          </w:tcPr>
          <w:p>
            <w:pPr>
              <w:spacing w:after="0"/>
              <w:rPr>
                <w:sz w:val="1"/>
                <w:szCs w:val="1"/>
                <w:color w:val="auto"/>
              </w:rPr>
            </w:pPr>
          </w:p>
        </w:tc>
      </w:tr>
      <w:tr>
        <w:trPr>
          <w:trHeight w:val="21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September 30, 2022</w:t>
            </w:r>
          </w:p>
        </w:tc>
        <w:tc>
          <w:tcPr>
            <w:tcW w:w="1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68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$11.62</w:t>
            </w:r>
          </w:p>
        </w:tc>
        <w:tc>
          <w:tcPr>
            <w:tcW w:w="98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$13.19</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9.60</w:t>
            </w:r>
          </w:p>
        </w:tc>
        <w:tc>
          <w:tcPr>
            <w:tcW w:w="1560" w:type="dxa"/>
            <w:vAlign w:val="bottom"/>
          </w:tcPr>
          <w:p>
            <w:pPr>
              <w:jc w:val="right"/>
              <w:ind w:right="177"/>
              <w:spacing w:after="0"/>
              <w:rPr>
                <w:sz w:val="20"/>
                <w:szCs w:val="20"/>
                <w:color w:val="auto"/>
              </w:rPr>
            </w:pPr>
            <w:r>
              <w:rPr>
                <w:rFonts w:ascii="Times New Roman" w:cs="Times New Roman" w:eastAsia="Times New Roman" w:hAnsi="Times New Roman"/>
                <w:sz w:val="18"/>
                <w:szCs w:val="18"/>
                <w:color w:val="auto"/>
              </w:rPr>
              <w:t>14%</w:t>
            </w:r>
          </w:p>
        </w:tc>
        <w:tc>
          <w:tcPr>
            <w:tcW w:w="160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(17)%</w:t>
            </w:r>
          </w:p>
        </w:tc>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0.285</w:t>
            </w:r>
          </w:p>
        </w:tc>
        <w:tc>
          <w:tcPr>
            <w:tcW w:w="0" w:type="dxa"/>
            <w:vAlign w:val="bottom"/>
          </w:tcPr>
          <w:p>
            <w:pPr>
              <w:spacing w:after="0"/>
              <w:rPr>
                <w:sz w:val="1"/>
                <w:szCs w:val="1"/>
                <w:color w:val="auto"/>
              </w:rPr>
            </w:pPr>
          </w:p>
        </w:tc>
      </w:tr>
      <w:tr>
        <w:trPr>
          <w:trHeight w:val="21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68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12.21</w:t>
            </w:r>
          </w:p>
        </w:tc>
        <w:tc>
          <w:tcPr>
            <w:tcW w:w="98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14.20</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w w:val="93"/>
              </w:rPr>
              <w:t>10.45</w:t>
            </w:r>
          </w:p>
        </w:tc>
        <w:tc>
          <w:tcPr>
            <w:tcW w:w="156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8"/>
                <w:szCs w:val="18"/>
                <w:color w:val="auto"/>
              </w:rPr>
              <w:t>16</w:t>
            </w:r>
          </w:p>
        </w:tc>
        <w:tc>
          <w:tcPr>
            <w:tcW w:w="160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0.285</w:t>
            </w:r>
          </w:p>
        </w:tc>
        <w:tc>
          <w:tcPr>
            <w:tcW w:w="0" w:type="dxa"/>
            <w:vAlign w:val="bottom"/>
          </w:tcPr>
          <w:p>
            <w:pPr>
              <w:spacing w:after="0"/>
              <w:rPr>
                <w:sz w:val="1"/>
                <w:szCs w:val="1"/>
                <w:color w:val="auto"/>
              </w:rPr>
            </w:pPr>
          </w:p>
        </w:tc>
      </w:tr>
      <w:tr>
        <w:trPr>
          <w:trHeight w:val="211"/>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68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12.62</w:t>
            </w:r>
          </w:p>
        </w:tc>
        <w:tc>
          <w:tcPr>
            <w:tcW w:w="98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13.56</w:t>
            </w:r>
          </w:p>
        </w:tc>
        <w:tc>
          <w:tcPr>
            <w:tcW w:w="360" w:type="dxa"/>
            <w:vAlign w:val="bottom"/>
          </w:tcPr>
          <w:p>
            <w:pPr>
              <w:spacing w:after="0"/>
              <w:rPr>
                <w:sz w:val="18"/>
                <w:szCs w:val="18"/>
                <w:color w:val="auto"/>
              </w:rPr>
            </w:pPr>
          </w:p>
        </w:tc>
        <w:tc>
          <w:tcPr>
            <w:tcW w:w="6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w w:val="93"/>
              </w:rPr>
              <w:t>12.23</w:t>
            </w:r>
          </w:p>
        </w:tc>
        <w:tc>
          <w:tcPr>
            <w:tcW w:w="1560" w:type="dxa"/>
            <w:vAlign w:val="bottom"/>
          </w:tcPr>
          <w:p>
            <w:pPr>
              <w:jc w:val="right"/>
              <w:ind w:right="317"/>
              <w:spacing w:after="0"/>
              <w:rPr>
                <w:sz w:val="20"/>
                <w:szCs w:val="20"/>
                <w:color w:val="auto"/>
              </w:rPr>
            </w:pPr>
            <w:r>
              <w:rPr>
                <w:rFonts w:ascii="Times New Roman" w:cs="Times New Roman" w:eastAsia="Times New Roman" w:hAnsi="Times New Roman"/>
                <w:sz w:val="18"/>
                <w:szCs w:val="18"/>
                <w:color w:val="auto"/>
              </w:rPr>
              <w:t>7</w:t>
            </w:r>
          </w:p>
        </w:tc>
        <w:tc>
          <w:tcPr>
            <w:tcW w:w="1600" w:type="dxa"/>
            <w:vAlign w:val="bottom"/>
          </w:tcPr>
          <w:p>
            <w:pPr>
              <w:jc w:val="right"/>
              <w:ind w:right="297"/>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0.285</w:t>
            </w:r>
          </w:p>
        </w:tc>
        <w:tc>
          <w:tcPr>
            <w:tcW w:w="0" w:type="dxa"/>
            <w:vAlign w:val="bottom"/>
          </w:tcPr>
          <w:p>
            <w:pPr>
              <w:spacing w:after="0"/>
              <w:rPr>
                <w:sz w:val="1"/>
                <w:szCs w:val="1"/>
                <w:color w:val="auto"/>
              </w:rPr>
            </w:pPr>
          </w:p>
        </w:tc>
      </w:tr>
      <w:tr>
        <w:trPr>
          <w:trHeight w:val="21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68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12.70</w:t>
            </w:r>
          </w:p>
        </w:tc>
        <w:tc>
          <w:tcPr>
            <w:tcW w:w="98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13.80</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w w:val="93"/>
              </w:rPr>
              <w:t>12.23</w:t>
            </w:r>
          </w:p>
        </w:tc>
        <w:tc>
          <w:tcPr>
            <w:tcW w:w="156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8"/>
                <w:szCs w:val="18"/>
                <w:color w:val="auto"/>
              </w:rPr>
              <w:t>9</w:t>
            </w:r>
          </w:p>
        </w:tc>
        <w:tc>
          <w:tcPr>
            <w:tcW w:w="160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0.285</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60" w:right="300" w:hanging="455"/>
        <w:spacing w:after="0" w:line="228" w:lineRule="auto"/>
        <w:tabs>
          <w:tab w:leader="none" w:pos="460" w:val="left"/>
        </w:tabs>
        <w:numPr>
          <w:ilvl w:val="0"/>
          <w:numId w:val="9"/>
        </w:numPr>
        <w:rPr>
          <w:rFonts w:ascii="Times New Roman" w:cs="Times New Roman" w:eastAsia="Times New Roman" w:hAnsi="Times New Roman"/>
          <w:sz w:val="22"/>
          <w:szCs w:val="22"/>
          <w:b w:val="1"/>
          <w:bCs w:val="1"/>
          <w:color w:val="auto"/>
          <w:vertAlign w:val="superscript"/>
        </w:rPr>
      </w:pPr>
      <w:r>
        <w:rPr>
          <w:rFonts w:ascii="Times New Roman" w:cs="Times New Roman" w:eastAsia="Times New Roman" w:hAnsi="Times New Roman"/>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spacing w:after="0" w:line="1" w:lineRule="exact"/>
        <w:rPr>
          <w:rFonts w:ascii="Times New Roman" w:cs="Times New Roman" w:eastAsia="Times New Roman" w:hAnsi="Times New Roman"/>
          <w:sz w:val="22"/>
          <w:szCs w:val="22"/>
          <w:b w:val="1"/>
          <w:bCs w:val="1"/>
          <w:color w:val="auto"/>
          <w:vertAlign w:val="superscript"/>
        </w:rPr>
      </w:pPr>
    </w:p>
    <w:p>
      <w:pPr>
        <w:ind w:left="460" w:hanging="455"/>
        <w:spacing w:after="0" w:line="199" w:lineRule="auto"/>
        <w:tabs>
          <w:tab w:leader="none" w:pos="460" w:val="left"/>
        </w:tabs>
        <w:numPr>
          <w:ilvl w:val="0"/>
          <w:numId w:val="9"/>
        </w:numPr>
        <w:rPr>
          <w:rFonts w:ascii="Times New Roman" w:cs="Times New Roman" w:eastAsia="Times New Roman" w:hAnsi="Times New Roman"/>
          <w:sz w:val="22"/>
          <w:szCs w:val="22"/>
          <w:b w:val="1"/>
          <w:bCs w:val="1"/>
          <w:color w:val="auto"/>
          <w:vertAlign w:val="superscript"/>
        </w:rPr>
      </w:pPr>
      <w:r>
        <w:rPr>
          <w:rFonts w:ascii="Times New Roman" w:cs="Times New Roman" w:eastAsia="Times New Roman" w:hAnsi="Times New Roman"/>
          <w:sz w:val="18"/>
          <w:szCs w:val="18"/>
          <w:color w:val="auto"/>
        </w:rPr>
        <w:t>Calculated as the respective high or low closing sales price less NAV per share, divided by the quarter-end NAV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-407670</wp:posOffset>
            </wp:positionV>
            <wp:extent cx="7854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174" w:lineRule="exact"/>
        <w:rPr>
          <w:sz w:val="20"/>
          <w:szCs w:val="20"/>
          <w:color w:val="auto"/>
        </w:rPr>
      </w:pPr>
    </w:p>
    <w:p>
      <w:pPr>
        <w:jc w:val="both"/>
        <w:ind w:right="80" w:firstLine="450"/>
        <w:spacing w:after="0" w:line="250" w:lineRule="auto"/>
        <w:rPr>
          <w:sz w:val="20"/>
          <w:szCs w:val="20"/>
          <w:color w:val="auto"/>
        </w:rPr>
      </w:pPr>
      <w:r>
        <w:rPr>
          <w:rFonts w:ascii="Times New Roman" w:cs="Times New Roman" w:eastAsia="Times New Roman" w:hAnsi="Times New Roman"/>
          <w:sz w:val="18"/>
          <w:szCs w:val="18"/>
          <w:color w:val="auto"/>
        </w:rPr>
        <w:t>Shares of BDCs may trade at a market price both above and below the NAV that is attributable to those shares. Our shares have traded above and below our NAV. Our shares closed on the New York Stock Exchange at $11.38 and $10.61 on March 31, 2024 and 2023, respectively. Our NAV per share was $11.40 and $11.15 as of the same dates.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Unregistered Securities</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did not engage in any sales of unregistered securities during the quarter ended March 31, 2024.</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did not repurchase any of our common stock under our share repurchase plan during the quarter ended March 31, 2024.</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290" w:right="3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7178040" cy="54610"/>
                    </a:xfrm>
                    <a:prstGeom prst="rect">
                      <a:avLst/>
                    </a:prstGeom>
                    <a:noFill/>
                  </pic:spPr>
                </pic:pic>
              </a:graphicData>
            </a:graphic>
          </wp:anchor>
        </w:drawing>
        <w:t>SALES OF COMMON STOCK BELOW NET ASSET VALUE</w:t>
      </w:r>
    </w:p>
    <w:p>
      <w:pPr>
        <w:spacing w:after="0" w:line="216" w:lineRule="exact"/>
        <w:rPr>
          <w:sz w:val="20"/>
          <w:szCs w:val="20"/>
          <w:color w:val="auto"/>
        </w:rPr>
      </w:pPr>
    </w:p>
    <w:p>
      <w:pPr>
        <w:ind w:right="240" w:firstLine="450"/>
        <w:spacing w:after="0" w:line="303" w:lineRule="auto"/>
        <w:rPr>
          <w:sz w:val="20"/>
          <w:szCs w:val="20"/>
          <w:color w:val="auto"/>
        </w:rPr>
      </w:pPr>
      <w:r>
        <w:rPr>
          <w:rFonts w:ascii="Times New Roman" w:cs="Times New Roman" w:eastAsia="Times New Roman" w:hAnsi="Times New Roman"/>
          <w:sz w:val="16"/>
          <w:szCs w:val="16"/>
          <w:color w:val="auto"/>
        </w:rPr>
        <w:t>Our stockholders may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53" w:lineRule="exact"/>
        <w:rPr>
          <w:sz w:val="20"/>
          <w:szCs w:val="20"/>
          <w:color w:val="auto"/>
        </w:rPr>
      </w:pPr>
    </w:p>
    <w:p>
      <w:pPr>
        <w:ind w:left="1000" w:right="380" w:hanging="442"/>
        <w:spacing w:after="0" w:line="268"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that an offering below NAV per share would have on our stockholders, including the potential dilution they would experience as a result of the offering;</w:t>
      </w:r>
    </w:p>
    <w:p>
      <w:pPr>
        <w:spacing w:after="0" w:line="77" w:lineRule="exact"/>
        <w:rPr>
          <w:rFonts w:ascii="Times New Roman" w:cs="Times New Roman" w:eastAsia="Times New Roman" w:hAnsi="Times New Roman"/>
          <w:sz w:val="18"/>
          <w:szCs w:val="18"/>
          <w:color w:val="auto"/>
        </w:rPr>
      </w:pPr>
    </w:p>
    <w:p>
      <w:pPr>
        <w:ind w:left="1000" w:right="260" w:hanging="442"/>
        <w:spacing w:after="0" w:line="268"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per share by which the offering price per share and the net proceeds per share are less than the most recently determined NAV per share;</w:t>
      </w:r>
    </w:p>
    <w:p>
      <w:pPr>
        <w:spacing w:after="0" w:line="77" w:lineRule="exact"/>
        <w:rPr>
          <w:rFonts w:ascii="Times New Roman" w:cs="Times New Roman" w:eastAsia="Times New Roman" w:hAnsi="Times New Roman"/>
          <w:sz w:val="18"/>
          <w:szCs w:val="18"/>
          <w:color w:val="auto"/>
        </w:rPr>
      </w:pPr>
    </w:p>
    <w:p>
      <w:pPr>
        <w:ind w:left="1000" w:right="180" w:hanging="442"/>
        <w:spacing w:after="0" w:line="268"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relationship of recent market prices of our common stock to NAV per share and the potential impact of the offering on the market price per share of our common stock;</w:t>
      </w:r>
    </w:p>
    <w:p>
      <w:pPr>
        <w:spacing w:after="0" w:line="77" w:lineRule="exact"/>
        <w:rPr>
          <w:rFonts w:ascii="Times New Roman" w:cs="Times New Roman" w:eastAsia="Times New Roman" w:hAnsi="Times New Roman"/>
          <w:sz w:val="18"/>
          <w:szCs w:val="18"/>
          <w:color w:val="auto"/>
        </w:rPr>
      </w:pPr>
    </w:p>
    <w:p>
      <w:pPr>
        <w:ind w:left="1000" w:right="160" w:hanging="442"/>
        <w:spacing w:after="0" w:line="268"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estimated offering price would closely approximate the market value of our shares, less distributing commissions or discounts, and would not be below current market price;</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market impact of being able to raise capital in the current financial market;</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any new investors anticipated to acquire shares in the offering;</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rate of return on and quality, type and availability of investments;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leverage available to us, both before and after the offering and other borrowing terms; and</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investment opportunities available relative to the potential dilutive effect of additional capital at the time of the offering.</w:t>
      </w:r>
    </w:p>
    <w:p>
      <w:pPr>
        <w:spacing w:after="0" w:line="214" w:lineRule="exact"/>
        <w:rPr>
          <w:sz w:val="20"/>
          <w:szCs w:val="20"/>
          <w:color w:val="auto"/>
        </w:rPr>
      </w:pPr>
    </w:p>
    <w:p>
      <w:pPr>
        <w:ind w:right="100" w:firstLine="450"/>
        <w:spacing w:after="0" w:line="256" w:lineRule="auto"/>
        <w:rPr>
          <w:sz w:val="20"/>
          <w:szCs w:val="20"/>
          <w:color w:val="auto"/>
        </w:rPr>
      </w:pPr>
      <w:r>
        <w:rPr>
          <w:rFonts w:ascii="Times New Roman" w:cs="Times New Roman" w:eastAsia="Times New Roman" w:hAnsi="Times New Roman"/>
          <w:sz w:val="18"/>
          <w:szCs w:val="18"/>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PennantPark Floating Rate Capital Ltd. or from the offering of common stock at a premium to NAV per share.</w:t>
      </w:r>
    </w:p>
    <w:p>
      <w:pPr>
        <w:spacing w:after="0" w:line="180"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18"/>
          <w:szCs w:val="18"/>
          <w:color w:val="auto"/>
        </w:rPr>
        <w:t>Sales by us of our common stock at a discount from NAV pose potential risks for our existing stockholders whether or not they participate in the offering, as well as for new investors who participate in the offering. As of the date of this registration statement, stockholders have not approved sales of our common stock below our then current NAV per share.</w:t>
      </w:r>
    </w:p>
    <w:p>
      <w:pPr>
        <w:spacing w:after="0" w:line="180" w:lineRule="exact"/>
        <w:rPr>
          <w:sz w:val="20"/>
          <w:szCs w:val="20"/>
          <w:color w:val="auto"/>
        </w:rPr>
      </w:pPr>
    </w:p>
    <w:p>
      <w:pPr>
        <w:ind w:firstLine="450"/>
        <w:spacing w:after="0" w:line="278" w:lineRule="auto"/>
        <w:rPr>
          <w:sz w:val="20"/>
          <w:szCs w:val="20"/>
          <w:color w:val="auto"/>
        </w:rPr>
      </w:pPr>
      <w:r>
        <w:rPr>
          <w:rFonts w:ascii="Times New Roman" w:cs="Times New Roman" w:eastAsia="Times New Roman" w:hAnsi="Times New Roman"/>
          <w:sz w:val="16"/>
          <w:szCs w:val="16"/>
          <w:color w:val="auto"/>
        </w:rPr>
        <w:t>We will not seek to sell shares under a prospectus supplement to the registration statement, or a post-effective amendment to the registration statement, of which this prospectus forms a part (the “current registration statement”) if the cumulative dilution to our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For example, if our most recently determined NAV per share at the time of the first offering is $10.00, and we have 100 million shares outstanding, the sale of an additional</w:t>
      </w:r>
    </w:p>
    <w:p>
      <w:pPr>
        <w:spacing w:after="0" w:line="2"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25 million shares at net proceeds to us of $5.00 per share (a 50% discount) would produce dilution of 10.0%. If we subsequently determined that our NAV per share increased to $11.00 on the then outstanding 125 million shares and contemplated an additional offering, we could, for example, propose to sell approximately 31.25 million additional shares at a price that would be expected to yield net proceeds to us of $8.25 per share, resulting in incremental dilution of 5.0%, before we would reach the aggregate 15% limit. If we file a new post-effective amendment, the threshold would reset.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290" w:right="339" w:bottom="1440" w:gutter="0" w:footer="0" w:header="0"/>
        </w:sectPr>
      </w:pPr>
    </w:p>
    <w:bookmarkStart w:id="20" w:name="page21"/>
    <w:bookmarkEnd w:id="20"/>
    <w:p>
      <w:pPr>
        <w:ind w:right="160" w:firstLine="45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77" w:lineRule="exact"/>
        <w:rPr>
          <w:sz w:val="20"/>
          <w:szCs w:val="20"/>
          <w:color w:val="auto"/>
        </w:rPr>
      </w:pPr>
    </w:p>
    <w:p>
      <w:pPr>
        <w:ind w:left="1000" w:hanging="442"/>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stockholders who do not purchase any shares in the offering;</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existing stockholders who purchase a relatively small amount of shares in the offering or a relatively large amount of shares in the offering; and</w:t>
      </w:r>
    </w:p>
    <w:p>
      <w:pPr>
        <w:spacing w:after="0" w:line="144" w:lineRule="exact"/>
        <w:rPr>
          <w:rFonts w:ascii="Times New Roman" w:cs="Times New Roman" w:eastAsia="Times New Roman" w:hAnsi="Times New Roman"/>
          <w:sz w:val="16"/>
          <w:szCs w:val="16"/>
          <w:color w:val="auto"/>
        </w:rPr>
      </w:pPr>
    </w:p>
    <w:p>
      <w:pPr>
        <w:ind w:left="1000" w:hanging="442"/>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investors who become stockholders by purchasing shares in the offering.</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on Existing Stockholders who do not Participate in the Offering</w:t>
      </w:r>
    </w:p>
    <w:p>
      <w:pPr>
        <w:spacing w:after="0" w:line="113" w:lineRule="exact"/>
        <w:rPr>
          <w:sz w:val="20"/>
          <w:szCs w:val="20"/>
          <w:color w:val="auto"/>
        </w:rPr>
      </w:pPr>
    </w:p>
    <w:p>
      <w:pPr>
        <w:ind w:firstLine="450"/>
        <w:spacing w:after="0" w:line="248" w:lineRule="auto"/>
        <w:rPr>
          <w:sz w:val="20"/>
          <w:szCs w:val="20"/>
          <w:color w:val="auto"/>
        </w:rPr>
      </w:pPr>
      <w:r>
        <w:rPr>
          <w:rFonts w:ascii="Times New Roman" w:cs="Times New Roman" w:eastAsia="Times New Roman" w:hAnsi="Times New Roman"/>
          <w:sz w:val="18"/>
          <w:szCs w:val="18"/>
          <w:color w:val="auto"/>
        </w:rPr>
        <w:t>Our existing stockholders who do not participate, or who are not given the opportunity to participate, in an offering below NAV per share or who do not buy additional shares in the secondary market at the same or lower price we obtain in the offering (after any underwriting discounts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87" w:lineRule="exact"/>
        <w:rPr>
          <w:sz w:val="20"/>
          <w:szCs w:val="20"/>
          <w:color w:val="auto"/>
        </w:rPr>
      </w:pPr>
    </w:p>
    <w:p>
      <w:pPr>
        <w:ind w:right="20" w:firstLine="450"/>
        <w:spacing w:after="0" w:line="256" w:lineRule="auto"/>
        <w:rPr>
          <w:sz w:val="20"/>
          <w:szCs w:val="20"/>
          <w:color w:val="auto"/>
        </w:rPr>
      </w:pPr>
      <w:r>
        <w:rPr>
          <w:rFonts w:ascii="Times New Roman" w:cs="Times New Roman" w:eastAsia="Times New Roman" w:hAnsi="Times New Roman"/>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80" w:lineRule="exact"/>
        <w:rPr>
          <w:sz w:val="20"/>
          <w:szCs w:val="20"/>
          <w:color w:val="auto"/>
        </w:rPr>
      </w:pPr>
    </w:p>
    <w:p>
      <w:pPr>
        <w:ind w:right="380" w:firstLine="450"/>
        <w:spacing w:after="0" w:line="252" w:lineRule="auto"/>
        <w:rPr>
          <w:sz w:val="20"/>
          <w:szCs w:val="20"/>
          <w:color w:val="auto"/>
        </w:rPr>
      </w:pPr>
      <w:r>
        <w:rPr>
          <w:rFonts w:ascii="Times New Roman" w:cs="Times New Roman" w:eastAsia="Times New Roman" w:hAnsi="Times New Roman"/>
          <w:sz w:val="18"/>
          <w:szCs w:val="18"/>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effect on nonparticipating stockholder A of (1) an offering of 50,000 shares (5% of the outstanding shares) at $9.50 per share after any underwriting discounts and commissions (a 5% discount from NAV); (2) an offering of 100,000 shares (10% of</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00"/>
          </w:cols>
          <w:pgMar w:left="320" w:top="292" w:right="379" w:bottom="1440" w:gutter="0" w:footer="0" w:header="0"/>
        </w:sectPr>
      </w:pPr>
    </w:p>
    <w:bookmarkStart w:id="21" w:name="page22"/>
    <w:bookmarkEnd w:id="21"/>
    <w:p>
      <w:pPr>
        <w:ind w:right="2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gridSpan w:val="2"/>
          </w:tcPr>
          <w:p>
            <w:pPr>
              <w:jc w:val="center"/>
              <w:ind w:right="322"/>
              <w:spacing w:after="0"/>
              <w:rPr>
                <w:sz w:val="20"/>
                <w:szCs w:val="20"/>
                <w:color w:val="auto"/>
              </w:rPr>
            </w:pPr>
            <w:r>
              <w:rPr>
                <w:rFonts w:ascii="Times New Roman" w:cs="Times New Roman" w:eastAsia="Times New Roman" w:hAnsi="Times New Roman"/>
                <w:sz w:val="14"/>
                <w:szCs w:val="14"/>
                <w:b w:val="1"/>
                <w:bCs w:val="1"/>
                <w:color w:val="auto"/>
                <w:w w:val="97"/>
              </w:rPr>
              <w:t>Example 1</w:t>
            </w:r>
          </w:p>
        </w:tc>
        <w:tc>
          <w:tcPr>
            <w:tcW w:w="240" w:type="dxa"/>
            <w:vAlign w:val="bottom"/>
          </w:tcPr>
          <w:p>
            <w:pPr>
              <w:spacing w:after="0"/>
              <w:rPr>
                <w:sz w:val="13"/>
                <w:szCs w:val="13"/>
                <w:color w:val="auto"/>
              </w:rPr>
            </w:pPr>
          </w:p>
        </w:tc>
        <w:tc>
          <w:tcPr>
            <w:tcW w:w="2020" w:type="dxa"/>
            <w:vAlign w:val="bottom"/>
            <w:gridSpan w:val="2"/>
          </w:tcPr>
          <w:p>
            <w:pPr>
              <w:jc w:val="center"/>
              <w:ind w:right="342"/>
              <w:spacing w:after="0"/>
              <w:rPr>
                <w:sz w:val="20"/>
                <w:szCs w:val="20"/>
                <w:color w:val="auto"/>
              </w:rPr>
            </w:pPr>
            <w:r>
              <w:rPr>
                <w:rFonts w:ascii="Times New Roman" w:cs="Times New Roman" w:eastAsia="Times New Roman" w:hAnsi="Times New Roman"/>
                <w:sz w:val="14"/>
                <w:szCs w:val="14"/>
                <w:b w:val="1"/>
                <w:bCs w:val="1"/>
                <w:color w:val="auto"/>
              </w:rPr>
              <w:t>Example 2</w:t>
            </w:r>
          </w:p>
        </w:tc>
        <w:tc>
          <w:tcPr>
            <w:tcW w:w="220" w:type="dxa"/>
            <w:vAlign w:val="bottom"/>
          </w:tcPr>
          <w:p>
            <w:pPr>
              <w:spacing w:after="0"/>
              <w:rPr>
                <w:sz w:val="13"/>
                <w:szCs w:val="13"/>
                <w:color w:val="auto"/>
              </w:rPr>
            </w:pPr>
          </w:p>
        </w:tc>
        <w:tc>
          <w:tcPr>
            <w:tcW w:w="1920" w:type="dxa"/>
            <w:vAlign w:val="bottom"/>
            <w:gridSpan w:val="2"/>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w w:val="97"/>
              </w:rPr>
              <w:t>Example 3</w:t>
            </w:r>
          </w:p>
        </w:tc>
        <w:tc>
          <w:tcPr>
            <w:tcW w:w="0" w:type="dxa"/>
            <w:vAlign w:val="bottom"/>
          </w:tcPr>
          <w:p>
            <w:pPr>
              <w:spacing w:after="0"/>
              <w:rPr>
                <w:sz w:val="1"/>
                <w:szCs w:val="1"/>
                <w:color w:val="auto"/>
              </w:rPr>
            </w:pPr>
          </w:p>
        </w:tc>
      </w:tr>
      <w:tr>
        <w:trPr>
          <w:trHeight w:val="145"/>
        </w:trPr>
        <w:tc>
          <w:tcPr>
            <w:tcW w:w="3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gridSpan w:val="2"/>
          </w:tcPr>
          <w:p>
            <w:pPr>
              <w:jc w:val="center"/>
              <w:ind w:right="302"/>
              <w:spacing w:after="0" w:line="145" w:lineRule="exact"/>
              <w:rPr>
                <w:sz w:val="20"/>
                <w:szCs w:val="20"/>
                <w:color w:val="auto"/>
              </w:rPr>
            </w:pPr>
            <w:r>
              <w:rPr>
                <w:rFonts w:ascii="Times New Roman" w:cs="Times New Roman" w:eastAsia="Times New Roman" w:hAnsi="Times New Roman"/>
                <w:sz w:val="14"/>
                <w:szCs w:val="14"/>
                <w:b w:val="1"/>
                <w:bCs w:val="1"/>
                <w:color w:val="auto"/>
              </w:rPr>
              <w:t>5% Offering</w:t>
            </w:r>
          </w:p>
        </w:tc>
        <w:tc>
          <w:tcPr>
            <w:tcW w:w="240" w:type="dxa"/>
            <w:vAlign w:val="bottom"/>
          </w:tcPr>
          <w:p>
            <w:pPr>
              <w:spacing w:after="0"/>
              <w:rPr>
                <w:sz w:val="12"/>
                <w:szCs w:val="12"/>
                <w:color w:val="auto"/>
              </w:rPr>
            </w:pPr>
          </w:p>
        </w:tc>
        <w:tc>
          <w:tcPr>
            <w:tcW w:w="2020" w:type="dxa"/>
            <w:vAlign w:val="bottom"/>
            <w:gridSpan w:val="2"/>
          </w:tcPr>
          <w:p>
            <w:pPr>
              <w:jc w:val="center"/>
              <w:ind w:right="342"/>
              <w:spacing w:after="0" w:line="145" w:lineRule="exact"/>
              <w:rPr>
                <w:sz w:val="20"/>
                <w:szCs w:val="20"/>
                <w:color w:val="auto"/>
              </w:rPr>
            </w:pPr>
            <w:r>
              <w:rPr>
                <w:rFonts w:ascii="Times New Roman" w:cs="Times New Roman" w:eastAsia="Times New Roman" w:hAnsi="Times New Roman"/>
                <w:sz w:val="14"/>
                <w:szCs w:val="14"/>
                <w:b w:val="1"/>
                <w:bCs w:val="1"/>
                <w:color w:val="auto"/>
              </w:rPr>
              <w:t>10% Offering</w:t>
            </w:r>
          </w:p>
        </w:tc>
        <w:tc>
          <w:tcPr>
            <w:tcW w:w="220" w:type="dxa"/>
            <w:vAlign w:val="bottom"/>
          </w:tcPr>
          <w:p>
            <w:pPr>
              <w:spacing w:after="0"/>
              <w:rPr>
                <w:sz w:val="12"/>
                <w:szCs w:val="12"/>
                <w:color w:val="auto"/>
              </w:rPr>
            </w:pPr>
          </w:p>
        </w:tc>
        <w:tc>
          <w:tcPr>
            <w:tcW w:w="1920" w:type="dxa"/>
            <w:vAlign w:val="bottom"/>
            <w:gridSpan w:val="2"/>
          </w:tcPr>
          <w:p>
            <w:pPr>
              <w:jc w:val="center"/>
              <w:ind w:right="222"/>
              <w:spacing w:after="0" w:line="145" w:lineRule="exact"/>
              <w:rPr>
                <w:sz w:val="20"/>
                <w:szCs w:val="20"/>
                <w:color w:val="auto"/>
              </w:rPr>
            </w:pPr>
            <w:r>
              <w:rPr>
                <w:rFonts w:ascii="Times New Roman" w:cs="Times New Roman" w:eastAsia="Times New Roman" w:hAnsi="Times New Roman"/>
                <w:sz w:val="14"/>
                <w:szCs w:val="14"/>
                <w:b w:val="1"/>
                <w:bCs w:val="1"/>
                <w:color w:val="auto"/>
                <w:w w:val="98"/>
              </w:rPr>
              <w:t>25% Offering</w:t>
            </w:r>
          </w:p>
        </w:tc>
        <w:tc>
          <w:tcPr>
            <w:tcW w:w="0" w:type="dxa"/>
            <w:vAlign w:val="bottom"/>
          </w:tcPr>
          <w:p>
            <w:pPr>
              <w:spacing w:after="0"/>
              <w:rPr>
                <w:sz w:val="1"/>
                <w:szCs w:val="1"/>
                <w:color w:val="auto"/>
              </w:rPr>
            </w:pPr>
          </w:p>
        </w:tc>
      </w:tr>
      <w:tr>
        <w:trPr>
          <w:trHeight w:val="158"/>
        </w:trPr>
        <w:tc>
          <w:tcPr>
            <w:tcW w:w="3420" w:type="dxa"/>
            <w:vAlign w:val="bottom"/>
          </w:tcPr>
          <w:p>
            <w:pPr>
              <w:spacing w:after="0"/>
              <w:rPr>
                <w:sz w:val="13"/>
                <w:szCs w:val="13"/>
                <w:color w:val="auto"/>
              </w:rPr>
            </w:pPr>
          </w:p>
        </w:tc>
        <w:tc>
          <w:tcPr>
            <w:tcW w:w="1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Prior to Sale</w:t>
            </w:r>
          </w:p>
        </w:tc>
        <w:tc>
          <w:tcPr>
            <w:tcW w:w="220" w:type="dxa"/>
            <w:vAlign w:val="bottom"/>
          </w:tcPr>
          <w:p>
            <w:pPr>
              <w:spacing w:after="0"/>
              <w:rPr>
                <w:sz w:val="13"/>
                <w:szCs w:val="13"/>
                <w:color w:val="auto"/>
              </w:rPr>
            </w:pPr>
          </w:p>
        </w:tc>
        <w:tc>
          <w:tcPr>
            <w:tcW w:w="2020" w:type="dxa"/>
            <w:vAlign w:val="bottom"/>
            <w:gridSpan w:val="2"/>
          </w:tcPr>
          <w:p>
            <w:pPr>
              <w:jc w:val="center"/>
              <w:ind w:right="322"/>
              <w:spacing w:after="0" w:line="158" w:lineRule="exact"/>
              <w:rPr>
                <w:sz w:val="20"/>
                <w:szCs w:val="20"/>
                <w:color w:val="auto"/>
              </w:rPr>
            </w:pPr>
            <w:r>
              <w:rPr>
                <w:rFonts w:ascii="Times New Roman" w:cs="Times New Roman" w:eastAsia="Times New Roman" w:hAnsi="Times New Roman"/>
                <w:sz w:val="14"/>
                <w:szCs w:val="14"/>
                <w:b w:val="1"/>
                <w:bCs w:val="1"/>
                <w:color w:val="auto"/>
              </w:rPr>
              <w:t>at 5% Discount</w:t>
            </w:r>
          </w:p>
        </w:tc>
        <w:tc>
          <w:tcPr>
            <w:tcW w:w="240" w:type="dxa"/>
            <w:vAlign w:val="bottom"/>
          </w:tcPr>
          <w:p>
            <w:pPr>
              <w:spacing w:after="0"/>
              <w:rPr>
                <w:sz w:val="13"/>
                <w:szCs w:val="13"/>
                <w:color w:val="auto"/>
              </w:rPr>
            </w:pPr>
          </w:p>
        </w:tc>
        <w:tc>
          <w:tcPr>
            <w:tcW w:w="2020" w:type="dxa"/>
            <w:vAlign w:val="bottom"/>
            <w:gridSpan w:val="2"/>
          </w:tcPr>
          <w:p>
            <w:pPr>
              <w:jc w:val="center"/>
              <w:ind w:right="342"/>
              <w:spacing w:after="0" w:line="158" w:lineRule="exact"/>
              <w:rPr>
                <w:sz w:val="20"/>
                <w:szCs w:val="20"/>
                <w:color w:val="auto"/>
              </w:rPr>
            </w:pPr>
            <w:r>
              <w:rPr>
                <w:rFonts w:ascii="Times New Roman" w:cs="Times New Roman" w:eastAsia="Times New Roman" w:hAnsi="Times New Roman"/>
                <w:sz w:val="14"/>
                <w:szCs w:val="14"/>
                <w:b w:val="1"/>
                <w:bCs w:val="1"/>
                <w:color w:val="auto"/>
              </w:rPr>
              <w:t>at 10% Discount</w:t>
            </w:r>
          </w:p>
        </w:tc>
        <w:tc>
          <w:tcPr>
            <w:tcW w:w="220" w:type="dxa"/>
            <w:vAlign w:val="bottom"/>
          </w:tcPr>
          <w:p>
            <w:pPr>
              <w:spacing w:after="0"/>
              <w:rPr>
                <w:sz w:val="13"/>
                <w:szCs w:val="13"/>
                <w:color w:val="auto"/>
              </w:rPr>
            </w:pPr>
          </w:p>
        </w:tc>
        <w:tc>
          <w:tcPr>
            <w:tcW w:w="1920" w:type="dxa"/>
            <w:vAlign w:val="bottom"/>
            <w:gridSpan w:val="2"/>
          </w:tcPr>
          <w:p>
            <w:pPr>
              <w:jc w:val="center"/>
              <w:ind w:right="222"/>
              <w:spacing w:after="0" w:line="158" w:lineRule="exact"/>
              <w:rPr>
                <w:sz w:val="20"/>
                <w:szCs w:val="20"/>
                <w:color w:val="auto"/>
              </w:rPr>
            </w:pPr>
            <w:r>
              <w:rPr>
                <w:rFonts w:ascii="Times New Roman" w:cs="Times New Roman" w:eastAsia="Times New Roman" w:hAnsi="Times New Roman"/>
                <w:sz w:val="14"/>
                <w:szCs w:val="14"/>
                <w:b w:val="1"/>
                <w:bCs w:val="1"/>
                <w:color w:val="auto"/>
                <w:w w:val="98"/>
              </w:rPr>
              <w:t>at 25% Discount</w:t>
            </w:r>
          </w:p>
        </w:tc>
        <w:tc>
          <w:tcPr>
            <w:tcW w:w="0" w:type="dxa"/>
            <w:vAlign w:val="bottom"/>
          </w:tcPr>
          <w:p>
            <w:pPr>
              <w:spacing w:after="0"/>
              <w:rPr>
                <w:sz w:val="1"/>
                <w:szCs w:val="1"/>
                <w:color w:val="auto"/>
              </w:rPr>
            </w:pPr>
          </w:p>
        </w:tc>
      </w:tr>
      <w:tr>
        <w:trPr>
          <w:trHeight w:val="143"/>
        </w:trPr>
        <w:tc>
          <w:tcPr>
            <w:tcW w:w="34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40" w:type="dxa"/>
            <w:vAlign w:val="bottom"/>
            <w:gridSpan w:val="2"/>
          </w:tcPr>
          <w:p>
            <w:pPr>
              <w:jc w:val="right"/>
              <w:ind w:right="263"/>
              <w:spacing w:after="0" w:line="143" w:lineRule="exact"/>
              <w:rPr>
                <w:sz w:val="20"/>
                <w:szCs w:val="20"/>
                <w:color w:val="auto"/>
              </w:rPr>
            </w:pPr>
            <w:r>
              <w:rPr>
                <w:rFonts w:ascii="Times New Roman" w:cs="Times New Roman" w:eastAsia="Times New Roman" w:hAnsi="Times New Roman"/>
                <w:sz w:val="14"/>
                <w:szCs w:val="14"/>
                <w:b w:val="1"/>
                <w:bCs w:val="1"/>
                <w:color w:val="auto"/>
              </w:rPr>
              <w:t>Following</w:t>
            </w:r>
          </w:p>
        </w:tc>
        <w:tc>
          <w:tcPr>
            <w:tcW w:w="1100" w:type="dxa"/>
            <w:vAlign w:val="bottom"/>
            <w:vMerge w:val="restart"/>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40" w:type="dxa"/>
            <w:vAlign w:val="bottom"/>
            <w:gridSpan w:val="2"/>
          </w:tcPr>
          <w:p>
            <w:pPr>
              <w:jc w:val="right"/>
              <w:ind w:right="263"/>
              <w:spacing w:after="0" w:line="143" w:lineRule="exact"/>
              <w:rPr>
                <w:sz w:val="20"/>
                <w:szCs w:val="20"/>
                <w:color w:val="auto"/>
              </w:rPr>
            </w:pPr>
            <w:r>
              <w:rPr>
                <w:rFonts w:ascii="Times New Roman" w:cs="Times New Roman" w:eastAsia="Times New Roman" w:hAnsi="Times New Roman"/>
                <w:sz w:val="14"/>
                <w:szCs w:val="14"/>
                <w:b w:val="1"/>
                <w:bCs w:val="1"/>
                <w:color w:val="auto"/>
              </w:rPr>
              <w:t>Following</w:t>
            </w:r>
          </w:p>
        </w:tc>
        <w:tc>
          <w:tcPr>
            <w:tcW w:w="1120" w:type="dxa"/>
            <w:vAlign w:val="bottom"/>
            <w:vMerge w:val="restart"/>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40" w:type="dxa"/>
            <w:vAlign w:val="bottom"/>
            <w:gridSpan w:val="2"/>
          </w:tcPr>
          <w:p>
            <w:pPr>
              <w:jc w:val="right"/>
              <w:ind w:right="263"/>
              <w:spacing w:after="0" w:line="143" w:lineRule="exact"/>
              <w:rPr>
                <w:sz w:val="20"/>
                <w:szCs w:val="20"/>
                <w:color w:val="auto"/>
              </w:rPr>
            </w:pPr>
            <w:r>
              <w:rPr>
                <w:rFonts w:ascii="Times New Roman" w:cs="Times New Roman" w:eastAsia="Times New Roman" w:hAnsi="Times New Roman"/>
                <w:sz w:val="14"/>
                <w:szCs w:val="14"/>
                <w:b w:val="1"/>
                <w:bCs w:val="1"/>
                <w:color w:val="auto"/>
              </w:rPr>
              <w:t>Following</w:t>
            </w:r>
          </w:p>
        </w:tc>
        <w:tc>
          <w:tcPr>
            <w:tcW w:w="100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1180" w:type="dxa"/>
            <w:vAlign w:val="bottom"/>
            <w:gridSpan w:val="2"/>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Below NAV</w:t>
            </w:r>
          </w:p>
        </w:tc>
        <w:tc>
          <w:tcPr>
            <w:tcW w:w="220" w:type="dxa"/>
            <w:vAlign w:val="bottom"/>
          </w:tcPr>
          <w:p>
            <w:pPr>
              <w:spacing w:after="0"/>
              <w:rPr>
                <w:sz w:val="14"/>
                <w:szCs w:val="14"/>
                <w:color w:val="auto"/>
              </w:rPr>
            </w:pPr>
          </w:p>
        </w:tc>
        <w:tc>
          <w:tcPr>
            <w:tcW w:w="92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Sale</w:t>
            </w:r>
          </w:p>
        </w:tc>
        <w:tc>
          <w:tcPr>
            <w:tcW w:w="11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Sale</w:t>
            </w:r>
          </w:p>
        </w:tc>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Sale</w:t>
            </w: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Offering Price</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Price per share to public</w:t>
            </w:r>
          </w:p>
        </w:tc>
        <w:tc>
          <w:tcPr>
            <w:tcW w:w="240" w:type="dxa"/>
            <w:vAlign w:val="bottom"/>
          </w:tcPr>
          <w:p>
            <w:pPr>
              <w:spacing w:after="0"/>
              <w:rPr>
                <w:sz w:val="17"/>
                <w:szCs w:val="17"/>
                <w:color w:val="auto"/>
              </w:rPr>
            </w:pPr>
          </w:p>
        </w:tc>
        <w:tc>
          <w:tcPr>
            <w:tcW w:w="94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10.00</w:t>
            </w:r>
          </w:p>
        </w:tc>
        <w:tc>
          <w:tcPr>
            <w:tcW w:w="110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9.47</w:t>
            </w:r>
          </w:p>
        </w:tc>
        <w:tc>
          <w:tcPr>
            <w:tcW w:w="112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7.89</w:t>
            </w:r>
          </w:p>
        </w:tc>
        <w:tc>
          <w:tcPr>
            <w:tcW w:w="100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offering proceeds per share to issuer</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rPr>
              <w:t>9.50</w:t>
            </w:r>
          </w:p>
        </w:tc>
        <w:tc>
          <w:tcPr>
            <w:tcW w:w="110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rPr>
              <w:t>9.00</w:t>
            </w:r>
          </w:p>
        </w:tc>
        <w:tc>
          <w:tcPr>
            <w:tcW w:w="112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rPr>
              <w:t>7.50</w:t>
            </w:r>
          </w:p>
        </w:tc>
        <w:tc>
          <w:tcPr>
            <w:tcW w:w="100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34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Decrease to NAV</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shares outstanding</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1,000,000</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w w:val="96"/>
              </w:rPr>
              <w:t>1,050,000</w:t>
            </w:r>
          </w:p>
        </w:tc>
        <w:tc>
          <w:tcPr>
            <w:tcW w:w="110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5.00%</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w w:val="93"/>
              </w:rPr>
              <w:t>1,100,000</w:t>
            </w: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w w:val="96"/>
              </w:rPr>
              <w:t>1,250,000</w:t>
            </w: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25.00%</w:t>
            </w:r>
          </w:p>
        </w:tc>
        <w:tc>
          <w:tcPr>
            <w:tcW w:w="0" w:type="dxa"/>
            <w:vAlign w:val="bottom"/>
          </w:tcPr>
          <w:p>
            <w:pPr>
              <w:spacing w:after="0"/>
              <w:rPr>
                <w:sz w:val="1"/>
                <w:szCs w:val="1"/>
                <w:color w:val="auto"/>
              </w:rPr>
            </w:pPr>
          </w:p>
        </w:tc>
      </w:tr>
      <w:tr>
        <w:trPr>
          <w:trHeight w:val="197"/>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NAV per share</w:t>
            </w:r>
          </w:p>
        </w:tc>
        <w:tc>
          <w:tcPr>
            <w:tcW w:w="24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9.98</w:t>
            </w:r>
          </w:p>
        </w:tc>
        <w:tc>
          <w:tcPr>
            <w:tcW w:w="11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(0.20)%</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9.91</w:t>
            </w:r>
          </w:p>
        </w:tc>
        <w:tc>
          <w:tcPr>
            <w:tcW w:w="11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(0.90)%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9.50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197"/>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Dilution to Stockholder A</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Shares held by stockholder A</w:t>
            </w:r>
          </w:p>
        </w:tc>
        <w:tc>
          <w:tcPr>
            <w:tcW w:w="240" w:type="dxa"/>
            <w:vAlign w:val="bottom"/>
          </w:tcPr>
          <w:p>
            <w:pPr>
              <w:spacing w:after="0"/>
              <w:rPr>
                <w:sz w:val="17"/>
                <w:szCs w:val="17"/>
                <w:color w:val="auto"/>
              </w:rPr>
            </w:pPr>
          </w:p>
        </w:tc>
        <w:tc>
          <w:tcPr>
            <w:tcW w:w="9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10,000</w:t>
            </w:r>
          </w:p>
        </w:tc>
        <w:tc>
          <w:tcPr>
            <w:tcW w:w="220" w:type="dxa"/>
            <w:vAlign w:val="bottom"/>
          </w:tcPr>
          <w:p>
            <w:pPr>
              <w:spacing w:after="0"/>
              <w:rPr>
                <w:sz w:val="17"/>
                <w:szCs w:val="17"/>
                <w:color w:val="auto"/>
              </w:rPr>
            </w:pPr>
          </w:p>
        </w:tc>
        <w:tc>
          <w:tcPr>
            <w:tcW w:w="92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10,000</w:t>
            </w:r>
          </w:p>
        </w:tc>
        <w:tc>
          <w:tcPr>
            <w:tcW w:w="110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spacing w:after="0"/>
              <w:rPr>
                <w:sz w:val="17"/>
                <w:szCs w:val="17"/>
                <w:color w:val="auto"/>
              </w:rPr>
            </w:pPr>
          </w:p>
        </w:tc>
        <w:tc>
          <w:tcPr>
            <w:tcW w:w="90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10,000</w:t>
            </w:r>
          </w:p>
        </w:tc>
        <w:tc>
          <w:tcPr>
            <w:tcW w:w="112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spacing w:after="0"/>
              <w:rPr>
                <w:sz w:val="17"/>
                <w:szCs w:val="17"/>
                <w:color w:val="auto"/>
              </w:rPr>
            </w:pPr>
          </w:p>
        </w:tc>
        <w:tc>
          <w:tcPr>
            <w:tcW w:w="92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10,000</w:t>
            </w:r>
          </w:p>
        </w:tc>
        <w:tc>
          <w:tcPr>
            <w:tcW w:w="100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Percentage held by stockholder A</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0.95%</w:t>
            </w:r>
          </w:p>
        </w:tc>
        <w:tc>
          <w:tcPr>
            <w:tcW w:w="11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(5.00)%</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0.91%</w:t>
            </w:r>
          </w:p>
        </w:tc>
        <w:tc>
          <w:tcPr>
            <w:tcW w:w="11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(9.00)%</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0.80%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0" w:type="dxa"/>
            <w:vAlign w:val="bottom"/>
          </w:tcPr>
          <w:p>
            <w:pPr>
              <w:spacing w:after="0"/>
              <w:rPr>
                <w:sz w:val="1"/>
                <w:szCs w:val="1"/>
                <w:color w:val="auto"/>
              </w:rPr>
            </w:pPr>
          </w:p>
        </w:tc>
      </w:tr>
      <w:tr>
        <w:trPr>
          <w:trHeight w:val="197"/>
        </w:trPr>
        <w:tc>
          <w:tcPr>
            <w:tcW w:w="3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 Values</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NAV held by stockholder A</w:t>
            </w:r>
          </w:p>
        </w:tc>
        <w:tc>
          <w:tcPr>
            <w:tcW w:w="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100,000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rPr>
              <w:t>99,800</w:t>
            </w:r>
          </w:p>
        </w:tc>
        <w:tc>
          <w:tcPr>
            <w:tcW w:w="11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(0.20)%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rPr>
              <w:t>99,100</w:t>
            </w:r>
          </w:p>
        </w:tc>
        <w:tc>
          <w:tcPr>
            <w:tcW w:w="11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(0.90)%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rPr>
              <w:t>95,000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183"/>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Total investment by stockholder A (assumed to be</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$10.00 per share)</w:t>
            </w:r>
          </w:p>
        </w:tc>
        <w:tc>
          <w:tcPr>
            <w:tcW w:w="24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100,000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100,000</w:t>
            </w:r>
          </w:p>
        </w:tc>
        <w:tc>
          <w:tcPr>
            <w:tcW w:w="110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100,000</w:t>
            </w:r>
          </w:p>
        </w:tc>
        <w:tc>
          <w:tcPr>
            <w:tcW w:w="112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100,000</w:t>
            </w:r>
          </w:p>
        </w:tc>
        <w:tc>
          <w:tcPr>
            <w:tcW w:w="100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8"/>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dilution to stockholder A (total NAV less total</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investment)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(200)</w:t>
            </w:r>
          </w:p>
        </w:tc>
        <w:tc>
          <w:tcPr>
            <w:tcW w:w="110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6"/>
                <w:szCs w:val="16"/>
                <w:color w:val="auto"/>
              </w:rPr>
              <w:t>(900)</w:t>
            </w:r>
          </w:p>
        </w:tc>
        <w:tc>
          <w:tcPr>
            <w:tcW w:w="112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(5,000)</w:t>
            </w:r>
          </w:p>
        </w:tc>
        <w:tc>
          <w:tcPr>
            <w:tcW w:w="100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3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Per Share Amounts</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NAV per share held by stockholder A</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rPr>
              <w:t>9.98</w:t>
            </w:r>
          </w:p>
        </w:tc>
        <w:tc>
          <w:tcPr>
            <w:tcW w:w="110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rPr>
              <w:t>9.91</w:t>
            </w:r>
          </w:p>
        </w:tc>
        <w:tc>
          <w:tcPr>
            <w:tcW w:w="112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rPr>
              <w:t>9.50</w:t>
            </w:r>
          </w:p>
        </w:tc>
        <w:tc>
          <w:tcPr>
            <w:tcW w:w="100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3"/>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Investment per share held by stockholder A</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(assumed to be $10.00 per share on shares held</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prior to sale)</w:t>
            </w:r>
          </w:p>
        </w:tc>
        <w:tc>
          <w:tcPr>
            <w:tcW w:w="24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10.00</w:t>
            </w:r>
          </w:p>
        </w:tc>
        <w:tc>
          <w:tcPr>
            <w:tcW w:w="110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10.00</w:t>
            </w:r>
          </w:p>
        </w:tc>
        <w:tc>
          <w:tcPr>
            <w:tcW w:w="112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10.00</w:t>
            </w:r>
          </w:p>
        </w:tc>
        <w:tc>
          <w:tcPr>
            <w:tcW w:w="100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8"/>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Dilution per share held by stockholder A (NAV per</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share less investment per share)</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(0.02)</w:t>
            </w:r>
          </w:p>
        </w:tc>
        <w:tc>
          <w:tcPr>
            <w:tcW w:w="110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6"/>
                <w:szCs w:val="16"/>
                <w:color w:val="auto"/>
              </w:rPr>
              <w:t>(0.09)</w:t>
            </w:r>
          </w:p>
        </w:tc>
        <w:tc>
          <w:tcPr>
            <w:tcW w:w="112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(0.50)</w:t>
            </w:r>
          </w:p>
        </w:tc>
        <w:tc>
          <w:tcPr>
            <w:tcW w:w="100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3"/>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Percentage dilution to stockholder A (dilution per</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share divided by investment per share)</w:t>
            </w:r>
          </w:p>
        </w:tc>
        <w:tc>
          <w:tcPr>
            <w:tcW w:w="240" w:type="dxa"/>
            <w:vAlign w:val="bottom"/>
          </w:tcPr>
          <w:p>
            <w:pPr>
              <w:spacing w:after="0"/>
              <w:rPr>
                <w:sz w:val="17"/>
                <w:szCs w:val="17"/>
                <w:color w:val="auto"/>
              </w:rPr>
            </w:pPr>
          </w:p>
        </w:tc>
        <w:tc>
          <w:tcPr>
            <w:tcW w:w="94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spacing w:after="0"/>
              <w:rPr>
                <w:sz w:val="17"/>
                <w:szCs w:val="17"/>
                <w:color w:val="auto"/>
              </w:rPr>
            </w:pPr>
          </w:p>
        </w:tc>
        <w:tc>
          <w:tcPr>
            <w:tcW w:w="920" w:type="dxa"/>
            <w:vAlign w:val="bottom"/>
          </w:tcPr>
          <w:p>
            <w:pPr>
              <w:jc w:val="right"/>
              <w:ind w:right="243"/>
              <w:spacing w:after="0"/>
              <w:rPr>
                <w:sz w:val="20"/>
                <w:szCs w:val="20"/>
                <w:color w:val="auto"/>
              </w:rPr>
            </w:pPr>
            <w:r>
              <w:rPr>
                <w:rFonts w:ascii="Times New Roman" w:cs="Times New Roman" w:eastAsia="Times New Roman" w:hAnsi="Times New Roman"/>
                <w:sz w:val="16"/>
                <w:szCs w:val="16"/>
                <w:color w:val="auto"/>
              </w:rPr>
              <w:t>— </w:t>
            </w:r>
          </w:p>
        </w:tc>
        <w:tc>
          <w:tcPr>
            <w:tcW w:w="11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(0.20)%</w:t>
            </w:r>
          </w:p>
        </w:tc>
        <w:tc>
          <w:tcPr>
            <w:tcW w:w="240" w:type="dxa"/>
            <w:vAlign w:val="bottom"/>
          </w:tcPr>
          <w:p>
            <w:pPr>
              <w:spacing w:after="0"/>
              <w:rPr>
                <w:sz w:val="17"/>
                <w:szCs w:val="17"/>
                <w:color w:val="auto"/>
              </w:rPr>
            </w:pPr>
          </w:p>
        </w:tc>
        <w:tc>
          <w:tcPr>
            <w:tcW w:w="900" w:type="dxa"/>
            <w:vAlign w:val="bottom"/>
          </w:tcPr>
          <w:p>
            <w:pPr>
              <w:jc w:val="right"/>
              <w:ind w:right="243"/>
              <w:spacing w:after="0"/>
              <w:rPr>
                <w:sz w:val="20"/>
                <w:szCs w:val="20"/>
                <w:color w:val="auto"/>
              </w:rPr>
            </w:pPr>
            <w:r>
              <w:rPr>
                <w:rFonts w:ascii="Times New Roman" w:cs="Times New Roman" w:eastAsia="Times New Roman" w:hAnsi="Times New Roman"/>
                <w:sz w:val="16"/>
                <w:szCs w:val="16"/>
                <w:color w:val="auto"/>
              </w:rPr>
              <w:t>— </w:t>
            </w:r>
          </w:p>
        </w:tc>
        <w:tc>
          <w:tcPr>
            <w:tcW w:w="11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(0.90)%</w:t>
            </w:r>
          </w:p>
        </w:tc>
        <w:tc>
          <w:tcPr>
            <w:tcW w:w="220" w:type="dxa"/>
            <w:vAlign w:val="bottom"/>
          </w:tcPr>
          <w:p>
            <w:pPr>
              <w:spacing w:after="0"/>
              <w:rPr>
                <w:sz w:val="17"/>
                <w:szCs w:val="17"/>
                <w:color w:val="auto"/>
              </w:rPr>
            </w:pPr>
          </w:p>
        </w:tc>
        <w:tc>
          <w:tcPr>
            <w:tcW w:w="920" w:type="dxa"/>
            <w:vAlign w:val="bottom"/>
          </w:tcPr>
          <w:p>
            <w:pPr>
              <w:jc w:val="right"/>
              <w:ind w:right="243"/>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on Existing Stockholders who Participate in the Offering</w:t>
      </w:r>
    </w:p>
    <w:p>
      <w:pPr>
        <w:spacing w:after="0" w:line="113" w:lineRule="exact"/>
        <w:rPr>
          <w:sz w:val="20"/>
          <w:szCs w:val="20"/>
          <w:color w:val="auto"/>
        </w:rPr>
      </w:pPr>
    </w:p>
    <w:p>
      <w:pPr>
        <w:ind w:right="20" w:firstLine="450"/>
        <w:spacing w:after="0" w:line="280" w:lineRule="auto"/>
        <w:rPr>
          <w:sz w:val="20"/>
          <w:szCs w:val="20"/>
          <w:color w:val="auto"/>
        </w:rPr>
      </w:pPr>
      <w:r>
        <w:rPr>
          <w:rFonts w:ascii="Times New Roman" w:cs="Times New Roman" w:eastAsia="Times New Roman" w:hAnsi="Times New Roman"/>
          <w:sz w:val="16"/>
          <w:szCs w:val="16"/>
          <w:color w:val="auto"/>
        </w:rPr>
        <w:t>Our existing stockholders who participate in an offering below NAV per share or who buy additional shares in the secondary market at the same or lower price as we obtain in the offering (after any underwriting discounts and commissions) will experience the same types of NAV dilution as the nonparticipating stockholders, albeit at a lower level, to the extent they purchase less than the same percentage of the offering below NAV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offerings below NAV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292" w:right="339" w:bottom="1440" w:gutter="0" w:footer="0" w:header="0"/>
        </w:sectPr>
      </w:pPr>
    </w:p>
    <w:bookmarkStart w:id="22" w:name="page23"/>
    <w:bookmarkEnd w:id="22"/>
    <w:p>
      <w:pPr>
        <w:ind w:right="20" w:firstLine="450"/>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 in the hypothetical offering of 25% of the shares outstanding at a 25% discount to NAV from the prior chart for stockholder A that acquires shares equal to (1) 50% of their proportionate share of the offering (i.e., 1,250 shares which is 0.50% of the offering of 250,000 shares rather than their 1.00% proportionate share) and (2) 150% of their proportionate share of the offering (i.e., 3,750 shares which is 1.50% of the offering of 250,000 shares rather than their 1.00% proportionate share).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3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Prior to Sale</w:t>
            </w:r>
          </w:p>
        </w:tc>
        <w:tc>
          <w:tcPr>
            <w:tcW w:w="280" w:type="dxa"/>
            <w:vAlign w:val="bottom"/>
          </w:tcPr>
          <w:p>
            <w:pPr>
              <w:spacing w:after="0"/>
              <w:rPr>
                <w:sz w:val="13"/>
                <w:szCs w:val="13"/>
                <w:color w:val="auto"/>
              </w:rPr>
            </w:pPr>
          </w:p>
        </w:tc>
        <w:tc>
          <w:tcPr>
            <w:tcW w:w="2180" w:type="dxa"/>
            <w:vAlign w:val="bottom"/>
            <w:gridSpan w:val="2"/>
          </w:tcPr>
          <w:p>
            <w:pPr>
              <w:jc w:val="right"/>
              <w:ind w:right="702"/>
              <w:spacing w:after="0"/>
              <w:rPr>
                <w:sz w:val="20"/>
                <w:szCs w:val="20"/>
                <w:color w:val="auto"/>
              </w:rPr>
            </w:pPr>
            <w:r>
              <w:rPr>
                <w:rFonts w:ascii="Times New Roman" w:cs="Times New Roman" w:eastAsia="Times New Roman" w:hAnsi="Times New Roman"/>
                <w:sz w:val="14"/>
                <w:szCs w:val="14"/>
                <w:b w:val="1"/>
                <w:bCs w:val="1"/>
                <w:color w:val="auto"/>
              </w:rPr>
              <w:t>50% Participation</w:t>
            </w:r>
          </w:p>
        </w:tc>
        <w:tc>
          <w:tcPr>
            <w:tcW w:w="280" w:type="dxa"/>
            <w:vAlign w:val="bottom"/>
          </w:tcPr>
          <w:p>
            <w:pPr>
              <w:spacing w:after="0"/>
              <w:rPr>
                <w:sz w:val="13"/>
                <w:szCs w:val="13"/>
                <w:color w:val="auto"/>
              </w:rPr>
            </w:pPr>
          </w:p>
        </w:tc>
        <w:tc>
          <w:tcPr>
            <w:tcW w:w="2020" w:type="dxa"/>
            <w:vAlign w:val="bottom"/>
            <w:gridSpan w:val="2"/>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150% Participation</w:t>
            </w:r>
          </w:p>
        </w:tc>
        <w:tc>
          <w:tcPr>
            <w:tcW w:w="0" w:type="dxa"/>
            <w:vAlign w:val="bottom"/>
          </w:tcPr>
          <w:p>
            <w:pPr>
              <w:spacing w:after="0"/>
              <w:rPr>
                <w:sz w:val="1"/>
                <w:szCs w:val="1"/>
                <w:color w:val="auto"/>
              </w:rPr>
            </w:pPr>
          </w:p>
        </w:tc>
      </w:tr>
      <w:tr>
        <w:trPr>
          <w:trHeight w:val="143"/>
        </w:trPr>
        <w:tc>
          <w:tcPr>
            <w:tcW w:w="5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40" w:type="dxa"/>
            <w:vAlign w:val="bottom"/>
            <w:gridSpan w:val="2"/>
          </w:tcPr>
          <w:p>
            <w:pPr>
              <w:jc w:val="right"/>
              <w:ind w:right="322"/>
              <w:spacing w:after="0" w:line="143" w:lineRule="exact"/>
              <w:rPr>
                <w:sz w:val="20"/>
                <w:szCs w:val="20"/>
                <w:color w:val="auto"/>
              </w:rPr>
            </w:pPr>
            <w:r>
              <w:rPr>
                <w:rFonts w:ascii="Times New Roman" w:cs="Times New Roman" w:eastAsia="Times New Roman" w:hAnsi="Times New Roman"/>
                <w:sz w:val="14"/>
                <w:szCs w:val="14"/>
                <w:b w:val="1"/>
                <w:bCs w:val="1"/>
                <w:color w:val="auto"/>
              </w:rPr>
              <w:t>Following</w:t>
            </w:r>
          </w:p>
        </w:tc>
        <w:tc>
          <w:tcPr>
            <w:tcW w:w="1220" w:type="dxa"/>
            <w:vAlign w:val="bottom"/>
            <w:vMerge w:val="restart"/>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40" w:type="dxa"/>
            <w:vAlign w:val="bottom"/>
            <w:gridSpan w:val="2"/>
          </w:tcPr>
          <w:p>
            <w:pPr>
              <w:jc w:val="right"/>
              <w:ind w:right="322"/>
              <w:spacing w:after="0" w:line="143" w:lineRule="exact"/>
              <w:rPr>
                <w:sz w:val="20"/>
                <w:szCs w:val="20"/>
                <w:color w:val="auto"/>
              </w:rPr>
            </w:pPr>
            <w:r>
              <w:rPr>
                <w:rFonts w:ascii="Times New Roman" w:cs="Times New Roman" w:eastAsia="Times New Roman" w:hAnsi="Times New Roman"/>
                <w:sz w:val="14"/>
                <w:szCs w:val="14"/>
                <w:b w:val="1"/>
                <w:bCs w:val="1"/>
                <w:color w:val="auto"/>
              </w:rPr>
              <w:t>Following</w:t>
            </w:r>
          </w:p>
        </w:tc>
        <w:tc>
          <w:tcPr>
            <w:tcW w:w="106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1320" w:type="dxa"/>
            <w:vAlign w:val="bottom"/>
            <w:gridSpan w:val="2"/>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Below NAV</w:t>
            </w:r>
          </w:p>
        </w:tc>
        <w:tc>
          <w:tcPr>
            <w:tcW w:w="280" w:type="dxa"/>
            <w:vAlign w:val="bottom"/>
          </w:tcPr>
          <w:p>
            <w:pPr>
              <w:spacing w:after="0"/>
              <w:rPr>
                <w:sz w:val="14"/>
                <w:szCs w:val="14"/>
                <w:color w:val="auto"/>
              </w:rPr>
            </w:pPr>
          </w:p>
        </w:tc>
        <w:tc>
          <w:tcPr>
            <w:tcW w:w="96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Sale</w:t>
            </w:r>
          </w:p>
        </w:tc>
        <w:tc>
          <w:tcPr>
            <w:tcW w:w="12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Sale</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Offering Price</w:t>
            </w: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Price per share to public</w:t>
            </w:r>
          </w:p>
        </w:tc>
        <w:tc>
          <w:tcPr>
            <w:tcW w:w="340" w:type="dxa"/>
            <w:vAlign w:val="bottom"/>
          </w:tcPr>
          <w:p>
            <w:pPr>
              <w:spacing w:after="0"/>
              <w:rPr>
                <w:sz w:val="17"/>
                <w:szCs w:val="17"/>
                <w:color w:val="auto"/>
              </w:rPr>
            </w:pPr>
          </w:p>
        </w:tc>
        <w:tc>
          <w:tcPr>
            <w:tcW w:w="98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7.89</w:t>
            </w:r>
          </w:p>
        </w:tc>
        <w:tc>
          <w:tcPr>
            <w:tcW w:w="122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7.89</w:t>
            </w:r>
          </w:p>
        </w:tc>
        <w:tc>
          <w:tcPr>
            <w:tcW w:w="10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proceeds per share to issuer</w:t>
            </w: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rPr>
              <w:t>7.50</w:t>
            </w:r>
          </w:p>
        </w:tc>
        <w:tc>
          <w:tcPr>
            <w:tcW w:w="1220" w:type="dxa"/>
            <w:vAlign w:val="bottom"/>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rPr>
              <w:t>7.50</w:t>
            </w:r>
          </w:p>
        </w:tc>
        <w:tc>
          <w:tcPr>
            <w:tcW w:w="10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51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Increases in Shares and Decrease to NAV</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shares outstanding</w:t>
            </w: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1,000,000</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93"/>
              </w:rPr>
              <w:t>1,250,000</w:t>
            </w:r>
          </w:p>
        </w:tc>
        <w:tc>
          <w:tcPr>
            <w:tcW w:w="12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25.00%</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93"/>
              </w:rPr>
              <w:t>1,250,000</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25.00%</w:t>
            </w:r>
          </w:p>
        </w:tc>
        <w:tc>
          <w:tcPr>
            <w:tcW w:w="0" w:type="dxa"/>
            <w:vAlign w:val="bottom"/>
          </w:tcPr>
          <w:p>
            <w:pPr>
              <w:spacing w:after="0"/>
              <w:rPr>
                <w:sz w:val="1"/>
                <w:szCs w:val="1"/>
                <w:color w:val="auto"/>
              </w:rPr>
            </w:pPr>
          </w:p>
        </w:tc>
      </w:tr>
      <w:tr>
        <w:trPr>
          <w:trHeight w:val="197"/>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NAV per share</w:t>
            </w:r>
          </w:p>
        </w:tc>
        <w:tc>
          <w:tcPr>
            <w:tcW w:w="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10.00</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9.50</w:t>
            </w: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(5.00)%</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9.50</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(Dilution)/Accretion to Participating Stockholder A</w:t>
            </w: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Shares held by stockholder A</w:t>
            </w:r>
          </w:p>
        </w:tc>
        <w:tc>
          <w:tcPr>
            <w:tcW w:w="340" w:type="dxa"/>
            <w:vAlign w:val="bottom"/>
          </w:tcPr>
          <w:p>
            <w:pPr>
              <w:spacing w:after="0"/>
              <w:rPr>
                <w:sz w:val="17"/>
                <w:szCs w:val="17"/>
                <w:color w:val="auto"/>
              </w:rPr>
            </w:pPr>
          </w:p>
        </w:tc>
        <w:tc>
          <w:tcPr>
            <w:tcW w:w="98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10,000</w:t>
            </w:r>
          </w:p>
        </w:tc>
        <w:tc>
          <w:tcPr>
            <w:tcW w:w="280" w:type="dxa"/>
            <w:vAlign w:val="bottom"/>
          </w:tcPr>
          <w:p>
            <w:pPr>
              <w:spacing w:after="0"/>
              <w:rPr>
                <w:sz w:val="17"/>
                <w:szCs w:val="17"/>
                <w:color w:val="auto"/>
              </w:rPr>
            </w:pPr>
          </w:p>
        </w:tc>
        <w:tc>
          <w:tcPr>
            <w:tcW w:w="96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11,250</w:t>
            </w:r>
          </w:p>
        </w:tc>
        <w:tc>
          <w:tcPr>
            <w:tcW w:w="12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12.50%</w:t>
            </w:r>
          </w:p>
        </w:tc>
        <w:tc>
          <w:tcPr>
            <w:tcW w:w="280" w:type="dxa"/>
            <w:vAlign w:val="bottom"/>
          </w:tcPr>
          <w:p>
            <w:pPr>
              <w:spacing w:after="0"/>
              <w:rPr>
                <w:sz w:val="17"/>
                <w:szCs w:val="17"/>
                <w:color w:val="auto"/>
              </w:rPr>
            </w:pPr>
          </w:p>
        </w:tc>
        <w:tc>
          <w:tcPr>
            <w:tcW w:w="96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13,750</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37.50%</w:t>
            </w: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Percentage held by stockholder A</w:t>
            </w: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1.00%</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0.90%</w:t>
            </w: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(10.00)%</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1.10%</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197"/>
        </w:trPr>
        <w:tc>
          <w:tcPr>
            <w:tcW w:w="5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 Values</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NAV held by stockholder A</w:t>
            </w:r>
          </w:p>
        </w:tc>
        <w:tc>
          <w:tcPr>
            <w:tcW w:w="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100,000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rPr>
              <w:t>106,875</w:t>
            </w:r>
          </w:p>
        </w:tc>
        <w:tc>
          <w:tcPr>
            <w:tcW w:w="12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6.88%</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rPr>
              <w:t>130,625</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30.63%</w:t>
            </w:r>
          </w:p>
        </w:tc>
        <w:tc>
          <w:tcPr>
            <w:tcW w:w="0" w:type="dxa"/>
            <w:vAlign w:val="bottom"/>
          </w:tcPr>
          <w:p>
            <w:pPr>
              <w:spacing w:after="0"/>
              <w:rPr>
                <w:sz w:val="1"/>
                <w:szCs w:val="1"/>
                <w:color w:val="auto"/>
              </w:rPr>
            </w:pPr>
          </w:p>
        </w:tc>
      </w:tr>
      <w:tr>
        <w:trPr>
          <w:trHeight w:val="183"/>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Total investment by stockholder A (assumed to be $10.00 per share on shares</w:t>
            </w: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held prior to sale)</w:t>
            </w:r>
          </w:p>
        </w:tc>
        <w:tc>
          <w:tcPr>
            <w:tcW w:w="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100,000</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109,863</w:t>
            </w:r>
          </w:p>
        </w:tc>
        <w:tc>
          <w:tcPr>
            <w:tcW w:w="12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9.86%</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129,588</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29.59%</w:t>
            </w:r>
          </w:p>
        </w:tc>
        <w:tc>
          <w:tcPr>
            <w:tcW w:w="0" w:type="dxa"/>
            <w:vAlign w:val="bottom"/>
          </w:tcPr>
          <w:p>
            <w:pPr>
              <w:spacing w:after="0"/>
              <w:rPr>
                <w:sz w:val="1"/>
                <w:szCs w:val="1"/>
                <w:color w:val="auto"/>
              </w:rPr>
            </w:pPr>
          </w:p>
        </w:tc>
      </w:tr>
      <w:tr>
        <w:trPr>
          <w:trHeight w:val="202"/>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(dilution)/accretion to stockholder A (total NAV less total investment)</w:t>
            </w: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(2,988)</w:t>
            </w:r>
          </w:p>
        </w:tc>
        <w:tc>
          <w:tcPr>
            <w:tcW w:w="1220" w:type="dxa"/>
            <w:vAlign w:val="bottom"/>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rPr>
              <w:t>1,037</w:t>
            </w:r>
          </w:p>
        </w:tc>
        <w:tc>
          <w:tcPr>
            <w:tcW w:w="10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5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Per Share Amounts</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NAV per share held by stockholder A</w:t>
            </w: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rPr>
              <w:t>9.50</w:t>
            </w:r>
          </w:p>
        </w:tc>
        <w:tc>
          <w:tcPr>
            <w:tcW w:w="1220" w:type="dxa"/>
            <w:vAlign w:val="bottom"/>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rPr>
              <w:t>9.50</w:t>
            </w:r>
          </w:p>
        </w:tc>
        <w:tc>
          <w:tcPr>
            <w:tcW w:w="10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3"/>
        </w:trPr>
        <w:tc>
          <w:tcPr>
            <w:tcW w:w="5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Investment per share held by stockholder A (assumed to be $10.00 per</w:t>
            </w: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share on shares held prior to sale)</w:t>
            </w:r>
          </w:p>
        </w:tc>
        <w:tc>
          <w:tcPr>
            <w:tcW w:w="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10.00</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9.77</w:t>
            </w: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(2.30)%</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9.42</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0" w:type="dxa"/>
            <w:vAlign w:val="bottom"/>
          </w:tcPr>
          <w:p>
            <w:pPr>
              <w:spacing w:after="0"/>
              <w:rPr>
                <w:sz w:val="1"/>
                <w:szCs w:val="1"/>
                <w:color w:val="auto"/>
              </w:rPr>
            </w:pPr>
          </w:p>
        </w:tc>
      </w:tr>
      <w:tr>
        <w:trPr>
          <w:trHeight w:val="186"/>
        </w:trPr>
        <w:tc>
          <w:tcPr>
            <w:tcW w:w="5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(Dilution)/accretion per share held by stockholder A (NAV per share less</w:t>
            </w:r>
          </w:p>
        </w:tc>
        <w:tc>
          <w:tcPr>
            <w:tcW w:w="3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investment per share)</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(0.27)</w:t>
            </w:r>
          </w:p>
        </w:tc>
        <w:tc>
          <w:tcPr>
            <w:tcW w:w="1220" w:type="dxa"/>
            <w:vAlign w:val="bottom"/>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rPr>
              <w:t>0.08</w:t>
            </w:r>
          </w:p>
        </w:tc>
        <w:tc>
          <w:tcPr>
            <w:tcW w:w="10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3"/>
        </w:trPr>
        <w:tc>
          <w:tcPr>
            <w:tcW w:w="5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Percentage (dilution)/accretion to stockholder A (dilution)/accretion per</w:t>
            </w: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1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share divided by investment per share</w:t>
            </w:r>
          </w:p>
        </w:tc>
        <w:tc>
          <w:tcPr>
            <w:tcW w:w="340" w:type="dxa"/>
            <w:vAlign w:val="bottom"/>
          </w:tcPr>
          <w:p>
            <w:pPr>
              <w:spacing w:after="0"/>
              <w:rPr>
                <w:sz w:val="17"/>
                <w:szCs w:val="17"/>
                <w:color w:val="auto"/>
              </w:rPr>
            </w:pPr>
          </w:p>
        </w:tc>
        <w:tc>
          <w:tcPr>
            <w:tcW w:w="98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tcPr>
          <w:p>
            <w:pPr>
              <w:spacing w:after="0"/>
              <w:rPr>
                <w:sz w:val="17"/>
                <w:szCs w:val="17"/>
                <w:color w:val="auto"/>
              </w:rPr>
            </w:pPr>
          </w:p>
        </w:tc>
        <w:tc>
          <w:tcPr>
            <w:tcW w:w="96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(2.76)%</w:t>
            </w:r>
          </w:p>
        </w:tc>
        <w:tc>
          <w:tcPr>
            <w:tcW w:w="280" w:type="dxa"/>
            <w:vAlign w:val="bottom"/>
          </w:tcPr>
          <w:p>
            <w:pPr>
              <w:spacing w:after="0"/>
              <w:rPr>
                <w:sz w:val="17"/>
                <w:szCs w:val="17"/>
                <w:color w:val="auto"/>
              </w:rPr>
            </w:pPr>
          </w:p>
        </w:tc>
        <w:tc>
          <w:tcPr>
            <w:tcW w:w="96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0.85%</w:t>
            </w:r>
          </w:p>
        </w:tc>
        <w:tc>
          <w:tcPr>
            <w:tcW w:w="0" w:type="dxa"/>
            <w:vAlign w:val="bottom"/>
          </w:tcPr>
          <w:p>
            <w:pPr>
              <w:spacing w:after="0"/>
              <w:rPr>
                <w:sz w:val="1"/>
                <w:szCs w:val="1"/>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on New Investors</w:t>
      </w:r>
    </w:p>
    <w:p>
      <w:pPr>
        <w:spacing w:after="0" w:line="113" w:lineRule="exact"/>
        <w:rPr>
          <w:sz w:val="20"/>
          <w:szCs w:val="20"/>
          <w:color w:val="auto"/>
        </w:rPr>
      </w:pPr>
    </w:p>
    <w:p>
      <w:pPr>
        <w:ind w:right="60" w:firstLine="450"/>
        <w:spacing w:after="0" w:line="256" w:lineRule="auto"/>
        <w:rPr>
          <w:sz w:val="20"/>
          <w:szCs w:val="20"/>
          <w:color w:val="auto"/>
        </w:rPr>
      </w:pPr>
      <w:r>
        <w:rPr>
          <w:rFonts w:ascii="Times New Roman" w:cs="Times New Roman" w:eastAsia="Times New Roman" w:hAnsi="Times New Roman"/>
          <w:sz w:val="18"/>
          <w:szCs w:val="18"/>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80" w:lineRule="exact"/>
        <w:rPr>
          <w:sz w:val="20"/>
          <w:szCs w:val="20"/>
          <w:color w:val="auto"/>
        </w:rPr>
      </w:pPr>
    </w:p>
    <w:p>
      <w:pPr>
        <w:ind w:right="120" w:firstLine="450"/>
        <w:spacing w:after="0" w:line="247" w:lineRule="auto"/>
        <w:rPr>
          <w:sz w:val="20"/>
          <w:szCs w:val="20"/>
          <w:color w:val="auto"/>
        </w:rPr>
      </w:pPr>
      <w:r>
        <w:rPr>
          <w:rFonts w:ascii="Times New Roman" w:cs="Times New Roman" w:eastAsia="Times New Roman" w:hAnsi="Times New Roman"/>
          <w:sz w:val="18"/>
          <w:szCs w:val="18"/>
          <w:color w:val="auto"/>
        </w:rPr>
        <w:t>Investors who are not currently stockholders, but who participate in an offering below NAV and whose investment per share is greater than the resulting NAV per share due to any underwriting discounts and commissions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any underwriting discounts and commissions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offerings below NAV in which such new stockholder does not participate, in which case such new</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292" w:right="339" w:bottom="1440" w:gutter="0" w:footer="0" w:header="0"/>
        </w:sectPr>
      </w:pPr>
    </w:p>
    <w:bookmarkStart w:id="23" w:name="page24"/>
    <w:bookmarkEnd w:id="23"/>
    <w:p>
      <w:pPr>
        <w:jc w:val="both"/>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178040" cy="54610"/>
                    </a:xfrm>
                    <a:prstGeom prst="rect">
                      <a:avLst/>
                    </a:prstGeom>
                    <a:noFill/>
                  </pic:spPr>
                </pic:pic>
              </a:graphicData>
            </a:graphic>
          </wp:anchor>
        </w:drawing>
        <w:t>stockholder will experience dilution as described above in such subsequent offerings. These investors may also experience a decline in the market price of their shares, which often reflects to some degree announced or potential increases and decreases in NAV per share. Their decrease could be more pronounced as the size of the offering and level of discounts increases.</w:t>
      </w:r>
    </w:p>
    <w:p>
      <w:pPr>
        <w:spacing w:after="0" w:line="180" w:lineRule="exact"/>
        <w:rPr>
          <w:sz w:val="20"/>
          <w:szCs w:val="20"/>
          <w:color w:val="auto"/>
        </w:rPr>
      </w:pPr>
    </w:p>
    <w:p>
      <w:pPr>
        <w:ind w:right="80" w:firstLine="450"/>
        <w:spacing w:after="0" w:line="247" w:lineRule="auto"/>
        <w:rPr>
          <w:sz w:val="20"/>
          <w:szCs w:val="20"/>
          <w:color w:val="auto"/>
        </w:rPr>
      </w:pPr>
      <w:r>
        <w:rPr>
          <w:rFonts w:ascii="Times New Roman" w:cs="Times New Roman" w:eastAsia="Times New Roman" w:hAnsi="Times New Roman"/>
          <w:sz w:val="18"/>
          <w:szCs w:val="18"/>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effects on stockholder A at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80" w:type="dxa"/>
            <w:vAlign w:val="bottom"/>
            <w:gridSpan w:val="2"/>
          </w:tcPr>
          <w:p>
            <w:pPr>
              <w:jc w:val="center"/>
              <w:ind w:right="342"/>
              <w:spacing w:after="0"/>
              <w:rPr>
                <w:sz w:val="20"/>
                <w:szCs w:val="20"/>
                <w:color w:val="auto"/>
              </w:rPr>
            </w:pPr>
            <w:r>
              <w:rPr>
                <w:rFonts w:ascii="Times New Roman" w:cs="Times New Roman" w:eastAsia="Times New Roman" w:hAnsi="Times New Roman"/>
                <w:sz w:val="14"/>
                <w:szCs w:val="14"/>
                <w:b w:val="1"/>
                <w:bCs w:val="1"/>
                <w:color w:val="auto"/>
                <w:w w:val="97"/>
              </w:rPr>
              <w:t>Example 1</w:t>
            </w:r>
          </w:p>
        </w:tc>
        <w:tc>
          <w:tcPr>
            <w:tcW w:w="240" w:type="dxa"/>
            <w:vAlign w:val="bottom"/>
          </w:tcPr>
          <w:p>
            <w:pPr>
              <w:spacing w:after="0"/>
              <w:rPr>
                <w:sz w:val="13"/>
                <w:szCs w:val="13"/>
                <w:color w:val="auto"/>
              </w:rPr>
            </w:pPr>
          </w:p>
        </w:tc>
        <w:tc>
          <w:tcPr>
            <w:tcW w:w="2060" w:type="dxa"/>
            <w:vAlign w:val="bottom"/>
            <w:gridSpan w:val="2"/>
          </w:tcPr>
          <w:p>
            <w:pPr>
              <w:jc w:val="center"/>
              <w:ind w:right="342"/>
              <w:spacing w:after="0"/>
              <w:rPr>
                <w:sz w:val="20"/>
                <w:szCs w:val="20"/>
                <w:color w:val="auto"/>
              </w:rPr>
            </w:pPr>
            <w:r>
              <w:rPr>
                <w:rFonts w:ascii="Times New Roman" w:cs="Times New Roman" w:eastAsia="Times New Roman" w:hAnsi="Times New Roman"/>
                <w:sz w:val="14"/>
                <w:szCs w:val="14"/>
                <w:b w:val="1"/>
                <w:bCs w:val="1"/>
                <w:color w:val="auto"/>
              </w:rPr>
              <w:t>Example 2</w:t>
            </w:r>
          </w:p>
        </w:tc>
        <w:tc>
          <w:tcPr>
            <w:tcW w:w="240" w:type="dxa"/>
            <w:vAlign w:val="bottom"/>
          </w:tcPr>
          <w:p>
            <w:pPr>
              <w:spacing w:after="0"/>
              <w:rPr>
                <w:sz w:val="13"/>
                <w:szCs w:val="13"/>
                <w:color w:val="auto"/>
              </w:rPr>
            </w:pPr>
          </w:p>
        </w:tc>
        <w:tc>
          <w:tcPr>
            <w:tcW w:w="1940" w:type="dxa"/>
            <w:vAlign w:val="bottom"/>
            <w:gridSpan w:val="2"/>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rPr>
              <w:t>Example 3</w:t>
            </w:r>
          </w:p>
        </w:tc>
        <w:tc>
          <w:tcPr>
            <w:tcW w:w="0" w:type="dxa"/>
            <w:vAlign w:val="bottom"/>
          </w:tcPr>
          <w:p>
            <w:pPr>
              <w:spacing w:after="0"/>
              <w:rPr>
                <w:sz w:val="1"/>
                <w:szCs w:val="1"/>
                <w:color w:val="auto"/>
              </w:rPr>
            </w:pPr>
          </w:p>
        </w:tc>
      </w:tr>
      <w:tr>
        <w:trPr>
          <w:trHeight w:val="145"/>
        </w:trPr>
        <w:tc>
          <w:tcPr>
            <w:tcW w:w="3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gridSpan w:val="2"/>
          </w:tcPr>
          <w:p>
            <w:pPr>
              <w:jc w:val="center"/>
              <w:ind w:right="322"/>
              <w:spacing w:after="0" w:line="145" w:lineRule="exact"/>
              <w:rPr>
                <w:sz w:val="20"/>
                <w:szCs w:val="20"/>
                <w:color w:val="auto"/>
              </w:rPr>
            </w:pPr>
            <w:r>
              <w:rPr>
                <w:rFonts w:ascii="Times New Roman" w:cs="Times New Roman" w:eastAsia="Times New Roman" w:hAnsi="Times New Roman"/>
                <w:sz w:val="14"/>
                <w:szCs w:val="14"/>
                <w:b w:val="1"/>
                <w:bCs w:val="1"/>
                <w:color w:val="auto"/>
              </w:rPr>
              <w:t>5% Offering</w:t>
            </w:r>
          </w:p>
        </w:tc>
        <w:tc>
          <w:tcPr>
            <w:tcW w:w="240" w:type="dxa"/>
            <w:vAlign w:val="bottom"/>
          </w:tcPr>
          <w:p>
            <w:pPr>
              <w:spacing w:after="0"/>
              <w:rPr>
                <w:sz w:val="12"/>
                <w:szCs w:val="12"/>
                <w:color w:val="auto"/>
              </w:rPr>
            </w:pPr>
          </w:p>
        </w:tc>
        <w:tc>
          <w:tcPr>
            <w:tcW w:w="2060" w:type="dxa"/>
            <w:vAlign w:val="bottom"/>
            <w:gridSpan w:val="2"/>
          </w:tcPr>
          <w:p>
            <w:pPr>
              <w:jc w:val="center"/>
              <w:ind w:right="362"/>
              <w:spacing w:after="0" w:line="145" w:lineRule="exact"/>
              <w:rPr>
                <w:sz w:val="20"/>
                <w:szCs w:val="20"/>
                <w:color w:val="auto"/>
              </w:rPr>
            </w:pPr>
            <w:r>
              <w:rPr>
                <w:rFonts w:ascii="Times New Roman" w:cs="Times New Roman" w:eastAsia="Times New Roman" w:hAnsi="Times New Roman"/>
                <w:sz w:val="14"/>
                <w:szCs w:val="14"/>
                <w:b w:val="1"/>
                <w:bCs w:val="1"/>
                <w:color w:val="auto"/>
                <w:w w:val="98"/>
              </w:rPr>
              <w:t>10% Offering</w:t>
            </w:r>
          </w:p>
        </w:tc>
        <w:tc>
          <w:tcPr>
            <w:tcW w:w="240" w:type="dxa"/>
            <w:vAlign w:val="bottom"/>
          </w:tcPr>
          <w:p>
            <w:pPr>
              <w:spacing w:after="0"/>
              <w:rPr>
                <w:sz w:val="12"/>
                <w:szCs w:val="12"/>
                <w:color w:val="auto"/>
              </w:rPr>
            </w:pPr>
          </w:p>
        </w:tc>
        <w:tc>
          <w:tcPr>
            <w:tcW w:w="1940" w:type="dxa"/>
            <w:vAlign w:val="bottom"/>
            <w:gridSpan w:val="2"/>
          </w:tcPr>
          <w:p>
            <w:pPr>
              <w:jc w:val="center"/>
              <w:ind w:right="222"/>
              <w:spacing w:after="0" w:line="145" w:lineRule="exact"/>
              <w:rPr>
                <w:sz w:val="20"/>
                <w:szCs w:val="20"/>
                <w:color w:val="auto"/>
              </w:rPr>
            </w:pPr>
            <w:r>
              <w:rPr>
                <w:rFonts w:ascii="Times New Roman" w:cs="Times New Roman" w:eastAsia="Times New Roman" w:hAnsi="Times New Roman"/>
                <w:sz w:val="14"/>
                <w:szCs w:val="14"/>
                <w:b w:val="1"/>
                <w:bCs w:val="1"/>
                <w:color w:val="auto"/>
              </w:rPr>
              <w:t>25% Offering</w:t>
            </w:r>
          </w:p>
        </w:tc>
        <w:tc>
          <w:tcPr>
            <w:tcW w:w="0" w:type="dxa"/>
            <w:vAlign w:val="bottom"/>
          </w:tcPr>
          <w:p>
            <w:pPr>
              <w:spacing w:after="0"/>
              <w:rPr>
                <w:sz w:val="1"/>
                <w:szCs w:val="1"/>
                <w:color w:val="auto"/>
              </w:rPr>
            </w:pPr>
          </w:p>
        </w:tc>
      </w:tr>
      <w:tr>
        <w:trPr>
          <w:trHeight w:val="158"/>
        </w:trPr>
        <w:tc>
          <w:tcPr>
            <w:tcW w:w="3380" w:type="dxa"/>
            <w:vAlign w:val="bottom"/>
          </w:tcPr>
          <w:p>
            <w:pPr>
              <w:spacing w:after="0"/>
              <w:rPr>
                <w:sz w:val="13"/>
                <w:szCs w:val="13"/>
                <w:color w:val="auto"/>
              </w:rPr>
            </w:pPr>
          </w:p>
        </w:tc>
        <w:tc>
          <w:tcPr>
            <w:tcW w:w="1080" w:type="dxa"/>
            <w:vAlign w:val="bottom"/>
            <w:vMerge w:val="restart"/>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Prior to Sale</w:t>
            </w:r>
          </w:p>
        </w:tc>
        <w:tc>
          <w:tcPr>
            <w:tcW w:w="220" w:type="dxa"/>
            <w:vAlign w:val="bottom"/>
          </w:tcPr>
          <w:p>
            <w:pPr>
              <w:spacing w:after="0"/>
              <w:rPr>
                <w:sz w:val="13"/>
                <w:szCs w:val="13"/>
                <w:color w:val="auto"/>
              </w:rPr>
            </w:pPr>
          </w:p>
        </w:tc>
        <w:tc>
          <w:tcPr>
            <w:tcW w:w="2080" w:type="dxa"/>
            <w:vAlign w:val="bottom"/>
            <w:gridSpan w:val="2"/>
          </w:tcPr>
          <w:p>
            <w:pPr>
              <w:jc w:val="center"/>
              <w:ind w:right="342"/>
              <w:spacing w:after="0" w:line="158" w:lineRule="exact"/>
              <w:rPr>
                <w:sz w:val="20"/>
                <w:szCs w:val="20"/>
                <w:color w:val="auto"/>
              </w:rPr>
            </w:pPr>
            <w:r>
              <w:rPr>
                <w:rFonts w:ascii="Times New Roman" w:cs="Times New Roman" w:eastAsia="Times New Roman" w:hAnsi="Times New Roman"/>
                <w:sz w:val="14"/>
                <w:szCs w:val="14"/>
                <w:b w:val="1"/>
                <w:bCs w:val="1"/>
                <w:color w:val="auto"/>
              </w:rPr>
              <w:t>at 5% Discount</w:t>
            </w:r>
          </w:p>
        </w:tc>
        <w:tc>
          <w:tcPr>
            <w:tcW w:w="240" w:type="dxa"/>
            <w:vAlign w:val="bottom"/>
          </w:tcPr>
          <w:p>
            <w:pPr>
              <w:spacing w:after="0"/>
              <w:rPr>
                <w:sz w:val="13"/>
                <w:szCs w:val="13"/>
                <w:color w:val="auto"/>
              </w:rPr>
            </w:pPr>
          </w:p>
        </w:tc>
        <w:tc>
          <w:tcPr>
            <w:tcW w:w="2060" w:type="dxa"/>
            <w:vAlign w:val="bottom"/>
            <w:gridSpan w:val="2"/>
          </w:tcPr>
          <w:p>
            <w:pPr>
              <w:jc w:val="center"/>
              <w:ind w:right="342"/>
              <w:spacing w:after="0" w:line="158" w:lineRule="exact"/>
              <w:rPr>
                <w:sz w:val="20"/>
                <w:szCs w:val="20"/>
                <w:color w:val="auto"/>
              </w:rPr>
            </w:pPr>
            <w:r>
              <w:rPr>
                <w:rFonts w:ascii="Times New Roman" w:cs="Times New Roman" w:eastAsia="Times New Roman" w:hAnsi="Times New Roman"/>
                <w:sz w:val="14"/>
                <w:szCs w:val="14"/>
                <w:b w:val="1"/>
                <w:bCs w:val="1"/>
                <w:color w:val="auto"/>
              </w:rPr>
              <w:t>at 10% Discount</w:t>
            </w:r>
          </w:p>
        </w:tc>
        <w:tc>
          <w:tcPr>
            <w:tcW w:w="240" w:type="dxa"/>
            <w:vAlign w:val="bottom"/>
          </w:tcPr>
          <w:p>
            <w:pPr>
              <w:spacing w:after="0"/>
              <w:rPr>
                <w:sz w:val="13"/>
                <w:szCs w:val="13"/>
                <w:color w:val="auto"/>
              </w:rPr>
            </w:pPr>
          </w:p>
        </w:tc>
        <w:tc>
          <w:tcPr>
            <w:tcW w:w="1940" w:type="dxa"/>
            <w:vAlign w:val="bottom"/>
            <w:gridSpan w:val="2"/>
          </w:tcPr>
          <w:p>
            <w:pPr>
              <w:jc w:val="center"/>
              <w:ind w:right="222"/>
              <w:spacing w:after="0" w:line="158" w:lineRule="exact"/>
              <w:rPr>
                <w:sz w:val="20"/>
                <w:szCs w:val="20"/>
                <w:color w:val="auto"/>
              </w:rPr>
            </w:pPr>
            <w:r>
              <w:rPr>
                <w:rFonts w:ascii="Times New Roman" w:cs="Times New Roman" w:eastAsia="Times New Roman" w:hAnsi="Times New Roman"/>
                <w:sz w:val="14"/>
                <w:szCs w:val="14"/>
                <w:b w:val="1"/>
                <w:bCs w:val="1"/>
                <w:color w:val="auto"/>
              </w:rPr>
              <w:t>at 25% Discount</w:t>
            </w:r>
          </w:p>
        </w:tc>
        <w:tc>
          <w:tcPr>
            <w:tcW w:w="0" w:type="dxa"/>
            <w:vAlign w:val="bottom"/>
          </w:tcPr>
          <w:p>
            <w:pPr>
              <w:spacing w:after="0"/>
              <w:rPr>
                <w:sz w:val="1"/>
                <w:szCs w:val="1"/>
                <w:color w:val="auto"/>
              </w:rPr>
            </w:pPr>
          </w:p>
        </w:tc>
      </w:tr>
      <w:tr>
        <w:trPr>
          <w:trHeight w:val="143"/>
        </w:trPr>
        <w:tc>
          <w:tcPr>
            <w:tcW w:w="33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160" w:type="dxa"/>
            <w:vAlign w:val="bottom"/>
            <w:gridSpan w:val="2"/>
          </w:tcPr>
          <w:p>
            <w:pPr>
              <w:jc w:val="right"/>
              <w:ind w:right="283"/>
              <w:spacing w:after="0" w:line="143" w:lineRule="exact"/>
              <w:rPr>
                <w:sz w:val="20"/>
                <w:szCs w:val="20"/>
                <w:color w:val="auto"/>
              </w:rPr>
            </w:pPr>
            <w:r>
              <w:rPr>
                <w:rFonts w:ascii="Times New Roman" w:cs="Times New Roman" w:eastAsia="Times New Roman" w:hAnsi="Times New Roman"/>
                <w:sz w:val="14"/>
                <w:szCs w:val="14"/>
                <w:b w:val="1"/>
                <w:bCs w:val="1"/>
                <w:color w:val="auto"/>
              </w:rPr>
              <w:t>Following</w:t>
            </w:r>
          </w:p>
        </w:tc>
        <w:tc>
          <w:tcPr>
            <w:tcW w:w="1140" w:type="dxa"/>
            <w:vAlign w:val="bottom"/>
            <w:vMerge w:val="restart"/>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60" w:type="dxa"/>
            <w:vAlign w:val="bottom"/>
            <w:gridSpan w:val="2"/>
          </w:tcPr>
          <w:p>
            <w:pPr>
              <w:jc w:val="right"/>
              <w:ind w:right="283"/>
              <w:spacing w:after="0" w:line="143" w:lineRule="exact"/>
              <w:rPr>
                <w:sz w:val="20"/>
                <w:szCs w:val="20"/>
                <w:color w:val="auto"/>
              </w:rPr>
            </w:pPr>
            <w:r>
              <w:rPr>
                <w:rFonts w:ascii="Times New Roman" w:cs="Times New Roman" w:eastAsia="Times New Roman" w:hAnsi="Times New Roman"/>
                <w:sz w:val="14"/>
                <w:szCs w:val="14"/>
                <w:b w:val="1"/>
                <w:bCs w:val="1"/>
                <w:color w:val="auto"/>
              </w:rPr>
              <w:t>Following</w:t>
            </w:r>
          </w:p>
        </w:tc>
        <w:tc>
          <w:tcPr>
            <w:tcW w:w="1140" w:type="dxa"/>
            <w:vAlign w:val="bottom"/>
            <w:vMerge w:val="restart"/>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60" w:type="dxa"/>
            <w:vAlign w:val="bottom"/>
            <w:gridSpan w:val="2"/>
          </w:tcPr>
          <w:p>
            <w:pPr>
              <w:jc w:val="right"/>
              <w:ind w:right="283"/>
              <w:spacing w:after="0" w:line="143" w:lineRule="exact"/>
              <w:rPr>
                <w:sz w:val="20"/>
                <w:szCs w:val="20"/>
                <w:color w:val="auto"/>
              </w:rPr>
            </w:pPr>
            <w:r>
              <w:rPr>
                <w:rFonts w:ascii="Times New Roman" w:cs="Times New Roman" w:eastAsia="Times New Roman" w:hAnsi="Times New Roman"/>
                <w:sz w:val="14"/>
                <w:szCs w:val="14"/>
                <w:b w:val="1"/>
                <w:bCs w:val="1"/>
                <w:color w:val="auto"/>
              </w:rPr>
              <w:t>Following</w:t>
            </w:r>
          </w:p>
        </w:tc>
        <w:tc>
          <w:tcPr>
            <w:tcW w:w="102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108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Below NAV</w:t>
            </w:r>
          </w:p>
        </w:tc>
        <w:tc>
          <w:tcPr>
            <w:tcW w:w="220" w:type="dxa"/>
            <w:vAlign w:val="bottom"/>
          </w:tcPr>
          <w:p>
            <w:pPr>
              <w:spacing w:after="0"/>
              <w:rPr>
                <w:sz w:val="14"/>
                <w:szCs w:val="14"/>
                <w:color w:val="auto"/>
              </w:rPr>
            </w:pPr>
          </w:p>
        </w:tc>
        <w:tc>
          <w:tcPr>
            <w:tcW w:w="94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Sale</w:t>
            </w:r>
          </w:p>
        </w:tc>
        <w:tc>
          <w:tcPr>
            <w:tcW w:w="11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Sale</w:t>
            </w:r>
          </w:p>
        </w:tc>
        <w:tc>
          <w:tcPr>
            <w:tcW w:w="11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Sale</w:t>
            </w: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Offering Price</w:t>
            </w: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Price per share to public</w:t>
            </w:r>
          </w:p>
        </w:tc>
        <w:tc>
          <w:tcPr>
            <w:tcW w:w="10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10.00</w:t>
            </w:r>
          </w:p>
        </w:tc>
        <w:tc>
          <w:tcPr>
            <w:tcW w:w="114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9.47</w:t>
            </w:r>
          </w:p>
        </w:tc>
        <w:tc>
          <w:tcPr>
            <w:tcW w:w="114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7.89</w:t>
            </w:r>
          </w:p>
        </w:tc>
        <w:tc>
          <w:tcPr>
            <w:tcW w:w="102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offering proceeds per share to issuer</w:t>
            </w:r>
          </w:p>
        </w:tc>
        <w:tc>
          <w:tcPr>
            <w:tcW w:w="10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rPr>
              <w:t>9.50</w:t>
            </w:r>
          </w:p>
        </w:tc>
        <w:tc>
          <w:tcPr>
            <w:tcW w:w="114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rPr>
              <w:t>9.00</w:t>
            </w:r>
          </w:p>
        </w:tc>
        <w:tc>
          <w:tcPr>
            <w:tcW w:w="114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rPr>
              <w:t>7.50</w:t>
            </w:r>
          </w:p>
        </w:tc>
        <w:tc>
          <w:tcPr>
            <w:tcW w:w="102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33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Decrease to NAV</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shares outstanding</w:t>
            </w:r>
          </w:p>
        </w:tc>
        <w:tc>
          <w:tcPr>
            <w:tcW w:w="10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w w:val="96"/>
              </w:rPr>
              <w:t>1,050,000</w:t>
            </w:r>
          </w:p>
        </w:tc>
        <w:tc>
          <w:tcPr>
            <w:tcW w:w="114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5.00%</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w w:val="93"/>
              </w:rPr>
              <w:t>1,100,000</w:t>
            </w:r>
          </w:p>
        </w:tc>
        <w:tc>
          <w:tcPr>
            <w:tcW w:w="114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w w:val="93"/>
              </w:rPr>
              <w:t>1,250,000</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25.00%</w:t>
            </w:r>
          </w:p>
        </w:tc>
        <w:tc>
          <w:tcPr>
            <w:tcW w:w="0" w:type="dxa"/>
            <w:vAlign w:val="bottom"/>
          </w:tcPr>
          <w:p>
            <w:pPr>
              <w:spacing w:after="0"/>
              <w:rPr>
                <w:sz w:val="1"/>
                <w:szCs w:val="1"/>
                <w:color w:val="auto"/>
              </w:rPr>
            </w:pPr>
          </w:p>
        </w:tc>
      </w:tr>
      <w:tr>
        <w:trPr>
          <w:trHeight w:val="197"/>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NAV per share</w:t>
            </w:r>
          </w:p>
        </w:tc>
        <w:tc>
          <w:tcPr>
            <w:tcW w:w="10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9.98</w:t>
            </w:r>
          </w:p>
        </w:tc>
        <w:tc>
          <w:tcPr>
            <w:tcW w:w="11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(0.20)%</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9.91</w:t>
            </w:r>
          </w:p>
        </w:tc>
        <w:tc>
          <w:tcPr>
            <w:tcW w:w="11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(0.90)%</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9.50</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197"/>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Dilution to Stockholder A</w:t>
            </w: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Shares held by stockholder A</w:t>
            </w:r>
          </w:p>
        </w:tc>
        <w:tc>
          <w:tcPr>
            <w:tcW w:w="10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spacing w:after="0"/>
              <w:rPr>
                <w:sz w:val="17"/>
                <w:szCs w:val="17"/>
                <w:color w:val="auto"/>
              </w:rPr>
            </w:pPr>
          </w:p>
        </w:tc>
        <w:tc>
          <w:tcPr>
            <w:tcW w:w="94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500</w:t>
            </w:r>
          </w:p>
        </w:tc>
        <w:tc>
          <w:tcPr>
            <w:tcW w:w="114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spacing w:after="0"/>
              <w:rPr>
                <w:sz w:val="17"/>
                <w:szCs w:val="17"/>
                <w:color w:val="auto"/>
              </w:rPr>
            </w:pPr>
          </w:p>
        </w:tc>
        <w:tc>
          <w:tcPr>
            <w:tcW w:w="92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1,000</w:t>
            </w:r>
          </w:p>
        </w:tc>
        <w:tc>
          <w:tcPr>
            <w:tcW w:w="114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spacing w:after="0"/>
              <w:rPr>
                <w:sz w:val="17"/>
                <w:szCs w:val="17"/>
                <w:color w:val="auto"/>
              </w:rPr>
            </w:pPr>
          </w:p>
        </w:tc>
        <w:tc>
          <w:tcPr>
            <w:tcW w:w="92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2,500</w:t>
            </w:r>
          </w:p>
        </w:tc>
        <w:tc>
          <w:tcPr>
            <w:tcW w:w="102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Percentage held by stockholder A</w:t>
            </w:r>
          </w:p>
        </w:tc>
        <w:tc>
          <w:tcPr>
            <w:tcW w:w="10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0.05%</w:t>
            </w:r>
          </w:p>
        </w:tc>
        <w:tc>
          <w:tcPr>
            <w:tcW w:w="114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0.09%</w:t>
            </w:r>
          </w:p>
        </w:tc>
        <w:tc>
          <w:tcPr>
            <w:tcW w:w="114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0.20%</w:t>
            </w:r>
          </w:p>
        </w:tc>
        <w:tc>
          <w:tcPr>
            <w:tcW w:w="102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3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 Values</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NAV held by stockholder A</w:t>
            </w:r>
          </w:p>
        </w:tc>
        <w:tc>
          <w:tcPr>
            <w:tcW w:w="10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rPr>
              <w:t>4,990</w:t>
            </w:r>
          </w:p>
        </w:tc>
        <w:tc>
          <w:tcPr>
            <w:tcW w:w="114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rPr>
              <w:t>9,910</w:t>
            </w:r>
          </w:p>
        </w:tc>
        <w:tc>
          <w:tcPr>
            <w:tcW w:w="114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rPr>
              <w:t>23,750</w:t>
            </w:r>
          </w:p>
        </w:tc>
        <w:tc>
          <w:tcPr>
            <w:tcW w:w="102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33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investment by stockholder A</w:t>
            </w:r>
          </w:p>
        </w:tc>
        <w:tc>
          <w:tcPr>
            <w:tcW w:w="10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5,000</w:t>
            </w:r>
          </w:p>
        </w:tc>
        <w:tc>
          <w:tcPr>
            <w:tcW w:w="114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9,470</w:t>
            </w:r>
          </w:p>
        </w:tc>
        <w:tc>
          <w:tcPr>
            <w:tcW w:w="114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19,725</w:t>
            </w:r>
          </w:p>
        </w:tc>
        <w:tc>
          <w:tcPr>
            <w:tcW w:w="102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3"/>
        </w:trPr>
        <w:tc>
          <w:tcPr>
            <w:tcW w:w="3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(dilution)/accretion to stockholder A</w:t>
            </w: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3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NAV less total investment)</w:t>
            </w:r>
          </w:p>
        </w:tc>
        <w:tc>
          <w:tcPr>
            <w:tcW w:w="10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(10)</w:t>
            </w:r>
          </w:p>
        </w:tc>
        <w:tc>
          <w:tcPr>
            <w:tcW w:w="114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rPr>
              <w:t>440</w:t>
            </w:r>
          </w:p>
        </w:tc>
        <w:tc>
          <w:tcPr>
            <w:tcW w:w="114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rPr>
              <w:t>4,025</w:t>
            </w:r>
          </w:p>
        </w:tc>
        <w:tc>
          <w:tcPr>
            <w:tcW w:w="102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3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Per Share Amounts</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NAV per share held by stockholder A</w:t>
            </w:r>
          </w:p>
        </w:tc>
        <w:tc>
          <w:tcPr>
            <w:tcW w:w="10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rPr>
              <w:t>9.98</w:t>
            </w:r>
          </w:p>
        </w:tc>
        <w:tc>
          <w:tcPr>
            <w:tcW w:w="114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rPr>
              <w:t>9.91</w:t>
            </w:r>
          </w:p>
        </w:tc>
        <w:tc>
          <w:tcPr>
            <w:tcW w:w="114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rPr>
              <w:t>9.50</w:t>
            </w:r>
          </w:p>
        </w:tc>
        <w:tc>
          <w:tcPr>
            <w:tcW w:w="102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33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Investment per share held by stockholder A</w:t>
            </w:r>
          </w:p>
        </w:tc>
        <w:tc>
          <w:tcPr>
            <w:tcW w:w="10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10.00</w:t>
            </w:r>
          </w:p>
        </w:tc>
        <w:tc>
          <w:tcPr>
            <w:tcW w:w="114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9.47</w:t>
            </w:r>
          </w:p>
        </w:tc>
        <w:tc>
          <w:tcPr>
            <w:tcW w:w="114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7.89</w:t>
            </w:r>
          </w:p>
        </w:tc>
        <w:tc>
          <w:tcPr>
            <w:tcW w:w="102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3"/>
        </w:trPr>
        <w:tc>
          <w:tcPr>
            <w:tcW w:w="3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(Dilution)/accretion per share held by</w:t>
            </w: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stockholder A (NAV per share less</w:t>
            </w: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investment per share)</w:t>
            </w:r>
          </w:p>
        </w:tc>
        <w:tc>
          <w:tcPr>
            <w:tcW w:w="10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(0.02)</w:t>
            </w:r>
          </w:p>
        </w:tc>
        <w:tc>
          <w:tcPr>
            <w:tcW w:w="114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rPr>
              <w:t>0.44</w:t>
            </w:r>
          </w:p>
        </w:tc>
        <w:tc>
          <w:tcPr>
            <w:tcW w:w="114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rPr>
              <w:t>1.61</w:t>
            </w:r>
          </w:p>
        </w:tc>
        <w:tc>
          <w:tcPr>
            <w:tcW w:w="102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3"/>
        </w:trPr>
        <w:tc>
          <w:tcPr>
            <w:tcW w:w="33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Percentage (dilution)/accretion to stockholder</w:t>
            </w: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3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 (dilution)/ accretion per share divided by</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3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investment per share</w:t>
            </w:r>
          </w:p>
        </w:tc>
        <w:tc>
          <w:tcPr>
            <w:tcW w:w="10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spacing w:after="0"/>
              <w:rPr>
                <w:sz w:val="17"/>
                <w:szCs w:val="17"/>
                <w:color w:val="auto"/>
              </w:rPr>
            </w:pPr>
          </w:p>
        </w:tc>
        <w:tc>
          <w:tcPr>
            <w:tcW w:w="940" w:type="dxa"/>
            <w:vAlign w:val="bottom"/>
          </w:tcPr>
          <w:p>
            <w:pPr>
              <w:jc w:val="right"/>
              <w:ind w:right="263"/>
              <w:spacing w:after="0"/>
              <w:rPr>
                <w:sz w:val="20"/>
                <w:szCs w:val="20"/>
                <w:color w:val="auto"/>
              </w:rPr>
            </w:pPr>
            <w:r>
              <w:rPr>
                <w:rFonts w:ascii="Times New Roman" w:cs="Times New Roman" w:eastAsia="Times New Roman" w:hAnsi="Times New Roman"/>
                <w:sz w:val="16"/>
                <w:szCs w:val="16"/>
                <w:color w:val="auto"/>
              </w:rPr>
              <w:t>— </w:t>
            </w:r>
          </w:p>
        </w:tc>
        <w:tc>
          <w:tcPr>
            <w:tcW w:w="11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(0.20)%</w:t>
            </w:r>
          </w:p>
        </w:tc>
        <w:tc>
          <w:tcPr>
            <w:tcW w:w="240" w:type="dxa"/>
            <w:vAlign w:val="bottom"/>
          </w:tcPr>
          <w:p>
            <w:pPr>
              <w:spacing w:after="0"/>
              <w:rPr>
                <w:sz w:val="17"/>
                <w:szCs w:val="17"/>
                <w:color w:val="auto"/>
              </w:rPr>
            </w:pPr>
          </w:p>
        </w:tc>
        <w:tc>
          <w:tcPr>
            <w:tcW w:w="920" w:type="dxa"/>
            <w:vAlign w:val="bottom"/>
          </w:tcPr>
          <w:p>
            <w:pPr>
              <w:jc w:val="right"/>
              <w:ind w:right="263"/>
              <w:spacing w:after="0"/>
              <w:rPr>
                <w:sz w:val="20"/>
                <w:szCs w:val="20"/>
                <w:color w:val="auto"/>
              </w:rPr>
            </w:pPr>
            <w:r>
              <w:rPr>
                <w:rFonts w:ascii="Times New Roman" w:cs="Times New Roman" w:eastAsia="Times New Roman" w:hAnsi="Times New Roman"/>
                <w:sz w:val="16"/>
                <w:szCs w:val="16"/>
                <w:color w:val="auto"/>
              </w:rPr>
              <w:t>— </w:t>
            </w:r>
          </w:p>
        </w:tc>
        <w:tc>
          <w:tcPr>
            <w:tcW w:w="114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4.65%</w:t>
            </w:r>
          </w:p>
        </w:tc>
        <w:tc>
          <w:tcPr>
            <w:tcW w:w="240" w:type="dxa"/>
            <w:vAlign w:val="bottom"/>
          </w:tcPr>
          <w:p>
            <w:pPr>
              <w:spacing w:after="0"/>
              <w:rPr>
                <w:sz w:val="17"/>
                <w:szCs w:val="17"/>
                <w:color w:val="auto"/>
              </w:rPr>
            </w:pPr>
          </w:p>
        </w:tc>
        <w:tc>
          <w:tcPr>
            <w:tcW w:w="920" w:type="dxa"/>
            <w:vAlign w:val="bottom"/>
          </w:tcPr>
          <w:p>
            <w:pPr>
              <w:jc w:val="right"/>
              <w:ind w:right="263"/>
              <w:spacing w:after="0"/>
              <w:rPr>
                <w:sz w:val="20"/>
                <w:szCs w:val="20"/>
                <w:color w:val="auto"/>
              </w:rPr>
            </w:pPr>
            <w:r>
              <w:rPr>
                <w:rFonts w:ascii="Times New Roman" w:cs="Times New Roman" w:eastAsia="Times New Roman" w:hAnsi="Times New Roman"/>
                <w:sz w:val="16"/>
                <w:szCs w:val="16"/>
                <w:color w:val="auto"/>
              </w:rPr>
              <w:t>— </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20.41%</w:t>
            </w:r>
          </w:p>
        </w:tc>
        <w:tc>
          <w:tcPr>
            <w:tcW w:w="0" w:type="dxa"/>
            <w:vAlign w:val="bottom"/>
          </w:tcPr>
          <w:p>
            <w:pPr>
              <w:spacing w:after="0"/>
              <w:rPr>
                <w:sz w:val="1"/>
                <w:szCs w:val="1"/>
                <w:color w:val="auto"/>
              </w:rPr>
            </w:pPr>
          </w:p>
        </w:tc>
      </w:tr>
    </w:tbl>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292" w:right="33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7178040" cy="54610"/>
                    </a:xfrm>
                    <a:prstGeom prst="rect">
                      <a:avLst/>
                    </a:prstGeom>
                    <a:noFill/>
                  </pic:spPr>
                </pic:pic>
              </a:graphicData>
            </a:graphic>
          </wp:anchor>
        </w:drawing>
        <w:t>DISTRIBUTIONS</w:t>
      </w:r>
    </w:p>
    <w:p>
      <w:pPr>
        <w:spacing w:after="0" w:line="216"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18"/>
          <w:szCs w:val="18"/>
          <w:color w:val="auto"/>
        </w:rPr>
        <w:t>We intend to continue making monthly distributions to our stockholders. The timing and amount of our monthly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w:t>
      </w:r>
    </w:p>
    <w:p>
      <w:pPr>
        <w:spacing w:after="0" w:line="183" w:lineRule="exact"/>
        <w:rPr>
          <w:sz w:val="20"/>
          <w:szCs w:val="20"/>
          <w:color w:val="auto"/>
        </w:rPr>
      </w:pPr>
    </w:p>
    <w:p>
      <w:pPr>
        <w:ind w:right="40" w:firstLine="450"/>
        <w:spacing w:after="0" w:line="268" w:lineRule="auto"/>
        <w:rPr>
          <w:sz w:val="20"/>
          <w:szCs w:val="20"/>
          <w:color w:val="auto"/>
        </w:rPr>
      </w:pPr>
      <w:r>
        <w:rPr>
          <w:rFonts w:ascii="Times New Roman" w:cs="Times New Roman" w:eastAsia="Times New Roman" w:hAnsi="Times New Roman"/>
          <w:sz w:val="18"/>
          <w:szCs w:val="18"/>
          <w:color w:val="auto"/>
        </w:rPr>
        <w:t>Each year, a Form 1099-DIV will be sent to stockholders subject to information reporting that will state the amount and composition of distributions and provide information with respect to appropriate tax treatment of our distributions.</w:t>
      </w:r>
    </w:p>
    <w:p>
      <w:pPr>
        <w:spacing w:after="0" w:line="169" w:lineRule="exact"/>
        <w:rPr>
          <w:sz w:val="20"/>
          <w:szCs w:val="20"/>
          <w:color w:val="auto"/>
        </w:rPr>
      </w:pPr>
    </w:p>
    <w:p>
      <w:pPr>
        <w:ind w:right="60" w:firstLine="450"/>
        <w:spacing w:after="0" w:line="252" w:lineRule="auto"/>
        <w:rPr>
          <w:sz w:val="20"/>
          <w:szCs w:val="20"/>
          <w:color w:val="auto"/>
        </w:rPr>
      </w:pPr>
      <w:r>
        <w:rPr>
          <w:rFonts w:ascii="Times New Roman" w:cs="Times New Roman" w:eastAsia="Times New Roman" w:hAnsi="Times New Roman"/>
          <w:sz w:val="18"/>
          <w:szCs w:val="18"/>
          <w:color w:val="auto"/>
        </w:rPr>
        <w:t>The tax characteristics of distributions declared, in accordance with Section 19(a) of the 1940 Act, for our fiscal and taxable years ended September 30, 2023 and 2022 from ordinary income (including short-term gains), if any, totaled $60.5 million, or $1.19 per share, and $46.7 million, or $1.14 per share, respectively, based on the weighted average shares outstanding for the respective periods. Additionally, for both years ended September 30, 2023 and 2022, we did not pay any distributions from long-term capital gains.</w:t>
      </w:r>
    </w:p>
    <w:p>
      <w:pPr>
        <w:spacing w:after="0" w:line="183" w:lineRule="exact"/>
        <w:rPr>
          <w:sz w:val="20"/>
          <w:szCs w:val="20"/>
          <w:color w:val="auto"/>
        </w:rPr>
      </w:pPr>
    </w:p>
    <w:p>
      <w:pPr>
        <w:ind w:right="40" w:firstLine="450"/>
        <w:spacing w:after="0" w:line="250" w:lineRule="auto"/>
        <w:rPr>
          <w:sz w:val="20"/>
          <w:szCs w:val="20"/>
          <w:color w:val="auto"/>
        </w:rPr>
      </w:pPr>
      <w:r>
        <w:rPr>
          <w:rFonts w:ascii="Times New Roman" w:cs="Times New Roman" w:eastAsia="Times New Roman" w:hAnsi="Times New Roman"/>
          <w:sz w:val="18"/>
          <w:szCs w:val="18"/>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when applicable to us as a BDC under the 1940 Act and due to provisions in future credit facilities. If we do not distribute a certain minimum percentage of our income annually, we will suffer adverse tax consequences, including possible loss of our ability to be subject to tax as a RIC. We cannot assure stockholders that they will receive any distributions or distributions at a particular level.</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20"/>
          </w:cols>
          <w:pgMar w:left="320" w:top="290" w:right="35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7178040" cy="54610"/>
                    </a:xfrm>
                    <a:prstGeom prst="rect">
                      <a:avLst/>
                    </a:prstGeom>
                    <a:noFill/>
                  </pic:spPr>
                </pic:pic>
              </a:graphicData>
            </a:graphic>
          </wp:anchor>
        </w:drawing>
        <w:t>PORTFOLIO COMPANIES</w:t>
      </w:r>
    </w:p>
    <w:p>
      <w:pPr>
        <w:spacing w:after="0" w:line="216" w:lineRule="exact"/>
        <w:rPr>
          <w:sz w:val="20"/>
          <w:szCs w:val="20"/>
          <w:color w:val="auto"/>
        </w:rPr>
      </w:pPr>
    </w:p>
    <w:p>
      <w:pPr>
        <w:ind w:right="100" w:firstLine="45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following is a listing of each portfolio company or its affiliate, together referred to as portfolio companies, in which we had an investment as of March 31, 2024.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Consolidated Financial Statements included in our most recent Quarterly Report on </w:t>
      </w:r>
      <w:hyperlink r:id="rId38">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quarter ended March 31, 2024.</w:t>
      </w:r>
    </w:p>
    <w:p>
      <w:pPr>
        <w:spacing w:after="0" w:line="185" w:lineRule="exact"/>
        <w:rPr>
          <w:sz w:val="20"/>
          <w:szCs w:val="20"/>
          <w:color w:val="auto"/>
        </w:rPr>
      </w:pPr>
    </w:p>
    <w:p>
      <w:pPr>
        <w:ind w:firstLine="450"/>
        <w:spacing w:after="0" w:line="247" w:lineRule="auto"/>
        <w:rPr>
          <w:sz w:val="20"/>
          <w:szCs w:val="20"/>
          <w:color w:val="auto"/>
        </w:rPr>
      </w:pPr>
      <w:r>
        <w:rPr>
          <w:rFonts w:ascii="Times New Roman" w:cs="Times New Roman" w:eastAsia="Times New Roman" w:hAnsi="Times New Roman"/>
          <w:sz w:val="18"/>
          <w:szCs w:val="18"/>
          <w:color w:val="auto"/>
        </w:rPr>
        <w:t>The portfolio companies are presented in three categories: “Companies less than 5%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and, therefore, are deemed to be an affiliated person under the 1940 Act; and “Companies 25% or more owned” which represent portfolio companies where we directly or indirectly own 25% or more of the outstanding voting securities of such portfolio company and, therefore, are generally presumed to be controlled by us under the 1940 Act. We make available significant managerial assistance to our portfolio companies. Certain assets are pledged as collateral under our Credit Facility or secure the 2031 Asset-Backed Debt and 2036 Asset-Backed Debt as disclosed in our Consolidated Schedule of Investments. Unless otherwise noted, we held no voting board membership on any of our portfolio companies.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w:t>
            </w:r>
          </w:p>
        </w:tc>
        <w:tc>
          <w:tcPr>
            <w:tcW w:w="1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gridSpan w:val="2"/>
          </w:tcPr>
          <w:p>
            <w:pPr>
              <w:jc w:val="center"/>
              <w:ind w:right="500"/>
              <w:spacing w:after="0"/>
              <w:rPr>
                <w:sz w:val="20"/>
                <w:szCs w:val="20"/>
                <w:color w:val="auto"/>
              </w:rPr>
            </w:pPr>
            <w:r>
              <w:rPr>
                <w:rFonts w:ascii="Times New Roman" w:cs="Times New Roman" w:eastAsia="Times New Roman" w:hAnsi="Times New Roman"/>
                <w:sz w:val="12"/>
                <w:szCs w:val="12"/>
                <w:b w:val="1"/>
                <w:bCs w:val="1"/>
                <w:color w:val="auto"/>
                <w:w w:val="97"/>
              </w:rPr>
              <w:t>Voting</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600" w:type="dxa"/>
            <w:vAlign w:val="bottom"/>
            <w:gridSpan w:val="2"/>
            <w:vMerge w:val="continue"/>
          </w:tcPr>
          <w:p>
            <w:pPr>
              <w:spacing w:after="0"/>
              <w:rPr>
                <w:sz w:val="10"/>
                <w:szCs w:val="10"/>
                <w:color w:val="auto"/>
              </w:rPr>
            </w:pPr>
          </w:p>
        </w:tc>
        <w:tc>
          <w:tcPr>
            <w:tcW w:w="19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20" w:type="dxa"/>
            <w:vAlign w:val="bottom"/>
            <w:gridSpan w:val="2"/>
          </w:tcPr>
          <w:p>
            <w:pPr>
              <w:jc w:val="center"/>
              <w:ind w:right="380"/>
              <w:spacing w:after="0" w:line="126" w:lineRule="exact"/>
              <w:rPr>
                <w:sz w:val="20"/>
                <w:szCs w:val="20"/>
                <w:color w:val="auto"/>
              </w:rPr>
            </w:pPr>
            <w:r>
              <w:rPr>
                <w:rFonts w:ascii="Times New Roman" w:cs="Times New Roman" w:eastAsia="Times New Roman" w:hAnsi="Times New Roman"/>
                <w:sz w:val="12"/>
                <w:szCs w:val="12"/>
                <w:b w:val="1"/>
                <w:bCs w:val="1"/>
                <w:color w:val="auto"/>
              </w:rPr>
              <w:t>Type of Investment,</w:t>
            </w:r>
          </w:p>
        </w:tc>
        <w:tc>
          <w:tcPr>
            <w:tcW w:w="1280" w:type="dxa"/>
            <w:vAlign w:val="bottom"/>
            <w:gridSpan w:val="2"/>
          </w:tcPr>
          <w:p>
            <w:pPr>
              <w:jc w:val="center"/>
              <w:ind w:right="500"/>
              <w:spacing w:after="0" w:line="126"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80" w:type="dxa"/>
            <w:vAlign w:val="bottom"/>
          </w:tcPr>
          <w:p>
            <w:pPr>
              <w:spacing w:after="0"/>
              <w:rPr>
                <w:sz w:val="10"/>
                <w:szCs w:val="10"/>
                <w:color w:val="auto"/>
              </w:rPr>
            </w:pPr>
          </w:p>
        </w:tc>
        <w:tc>
          <w:tcPr>
            <w:tcW w:w="700" w:type="dxa"/>
            <w:vAlign w:val="bottom"/>
          </w:tcPr>
          <w:p>
            <w:pPr>
              <w:jc w:val="right"/>
              <w:ind w:right="51"/>
              <w:spacing w:after="0" w:line="126" w:lineRule="exact"/>
              <w:rPr>
                <w:sz w:val="20"/>
                <w:szCs w:val="20"/>
                <w:color w:val="auto"/>
              </w:rPr>
            </w:pPr>
            <w:r>
              <w:rPr>
                <w:rFonts w:ascii="Times New Roman" w:cs="Times New Roman" w:eastAsia="Times New Roman" w:hAnsi="Times New Roman"/>
                <w:sz w:val="12"/>
                <w:szCs w:val="12"/>
                <w:b w:val="1"/>
                <w:bCs w:val="1"/>
                <w:color w:val="auto"/>
              </w:rPr>
              <w:t>Fair Value</w:t>
            </w:r>
          </w:p>
        </w:tc>
        <w:tc>
          <w:tcPr>
            <w:tcW w:w="0" w:type="dxa"/>
            <w:vAlign w:val="bottom"/>
          </w:tcPr>
          <w:p>
            <w:pPr>
              <w:spacing w:after="0"/>
              <w:rPr>
                <w:sz w:val="1"/>
                <w:szCs w:val="1"/>
                <w:color w:val="auto"/>
              </w:rPr>
            </w:pPr>
          </w:p>
        </w:tc>
      </w:tr>
      <w:tr>
        <w:trPr>
          <w:trHeight w:val="165"/>
        </w:trPr>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Address of Portfolio Company</w:t>
            </w:r>
          </w:p>
        </w:tc>
        <w:tc>
          <w:tcPr>
            <w:tcW w:w="2980" w:type="dxa"/>
            <w:vAlign w:val="bottom"/>
          </w:tcPr>
          <w:p>
            <w:pPr>
              <w:spacing w:after="0"/>
              <w:rPr>
                <w:sz w:val="14"/>
                <w:szCs w:val="14"/>
                <w:color w:val="auto"/>
              </w:rPr>
            </w:pPr>
          </w:p>
        </w:tc>
        <w:tc>
          <w:tcPr>
            <w:tcW w:w="19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2"/>
                <w:szCs w:val="12"/>
                <w:b w:val="1"/>
                <w:bCs w:val="1"/>
                <w:color w:val="auto"/>
              </w:rPr>
              <w:t>Nature of Business</w:t>
            </w:r>
          </w:p>
        </w:tc>
        <w:tc>
          <w:tcPr>
            <w:tcW w:w="540" w:type="dxa"/>
            <w:vAlign w:val="bottom"/>
          </w:tcPr>
          <w:p>
            <w:pPr>
              <w:spacing w:after="0"/>
              <w:rPr>
                <w:sz w:val="14"/>
                <w:szCs w:val="14"/>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Interest (1), Maturity</w:t>
            </w:r>
          </w:p>
        </w:tc>
        <w:tc>
          <w:tcPr>
            <w:tcW w:w="38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Ownership (2)</w:t>
            </w:r>
          </w:p>
        </w:tc>
        <w:tc>
          <w:tcPr>
            <w:tcW w:w="50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0" w:type="dxa"/>
            <w:vAlign w:val="bottom"/>
          </w:tcPr>
          <w:p>
            <w:pPr>
              <w:spacing w:after="0"/>
              <w:rPr>
                <w:sz w:val="1"/>
                <w:szCs w:val="1"/>
                <w:color w:val="auto"/>
              </w:rPr>
            </w:pPr>
          </w:p>
        </w:tc>
      </w:tr>
      <w:tr>
        <w:trPr>
          <w:trHeight w:val="95"/>
        </w:trPr>
        <w:tc>
          <w:tcPr>
            <w:tcW w:w="1620" w:type="dxa"/>
            <w:vAlign w:val="bottom"/>
          </w:tcPr>
          <w:p>
            <w:pPr>
              <w:spacing w:after="0" w:line="95" w:lineRule="exact"/>
              <w:rPr>
                <w:sz w:val="20"/>
                <w:szCs w:val="20"/>
                <w:color w:val="auto"/>
              </w:rPr>
            </w:pPr>
            <w:r>
              <w:rPr>
                <w:rFonts w:ascii="Times New Roman" w:cs="Times New Roman" w:eastAsia="Times New Roman" w:hAnsi="Times New Roman"/>
                <w:sz w:val="11"/>
                <w:szCs w:val="11"/>
                <w:b w:val="1"/>
                <w:bCs w:val="1"/>
                <w:color w:val="auto"/>
              </w:rPr>
              <w:t>Companies Less than 5%</w:t>
            </w:r>
          </w:p>
        </w:tc>
        <w:tc>
          <w:tcPr>
            <w:tcW w:w="2980" w:type="dxa"/>
            <w:vAlign w:val="bottom"/>
          </w:tcPr>
          <w:p>
            <w:pPr>
              <w:spacing w:after="0" w:line="95" w:lineRule="exact"/>
              <w:rPr>
                <w:sz w:val="20"/>
                <w:szCs w:val="20"/>
                <w:color w:val="auto"/>
              </w:rPr>
            </w:pPr>
            <w:r>
              <w:rPr>
                <w:rFonts w:ascii="Times New Roman" w:cs="Times New Roman" w:eastAsia="Times New Roman" w:hAnsi="Times New Roman"/>
                <w:sz w:val="11"/>
                <w:szCs w:val="11"/>
                <w:b w:val="1"/>
                <w:bCs w:val="1"/>
                <w:color w:val="auto"/>
              </w:rPr>
              <w:t>Owned</w:t>
            </w:r>
          </w:p>
        </w:tc>
        <w:tc>
          <w:tcPr>
            <w:tcW w:w="252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color w:val="auto"/>
                <w:w w:val="99"/>
              </w:rPr>
              <w:t>Commercial Services &amp; Supplies</w:t>
            </w:r>
          </w:p>
        </w:tc>
        <w:tc>
          <w:tcPr>
            <w:tcW w:w="20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2,270</w:t>
            </w:r>
          </w:p>
        </w:tc>
        <w:tc>
          <w:tcPr>
            <w:tcW w:w="0" w:type="dxa"/>
            <w:vAlign w:val="bottom"/>
          </w:tcPr>
          <w:p>
            <w:pPr>
              <w:spacing w:after="0"/>
              <w:rPr>
                <w:sz w:val="1"/>
                <w:szCs w:val="1"/>
                <w:color w:val="auto"/>
              </w:rPr>
            </w:pPr>
          </w:p>
        </w:tc>
      </w:tr>
      <w:tr>
        <w:trPr>
          <w:trHeight w:val="145"/>
        </w:trPr>
        <w:tc>
          <w:tcPr>
            <w:tcW w:w="46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A1 Garage Merger Sub, LLC</w:t>
            </w:r>
          </w:p>
        </w:tc>
        <w:tc>
          <w:tcPr>
            <w:tcW w:w="2520" w:type="dxa"/>
            <w:vAlign w:val="bottom"/>
            <w:gridSpan w:val="2"/>
            <w:vMerge w:val="continue"/>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6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(A1 Garage Equity, LLC)</w:t>
            </w:r>
            <w:r>
              <w:rPr>
                <w:rFonts w:ascii="Times New Roman" w:cs="Times New Roman" w:eastAsia="Times New Roman" w:hAnsi="Times New Roman"/>
                <w:sz w:val="8"/>
                <w:szCs w:val="8"/>
                <w:color w:val="auto"/>
              </w:rPr>
              <w:t>(5)</w:t>
            </w:r>
          </w:p>
        </w:tc>
        <w:tc>
          <w:tcPr>
            <w:tcW w:w="1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2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9"/>
              </w:rPr>
              <w:t>3M S+660, 12/22/2028</w:t>
            </w: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6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3254 E Broadway Rd.</w:t>
            </w:r>
          </w:p>
        </w:tc>
        <w:tc>
          <w:tcPr>
            <w:tcW w:w="1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2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Phoenix, AZ 85040</w:t>
            </w:r>
          </w:p>
        </w:tc>
        <w:tc>
          <w:tcPr>
            <w:tcW w:w="1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ACP Avenu Buyer, LLC</w:t>
            </w:r>
          </w:p>
        </w:tc>
        <w:tc>
          <w:tcPr>
            <w:tcW w:w="25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w w:val="99"/>
              </w:rPr>
              <w:t>IT Services</w:t>
            </w: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13,669</w:t>
            </w:r>
          </w:p>
        </w:tc>
        <w:tc>
          <w:tcPr>
            <w:tcW w:w="0" w:type="dxa"/>
            <w:vAlign w:val="bottom"/>
          </w:tcPr>
          <w:p>
            <w:pPr>
              <w:spacing w:after="0"/>
              <w:rPr>
                <w:sz w:val="1"/>
                <w:szCs w:val="1"/>
                <w:color w:val="auto"/>
              </w:rPr>
            </w:pPr>
          </w:p>
        </w:tc>
      </w:tr>
      <w:tr>
        <w:trPr>
          <w:trHeight w:val="145"/>
        </w:trPr>
        <w:tc>
          <w:tcPr>
            <w:tcW w:w="46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5860 Trinity Pkwy</w:t>
            </w:r>
          </w:p>
        </w:tc>
        <w:tc>
          <w:tcPr>
            <w:tcW w:w="1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2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9"/>
              </w:rPr>
              <w:t>3M S+625, 10/02/2029</w:t>
            </w: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Centerville, VA 20120</w:t>
            </w:r>
          </w:p>
        </w:tc>
        <w:tc>
          <w:tcPr>
            <w:tcW w:w="1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ACP Falcon Buyer, LLC</w:t>
            </w:r>
          </w:p>
        </w:tc>
        <w:tc>
          <w:tcPr>
            <w:tcW w:w="25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w w:val="99"/>
              </w:rPr>
              <w:t>Professional Services</w:t>
            </w: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5"/>
        </w:trPr>
        <w:tc>
          <w:tcPr>
            <w:tcW w:w="46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2141 Rosecrans Ave</w:t>
            </w:r>
          </w:p>
        </w:tc>
        <w:tc>
          <w:tcPr>
            <w:tcW w:w="1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2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color w:val="auto"/>
                <w:w w:val="99"/>
              </w:rPr>
              <w:t>— , 08/01/2029</w:t>
            </w: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El Segundo, CA 90245</w:t>
            </w:r>
          </w:p>
        </w:tc>
        <w:tc>
          <w:tcPr>
            <w:tcW w:w="1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Ad.net Acquisition, LLC</w:t>
            </w:r>
          </w:p>
        </w:tc>
        <w:tc>
          <w:tcPr>
            <w:tcW w:w="25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rPr>
              <w:t>Media</w:t>
            </w: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5,698</w:t>
            </w:r>
          </w:p>
        </w:tc>
        <w:tc>
          <w:tcPr>
            <w:tcW w:w="0" w:type="dxa"/>
            <w:vAlign w:val="bottom"/>
          </w:tcPr>
          <w:p>
            <w:pPr>
              <w:spacing w:after="0"/>
              <w:rPr>
                <w:sz w:val="1"/>
                <w:szCs w:val="1"/>
                <w:color w:val="auto"/>
              </w:rPr>
            </w:pPr>
          </w:p>
        </w:tc>
      </w:tr>
      <w:tr>
        <w:trPr>
          <w:trHeight w:val="145"/>
        </w:trPr>
        <w:tc>
          <w:tcPr>
            <w:tcW w:w="46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(Ad.net Holdings, Inc.)</w:t>
            </w:r>
          </w:p>
        </w:tc>
        <w:tc>
          <w:tcPr>
            <w:tcW w:w="1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2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9"/>
              </w:rPr>
              <w:t>3M S+626, 05/07/2026</w:t>
            </w: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6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1100 Glendon Avenue, Suite 1200</w:t>
            </w:r>
          </w:p>
        </w:tc>
        <w:tc>
          <w:tcPr>
            <w:tcW w:w="1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2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Preferred Equity</w:t>
            </w: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Los Angeles, CA 90024</w:t>
            </w:r>
          </w:p>
        </w:tc>
        <w:tc>
          <w:tcPr>
            <w:tcW w:w="1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Common Equity</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Aeronix, Inc.</w:t>
            </w:r>
          </w:p>
        </w:tc>
        <w:tc>
          <w:tcPr>
            <w:tcW w:w="25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w w:val="99"/>
              </w:rPr>
              <w:t>Aerospace and Defense</w:t>
            </w: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34,996</w:t>
            </w:r>
          </w:p>
        </w:tc>
        <w:tc>
          <w:tcPr>
            <w:tcW w:w="0" w:type="dxa"/>
            <w:vAlign w:val="bottom"/>
          </w:tcPr>
          <w:p>
            <w:pPr>
              <w:spacing w:after="0"/>
              <w:rPr>
                <w:sz w:val="1"/>
                <w:szCs w:val="1"/>
                <w:color w:val="auto"/>
              </w:rPr>
            </w:pPr>
          </w:p>
        </w:tc>
      </w:tr>
      <w:tr>
        <w:trPr>
          <w:trHeight w:val="145"/>
        </w:trPr>
        <w:tc>
          <w:tcPr>
            <w:tcW w:w="46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(SV Aero Holdings, LLC)</w:t>
            </w:r>
            <w:r>
              <w:rPr>
                <w:rFonts w:ascii="Times New Roman" w:cs="Times New Roman" w:eastAsia="Times New Roman" w:hAnsi="Times New Roman"/>
                <w:sz w:val="8"/>
                <w:szCs w:val="8"/>
                <w:color w:val="auto"/>
              </w:rPr>
              <w:t>(5)</w:t>
            </w:r>
          </w:p>
        </w:tc>
        <w:tc>
          <w:tcPr>
            <w:tcW w:w="1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2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9"/>
              </w:rPr>
              <w:t>3M S+550, 12/18/2028</w:t>
            </w: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6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1775 West Hibiscus Boulevard, Suite 200</w:t>
            </w:r>
          </w:p>
        </w:tc>
        <w:tc>
          <w:tcPr>
            <w:tcW w:w="1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2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Melbourne, FL 32901</w:t>
            </w:r>
          </w:p>
        </w:tc>
        <w:tc>
          <w:tcPr>
            <w:tcW w:w="1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AFC Dell Holding Corp.</w:t>
            </w:r>
          </w:p>
        </w:tc>
        <w:tc>
          <w:tcPr>
            <w:tcW w:w="25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rPr>
              <w:t>Distributors</w:t>
            </w: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13,465</w:t>
            </w:r>
          </w:p>
        </w:tc>
        <w:tc>
          <w:tcPr>
            <w:tcW w:w="0" w:type="dxa"/>
            <w:vAlign w:val="bottom"/>
          </w:tcPr>
          <w:p>
            <w:pPr>
              <w:spacing w:after="0"/>
              <w:rPr>
                <w:sz w:val="1"/>
                <w:szCs w:val="1"/>
                <w:color w:val="auto"/>
              </w:rPr>
            </w:pPr>
          </w:p>
        </w:tc>
      </w:tr>
      <w:tr>
        <w:trPr>
          <w:trHeight w:val="145"/>
        </w:trPr>
        <w:tc>
          <w:tcPr>
            <w:tcW w:w="46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(AFC Acquisitions, Inc.)</w:t>
            </w:r>
            <w:r>
              <w:rPr>
                <w:rFonts w:ascii="Times New Roman" w:cs="Times New Roman" w:eastAsia="Times New Roman" w:hAnsi="Times New Roman"/>
                <w:sz w:val="8"/>
                <w:szCs w:val="8"/>
                <w:color w:val="auto"/>
              </w:rPr>
              <w:t>(5)</w:t>
            </w:r>
          </w:p>
        </w:tc>
        <w:tc>
          <w:tcPr>
            <w:tcW w:w="1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2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9"/>
              </w:rPr>
              <w:t>3M S+640, 04/09/2027</w:t>
            </w: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6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9030 Port Union Road</w:t>
            </w:r>
          </w:p>
        </w:tc>
        <w:tc>
          <w:tcPr>
            <w:tcW w:w="1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2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Preferred Equity</w:t>
            </w: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West Chester Township, OH 45011</w:t>
            </w:r>
          </w:p>
        </w:tc>
        <w:tc>
          <w:tcPr>
            <w:tcW w:w="1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Affinion Group Holdings, Inc.</w:t>
            </w:r>
          </w:p>
        </w:tc>
        <w:tc>
          <w:tcPr>
            <w:tcW w:w="25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w w:val="99"/>
              </w:rPr>
              <w:t>Consumer Goods: Durable</w:t>
            </w: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7"/>
              </w:rPr>
              <w:t>Warrants</w:t>
            </w: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5"/>
        </w:trPr>
        <w:tc>
          <w:tcPr>
            <w:tcW w:w="46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6 High Ridge Park</w:t>
            </w:r>
          </w:p>
        </w:tc>
        <w:tc>
          <w:tcPr>
            <w:tcW w:w="1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Stamford, CT 06905</w:t>
            </w:r>
          </w:p>
        </w:tc>
        <w:tc>
          <w:tcPr>
            <w:tcW w:w="1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AG Investco LP</w:t>
            </w:r>
            <w:r>
              <w:rPr>
                <w:rFonts w:ascii="Times New Roman" w:cs="Times New Roman" w:eastAsia="Times New Roman" w:hAnsi="Times New Roman"/>
                <w:sz w:val="8"/>
                <w:szCs w:val="8"/>
                <w:color w:val="auto"/>
              </w:rPr>
              <w:t>(5)</w:t>
            </w:r>
          </w:p>
        </w:tc>
        <w:tc>
          <w:tcPr>
            <w:tcW w:w="25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w w:val="98"/>
              </w:rPr>
              <w:t>Software</w:t>
            </w: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Common Equity(4)</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1,131</w:t>
            </w:r>
          </w:p>
        </w:tc>
        <w:tc>
          <w:tcPr>
            <w:tcW w:w="0" w:type="dxa"/>
            <w:vAlign w:val="bottom"/>
          </w:tcPr>
          <w:p>
            <w:pPr>
              <w:spacing w:after="0"/>
              <w:rPr>
                <w:sz w:val="1"/>
                <w:szCs w:val="1"/>
                <w:color w:val="auto"/>
              </w:rPr>
            </w:pPr>
          </w:p>
        </w:tc>
      </w:tr>
      <w:tr>
        <w:trPr>
          <w:trHeight w:val="145"/>
        </w:trPr>
        <w:tc>
          <w:tcPr>
            <w:tcW w:w="46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251 Little Falls Drive</w:t>
            </w:r>
          </w:p>
        </w:tc>
        <w:tc>
          <w:tcPr>
            <w:tcW w:w="1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Herndon, VA 19808</w:t>
            </w:r>
          </w:p>
        </w:tc>
        <w:tc>
          <w:tcPr>
            <w:tcW w:w="1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290"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38"/>
        </w:trPr>
        <w:tc>
          <w:tcPr>
            <w:tcW w:w="45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7"/>
              </w:rPr>
              <w:t>Voting</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500" w:type="dxa"/>
            <w:vAlign w:val="bottom"/>
            <w:gridSpan w:val="2"/>
            <w:vMerge w:val="continue"/>
          </w:tcPr>
          <w:p>
            <w:pPr>
              <w:spacing w:after="0"/>
              <w:rPr>
                <w:sz w:val="10"/>
                <w:szCs w:val="10"/>
                <w:color w:val="auto"/>
              </w:rPr>
            </w:pPr>
          </w:p>
        </w:tc>
        <w:tc>
          <w:tcPr>
            <w:tcW w:w="2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40" w:type="dxa"/>
            <w:vAlign w:val="bottom"/>
            <w:gridSpan w:val="2"/>
          </w:tcPr>
          <w:p>
            <w:pPr>
              <w:jc w:val="center"/>
              <w:ind w:right="320"/>
              <w:spacing w:after="0" w:line="126" w:lineRule="exact"/>
              <w:rPr>
                <w:sz w:val="20"/>
                <w:szCs w:val="20"/>
                <w:color w:val="auto"/>
              </w:rPr>
            </w:pPr>
            <w:r>
              <w:rPr>
                <w:rFonts w:ascii="Times New Roman" w:cs="Times New Roman" w:eastAsia="Times New Roman" w:hAnsi="Times New Roman"/>
                <w:sz w:val="12"/>
                <w:szCs w:val="12"/>
                <w:b w:val="1"/>
                <w:bCs w:val="1"/>
                <w:color w:val="auto"/>
              </w:rPr>
              <w:t>Type of Investment,</w:t>
            </w:r>
          </w:p>
        </w:tc>
        <w:tc>
          <w:tcPr>
            <w:tcW w:w="1340" w:type="dxa"/>
            <w:vAlign w:val="bottom"/>
            <w:gridSpan w:val="2"/>
          </w:tcPr>
          <w:p>
            <w:pPr>
              <w:jc w:val="center"/>
              <w:ind w:right="420"/>
              <w:spacing w:after="0" w:line="126"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120" w:type="dxa"/>
            <w:vAlign w:val="bottom"/>
          </w:tcPr>
          <w:p>
            <w:pPr>
              <w:spacing w:after="0"/>
              <w:rPr>
                <w:sz w:val="10"/>
                <w:szCs w:val="10"/>
                <w:color w:val="auto"/>
              </w:rPr>
            </w:pPr>
          </w:p>
        </w:tc>
        <w:tc>
          <w:tcPr>
            <w:tcW w:w="760" w:type="dxa"/>
            <w:vAlign w:val="bottom"/>
            <w:gridSpan w:val="2"/>
          </w:tcPr>
          <w:p>
            <w:pPr>
              <w:jc w:val="center"/>
              <w:ind w:right="140"/>
              <w:spacing w:after="0" w:line="126"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0" w:type="dxa"/>
            <w:vAlign w:val="bottom"/>
          </w:tcPr>
          <w:p>
            <w:pPr>
              <w:spacing w:after="0"/>
              <w:rPr>
                <w:sz w:val="1"/>
                <w:szCs w:val="1"/>
                <w:color w:val="auto"/>
              </w:rPr>
            </w:pPr>
          </w:p>
        </w:tc>
      </w:tr>
      <w:tr>
        <w:trPr>
          <w:trHeight w:val="165"/>
        </w:trPr>
        <w:tc>
          <w:tcPr>
            <w:tcW w:w="45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Address of Portfolio Company</w:t>
            </w:r>
          </w:p>
        </w:tc>
        <w:tc>
          <w:tcPr>
            <w:tcW w:w="246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Nature of Business</w:t>
            </w:r>
          </w:p>
        </w:tc>
        <w:tc>
          <w:tcPr>
            <w:tcW w:w="204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Interest (1), Maturity</w:t>
            </w: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rPr>
              <w:t>Ownership (2)</w:t>
            </w:r>
          </w:p>
        </w:tc>
        <w:tc>
          <w:tcPr>
            <w:tcW w:w="880" w:type="dxa"/>
            <w:vAlign w:val="bottom"/>
            <w:gridSpan w:val="3"/>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0" w:type="dxa"/>
            <w:vAlign w:val="bottom"/>
          </w:tcPr>
          <w:p>
            <w:pPr>
              <w:spacing w:after="0"/>
              <w:rPr>
                <w:sz w:val="1"/>
                <w:szCs w:val="1"/>
                <w:color w:val="auto"/>
              </w:rPr>
            </w:pPr>
          </w:p>
        </w:tc>
      </w:tr>
      <w:tr>
        <w:trPr>
          <w:trHeight w:val="105"/>
        </w:trPr>
        <w:tc>
          <w:tcPr>
            <w:tcW w:w="1620" w:type="dxa"/>
            <w:vAlign w:val="bottom"/>
            <w:tcBorders>
              <w:top w:val="single" w:sz="8" w:color="auto"/>
            </w:tcBorders>
          </w:tcPr>
          <w:p>
            <w:pPr>
              <w:spacing w:after="0" w:line="105" w:lineRule="exact"/>
              <w:rPr>
                <w:sz w:val="20"/>
                <w:szCs w:val="20"/>
                <w:color w:val="auto"/>
              </w:rPr>
            </w:pPr>
            <w:r>
              <w:rPr>
                <w:rFonts w:ascii="Times New Roman" w:cs="Times New Roman" w:eastAsia="Times New Roman" w:hAnsi="Times New Roman"/>
                <w:sz w:val="12"/>
                <w:szCs w:val="12"/>
                <w:color w:val="auto"/>
              </w:rPr>
              <w:t>Altamira Technologies, LLC</w:t>
            </w:r>
          </w:p>
        </w:tc>
        <w:tc>
          <w:tcPr>
            <w:tcW w:w="2880" w:type="dxa"/>
            <w:vAlign w:val="bottom"/>
          </w:tcPr>
          <w:p>
            <w:pPr>
              <w:spacing w:after="0"/>
              <w:rPr>
                <w:sz w:val="9"/>
                <w:szCs w:val="9"/>
                <w:color w:val="auto"/>
              </w:rPr>
            </w:pPr>
          </w:p>
        </w:tc>
        <w:tc>
          <w:tcPr>
            <w:tcW w:w="2140" w:type="dxa"/>
            <w:vAlign w:val="bottom"/>
            <w:tcBorders>
              <w:top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color w:val="auto"/>
              </w:rPr>
              <w:t>IT Services</w:t>
            </w:r>
          </w:p>
        </w:tc>
        <w:tc>
          <w:tcPr>
            <w:tcW w:w="320" w:type="dxa"/>
            <w:vAlign w:val="bottom"/>
          </w:tcPr>
          <w:p>
            <w:pPr>
              <w:spacing w:after="0"/>
              <w:rPr>
                <w:sz w:val="9"/>
                <w:szCs w:val="9"/>
                <w:color w:val="auto"/>
              </w:rPr>
            </w:pPr>
          </w:p>
        </w:tc>
        <w:tc>
          <w:tcPr>
            <w:tcW w:w="1720" w:type="dxa"/>
            <w:vAlign w:val="bottom"/>
            <w:tcBorders>
              <w:top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color w:val="auto"/>
              </w:rPr>
              <w:t>Common Equity</w:t>
            </w:r>
          </w:p>
        </w:tc>
        <w:tc>
          <w:tcPr>
            <w:tcW w:w="320" w:type="dxa"/>
            <w:vAlign w:val="bottom"/>
          </w:tcPr>
          <w:p>
            <w:pPr>
              <w:spacing w:after="0"/>
              <w:rPr>
                <w:sz w:val="9"/>
                <w:szCs w:val="9"/>
                <w:color w:val="auto"/>
              </w:rPr>
            </w:pPr>
          </w:p>
        </w:tc>
        <w:tc>
          <w:tcPr>
            <w:tcW w:w="84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2"/>
                <w:szCs w:val="12"/>
                <w:color w:val="auto"/>
              </w:rPr>
              <w:t>1.0</w:t>
            </w:r>
          </w:p>
        </w:tc>
        <w:tc>
          <w:tcPr>
            <w:tcW w:w="500" w:type="dxa"/>
            <w:vAlign w:val="bottom"/>
          </w:tcPr>
          <w:p>
            <w:pPr>
              <w:jc w:val="right"/>
              <w:ind w:right="320"/>
              <w:spacing w:after="0" w:line="105" w:lineRule="exact"/>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2"/>
                <w:szCs w:val="12"/>
                <w:color w:val="auto"/>
              </w:rPr>
              <w:t>1,679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5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(Altamira Intermediate Company II, Inc.)</w:t>
            </w:r>
          </w:p>
        </w:tc>
        <w:tc>
          <w:tcPr>
            <w:tcW w:w="2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8201 Greensboro Drive, Suite 800</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McLean, VA 22102</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Amsive Holding Corporation (f/k/a Vision Purchaser Corporation)</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Media</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First Lien Secured Debt,</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13,712</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605 Territorial Drive</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S+640, 06/10/2025</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Suite A, B &amp; C</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Bolingbrook, IL 60440</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Anteriad, LLC (f/k/a MeritDirect, LLC)</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Media</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18,751</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(Anterida Holdings, LP (5))</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S+575, 06/30/2026</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 International Drive</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8"/>
              </w:rPr>
              <w:t>Preferred Equity</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Rye Brook, NY 10573</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8"/>
              </w:rPr>
              <w:t>Common Equity</w:t>
            </w: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Any Hour Services</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Energy Equipment and Services</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7,085</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 xml:space="preserve">(KL Stockton Co-Invest LP) </w:t>
            </w:r>
            <w:r>
              <w:rPr>
                <w:rFonts w:ascii="Times New Roman" w:cs="Times New Roman" w:eastAsia="Times New Roman" w:hAnsi="Times New Roman"/>
                <w:sz w:val="8"/>
                <w:szCs w:val="8"/>
                <w:color w:val="auto"/>
              </w:rPr>
              <w:t>(5)</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S+585, 07/21/2027</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1374 130 S</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Orem, UT 84058</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Applied Technical Services, LLC</w:t>
            </w:r>
          </w:p>
        </w:tc>
        <w:tc>
          <w:tcPr>
            <w:tcW w:w="2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Commercial Services &amp; Supplies</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13,853</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 xml:space="preserve">(Ironclad Holdco, LLC) </w:t>
            </w:r>
            <w:r>
              <w:rPr>
                <w:rFonts w:ascii="Times New Roman" w:cs="Times New Roman" w:eastAsia="Times New Roman" w:hAnsi="Times New Roman"/>
                <w:sz w:val="8"/>
                <w:szCs w:val="8"/>
                <w:color w:val="auto"/>
              </w:rPr>
              <w:t>(5)</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S+590, 12/29/2026</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1049 Triad Ct</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Marietta, GA 30062</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Arcfield Acquisition Corp.</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Aerospace and Defense</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5,907</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14295 Park Meadow Drive</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1M S+625, 08/03/2029</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Chantilly, VA 20151</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Athletico Holdings, LLC</w:t>
            </w:r>
            <w:r>
              <w:rPr>
                <w:rFonts w:ascii="Times New Roman" w:cs="Times New Roman" w:eastAsia="Times New Roman" w:hAnsi="Times New Roman"/>
                <w:sz w:val="8"/>
                <w:szCs w:val="8"/>
                <w:color w:val="auto"/>
              </w:rPr>
              <w:t>(5)</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Healthcare Providers and Services</w:t>
            </w:r>
          </w:p>
        </w:tc>
        <w:tc>
          <w:tcPr>
            <w:tcW w:w="2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8"/>
              </w:rPr>
              <w:t>Common Equity</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4,048</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2122 York Road, Ste. 300</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Oak Brook, IL 60523</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Beta Plus Technologies, Inc.</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Internet Software and Services</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First Lien Secured Debt,</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11,580</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7 World Trade Center, 47th Floor</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1M S+575, 07/01/2029</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New York, NY 10007</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Big Top Holdings, LLC</w:t>
            </w:r>
          </w:p>
        </w:tc>
        <w:tc>
          <w:tcPr>
            <w:tcW w:w="2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Construction &amp; Engineering</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48,636</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(ACP Big Top Holdings, LP)</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1M S+625, 02/28/2030</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3255 U.S. Hwy 19 N</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Perry, FL 32347</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BioDerm, Inc.</w:t>
            </w:r>
          </w:p>
        </w:tc>
        <w:tc>
          <w:tcPr>
            <w:tcW w:w="2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Healthcare Equipment and</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1,867</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(BioDerm holdings, LP)</w:t>
            </w:r>
          </w:p>
        </w:tc>
        <w:tc>
          <w:tcPr>
            <w:tcW w:w="246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color w:val="auto"/>
                <w:w w:val="99"/>
              </w:rPr>
              <w:t>Supplies</w:t>
            </w: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1M S+650, 01/31/2028</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12320 73rd Court N</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Largo, FL 33773</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Blackhawk Industrial Distribution, Inc.</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Distributors</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6,307</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1501 SW Expressway Drive</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S+565, 09/17/2026</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Broken Arrow, OK 74012</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BlueHalo Financing Holdings, LLC</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Aerospace and Defense</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First Lien Secured Debt,</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6,397</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410 Jan Davis Drive</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S+475, 10/31/2025</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Huntsville, AL 35806</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Broder Bros., Co.</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8"/>
              </w:rPr>
              <w:t>Textiles, Apparel and Luxury</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First Lien Secured Debt,</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3,262</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Six Neshaminy Interplex, 6 Floor</w:t>
            </w:r>
          </w:p>
        </w:tc>
        <w:tc>
          <w:tcPr>
            <w:tcW w:w="246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color w:val="auto"/>
                <w:w w:val="98"/>
              </w:rPr>
              <w:t>Goods</w:t>
            </w: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S+626, 12/04/2025</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Trevose, PA 19053</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Burgess Point Holdings, LP</w:t>
            </w:r>
          </w:p>
        </w:tc>
        <w:tc>
          <w:tcPr>
            <w:tcW w:w="2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Auto Components</w:t>
            </w:r>
          </w:p>
        </w:tc>
        <w:tc>
          <w:tcPr>
            <w:tcW w:w="2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8"/>
              </w:rPr>
              <w:t>Common Equity</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29627 Renaissance Blvd</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Daphne, AL 26526</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7178040" cy="5461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00"/>
          </w:cols>
          <w:pgMar w:left="320" w:top="284" w:right="37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38"/>
        </w:trPr>
        <w:tc>
          <w:tcPr>
            <w:tcW w:w="45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7"/>
              </w:rPr>
              <w:t>Voting</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500" w:type="dxa"/>
            <w:vAlign w:val="bottom"/>
            <w:gridSpan w:val="2"/>
            <w:vMerge w:val="continue"/>
          </w:tcPr>
          <w:p>
            <w:pPr>
              <w:spacing w:after="0"/>
              <w:rPr>
                <w:sz w:val="10"/>
                <w:szCs w:val="10"/>
                <w:color w:val="auto"/>
              </w:rPr>
            </w:pPr>
          </w:p>
        </w:tc>
        <w:tc>
          <w:tcPr>
            <w:tcW w:w="2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40" w:type="dxa"/>
            <w:vAlign w:val="bottom"/>
            <w:gridSpan w:val="2"/>
          </w:tcPr>
          <w:p>
            <w:pPr>
              <w:jc w:val="center"/>
              <w:ind w:right="320"/>
              <w:spacing w:after="0" w:line="126" w:lineRule="exact"/>
              <w:rPr>
                <w:sz w:val="20"/>
                <w:szCs w:val="20"/>
                <w:color w:val="auto"/>
              </w:rPr>
            </w:pPr>
            <w:r>
              <w:rPr>
                <w:rFonts w:ascii="Times New Roman" w:cs="Times New Roman" w:eastAsia="Times New Roman" w:hAnsi="Times New Roman"/>
                <w:sz w:val="12"/>
                <w:szCs w:val="12"/>
                <w:b w:val="1"/>
                <w:bCs w:val="1"/>
                <w:color w:val="auto"/>
              </w:rPr>
              <w:t>Type of Investment,</w:t>
            </w:r>
          </w:p>
        </w:tc>
        <w:tc>
          <w:tcPr>
            <w:tcW w:w="1340" w:type="dxa"/>
            <w:vAlign w:val="bottom"/>
            <w:gridSpan w:val="2"/>
          </w:tcPr>
          <w:p>
            <w:pPr>
              <w:jc w:val="center"/>
              <w:ind w:right="420"/>
              <w:spacing w:after="0" w:line="126"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120" w:type="dxa"/>
            <w:vAlign w:val="bottom"/>
          </w:tcPr>
          <w:p>
            <w:pPr>
              <w:spacing w:after="0"/>
              <w:rPr>
                <w:sz w:val="10"/>
                <w:szCs w:val="10"/>
                <w:color w:val="auto"/>
              </w:rPr>
            </w:pPr>
          </w:p>
        </w:tc>
        <w:tc>
          <w:tcPr>
            <w:tcW w:w="760" w:type="dxa"/>
            <w:vAlign w:val="bottom"/>
            <w:gridSpan w:val="2"/>
          </w:tcPr>
          <w:p>
            <w:pPr>
              <w:jc w:val="center"/>
              <w:ind w:right="140"/>
              <w:spacing w:after="0" w:line="126"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0" w:type="dxa"/>
            <w:vAlign w:val="bottom"/>
          </w:tcPr>
          <w:p>
            <w:pPr>
              <w:spacing w:after="0"/>
              <w:rPr>
                <w:sz w:val="1"/>
                <w:szCs w:val="1"/>
                <w:color w:val="auto"/>
              </w:rPr>
            </w:pPr>
          </w:p>
        </w:tc>
      </w:tr>
      <w:tr>
        <w:trPr>
          <w:trHeight w:val="165"/>
        </w:trPr>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Address of Portfolio Company</w:t>
            </w:r>
          </w:p>
        </w:tc>
        <w:tc>
          <w:tcPr>
            <w:tcW w:w="2880" w:type="dxa"/>
            <w:vAlign w:val="bottom"/>
          </w:tcPr>
          <w:p>
            <w:pPr>
              <w:spacing w:after="0"/>
              <w:rPr>
                <w:sz w:val="14"/>
                <w:szCs w:val="14"/>
                <w:color w:val="auto"/>
              </w:rPr>
            </w:pPr>
          </w:p>
        </w:tc>
        <w:tc>
          <w:tcPr>
            <w:tcW w:w="246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Nature of Business</w:t>
            </w:r>
          </w:p>
        </w:tc>
        <w:tc>
          <w:tcPr>
            <w:tcW w:w="204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Interest (1), Maturity</w:t>
            </w: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rPr>
              <w:t>Ownership (2)</w:t>
            </w:r>
          </w:p>
        </w:tc>
        <w:tc>
          <w:tcPr>
            <w:tcW w:w="880" w:type="dxa"/>
            <w:vAlign w:val="bottom"/>
            <w:gridSpan w:val="3"/>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0" w:type="dxa"/>
            <w:vAlign w:val="bottom"/>
          </w:tcPr>
          <w:p>
            <w:pPr>
              <w:spacing w:after="0"/>
              <w:rPr>
                <w:sz w:val="1"/>
                <w:szCs w:val="1"/>
                <w:color w:val="auto"/>
              </w:rPr>
            </w:pPr>
          </w:p>
        </w:tc>
      </w:tr>
      <w:tr>
        <w:trPr>
          <w:trHeight w:val="109"/>
        </w:trPr>
        <w:tc>
          <w:tcPr>
            <w:tcW w:w="4500" w:type="dxa"/>
            <w:vAlign w:val="bottom"/>
            <w:gridSpan w:val="2"/>
          </w:tcPr>
          <w:p>
            <w:pPr>
              <w:spacing w:after="0" w:line="109" w:lineRule="exact"/>
              <w:rPr>
                <w:sz w:val="20"/>
                <w:szCs w:val="20"/>
                <w:color w:val="auto"/>
              </w:rPr>
            </w:pPr>
            <w:r>
              <w:rPr>
                <w:rFonts w:ascii="Times New Roman" w:cs="Times New Roman" w:eastAsia="Times New Roman" w:hAnsi="Times New Roman"/>
                <w:sz w:val="12"/>
                <w:szCs w:val="12"/>
                <w:color w:val="auto"/>
              </w:rPr>
              <w:t>By Light Professional IT Services, LLC</w:t>
            </w:r>
          </w:p>
        </w:tc>
        <w:tc>
          <w:tcPr>
            <w:tcW w:w="214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High Tech Industries</w:t>
            </w:r>
          </w:p>
        </w:tc>
        <w:tc>
          <w:tcPr>
            <w:tcW w:w="320" w:type="dxa"/>
            <w:vAlign w:val="bottom"/>
          </w:tcPr>
          <w:p>
            <w:pPr>
              <w:spacing w:after="0"/>
              <w:rPr>
                <w:sz w:val="9"/>
                <w:szCs w:val="9"/>
                <w:color w:val="auto"/>
              </w:rPr>
            </w:pPr>
          </w:p>
        </w:tc>
        <w:tc>
          <w:tcPr>
            <w:tcW w:w="172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First Lien Secured Debt(4),</w:t>
            </w:r>
          </w:p>
        </w:tc>
        <w:tc>
          <w:tcPr>
            <w:tcW w:w="320" w:type="dxa"/>
            <w:vAlign w:val="bottom"/>
          </w:tcPr>
          <w:p>
            <w:pPr>
              <w:spacing w:after="0"/>
              <w:rPr>
                <w:sz w:val="9"/>
                <w:szCs w:val="9"/>
                <w:color w:val="auto"/>
              </w:rPr>
            </w:pPr>
          </w:p>
        </w:tc>
        <w:tc>
          <w:tcPr>
            <w:tcW w:w="84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2.9</w:t>
            </w:r>
          </w:p>
        </w:tc>
        <w:tc>
          <w:tcPr>
            <w:tcW w:w="500" w:type="dxa"/>
            <w:vAlign w:val="bottom"/>
          </w:tcPr>
          <w:p>
            <w:pPr>
              <w:jc w:val="right"/>
              <w:ind w:right="320"/>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40,004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(By Light Investco, LP)</w:t>
            </w:r>
            <w:r>
              <w:rPr>
                <w:rFonts w:ascii="Times New Roman" w:cs="Times New Roman" w:eastAsia="Times New Roman" w:hAnsi="Times New Roman"/>
                <w:sz w:val="8"/>
                <w:szCs w:val="8"/>
                <w:color w:val="auto"/>
              </w:rPr>
              <w:t>(5)</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S+688, 05/16/2025</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8484 Westpark Drive Suite 600</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McLean, VA 22102</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Carisk Buyer, Inc.</w:t>
            </w:r>
          </w:p>
        </w:tc>
        <w:tc>
          <w:tcPr>
            <w:tcW w:w="2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Healthcare Technology</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5,600</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(Carisk Parent, LP)</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S+575, 12/01/2029</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10685 North Kendall Drive</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Miami, FL 33176</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Carnegie Dartlet, LLC</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Professional Services</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48,279</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(Carnegie HoldCo, LLC)</w:t>
            </w:r>
            <w:r>
              <w:rPr>
                <w:rFonts w:ascii="Times New Roman" w:cs="Times New Roman" w:eastAsia="Times New Roman" w:hAnsi="Times New Roman"/>
                <w:sz w:val="8"/>
                <w:szCs w:val="8"/>
                <w:color w:val="auto"/>
              </w:rPr>
              <w:t>(5)</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S+550, 02/07/2030</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210 Littleton Road, Suite 100</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Westford, MA 01886</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Cartessa Aesthetics, LLC</w:t>
            </w:r>
            <w:r>
              <w:rPr>
                <w:rFonts w:ascii="Times New Roman" w:cs="Times New Roman" w:eastAsia="Times New Roman" w:hAnsi="Times New Roman"/>
                <w:sz w:val="8"/>
                <w:szCs w:val="8"/>
                <w:color w:val="auto"/>
              </w:rPr>
              <w:t>(5)</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Distributors</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0.8%</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15,787</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175 Broadhollow Road</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1M S+575, 06/14/2028</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Melville, NY 11747</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8"/>
              </w:rPr>
              <w:t>Preferred Equity</w:t>
            </w: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CF512, Inc.</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Media</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5,991</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(StellPen Holdings, LLC)</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S+619, 08/20/2026</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960B Harvest Drive</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Blue Bell, PA 19422</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Challenger Performance Optimization, Inc. 1201 Wilson Blvd</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Business Services</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First Lien Secured Debt,</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227</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Arlington, VA 22209</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S+775 (PIK 2.00%),</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6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08/31/2024</w:t>
            </w: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Compex Legal Services, Inc.</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Professional Services</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9,160</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1100 Glendon Avenue</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S+555, 02/09/2026</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Suite 1200</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Los Angeles, CA 90024</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Confluent Health, LLC</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Healthcare Providers and Services</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First Lien Secured Debt,</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6,948</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75 S English Station Road</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color w:val="auto"/>
                <w:w w:val="99"/>
              </w:rPr>
              <w:t>3M S+500, 11/30/2028</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Louisville, KY 40245</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Connatix Buyer, Inc.</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Media</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3,769</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(Connatix Parent, LLC)</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S+576, 07/13/2027</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666 Broadway, Floor 10</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New York, NY 10012</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Crane 1 Services, Inc.</w:t>
            </w:r>
          </w:p>
        </w:tc>
        <w:tc>
          <w:tcPr>
            <w:tcW w:w="2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Commercial Services &amp; Supplies</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1,228</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(Crane 1 Acquisition Parent Holdings, L.P.)</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S+501, 08/16/2027</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1027 Byers Rd</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Miamisburg, OH 45342</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Dr. Squatch, LLC</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Personal Products</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6,596</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2355 Westwood Blvd. #1834</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S+585, 08/31/2027</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Los Angeles, CA 90064</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DRS Holdings III, Inc.</w:t>
            </w:r>
          </w:p>
        </w:tc>
        <w:tc>
          <w:tcPr>
            <w:tcW w:w="2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Chemicals, Plastics and Rubber</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15,810</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225 State Street</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color w:val="auto"/>
                <w:w w:val="99"/>
              </w:rPr>
              <w:t>3M S+640, 11/03/2025</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Boston MA 02109</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Duraco Specialty Tapes LLC</w:t>
            </w:r>
          </w:p>
        </w:tc>
        <w:tc>
          <w:tcPr>
            <w:tcW w:w="2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Containers and Packaging</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First Lien Secured Debt,</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3,417</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7400 Industrial Dr.</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S+650, 06/30/2024</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Forest Park, IL 60130</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ECL Entertainment, LLC</w:t>
            </w:r>
          </w:p>
        </w:tc>
        <w:tc>
          <w:tcPr>
            <w:tcW w:w="2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Hotels, Restaurants and Leisure</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First Lien Secured Debt,</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5,928</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(Kentucky Racing Holco, LLC)</w:t>
            </w:r>
            <w:r>
              <w:rPr>
                <w:rFonts w:ascii="Times New Roman" w:cs="Times New Roman" w:eastAsia="Times New Roman" w:hAnsi="Times New Roman"/>
                <w:sz w:val="8"/>
                <w:szCs w:val="8"/>
                <w:color w:val="auto"/>
              </w:rPr>
              <w:t>(5)</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1M S+475, 08/31/2030</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5629 Nashville Rd</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color w:val="auto"/>
                <w:w w:val="97"/>
              </w:rPr>
              <w:t>Warrants</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Franklin, KY 42134</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178040" cy="5461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00"/>
          </w:cols>
          <w:pgMar w:left="320" w:top="284" w:right="379" w:bottom="1440" w:gutter="0" w:footer="0" w:header="0"/>
        </w:sectPr>
      </w:pPr>
    </w:p>
    <w:bookmarkStart w:id="28" w:name="page29"/>
    <w:bookmarkEnd w:id="28"/>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Name and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Address of Portfolio Company</w:t>
      </w:r>
    </w:p>
    <w:p>
      <w:pPr>
        <w:spacing w:after="0" w:line="222" w:lineRule="auto"/>
        <w:rPr>
          <w:sz w:val="20"/>
          <w:szCs w:val="20"/>
          <w:color w:val="auto"/>
        </w:rPr>
      </w:pPr>
      <w:r>
        <w:rPr>
          <w:rFonts w:ascii="Times New Roman" w:cs="Times New Roman" w:eastAsia="Times New Roman" w:hAnsi="Times New Roman"/>
          <w:sz w:val="14"/>
          <w:szCs w:val="14"/>
          <w:color w:val="auto"/>
        </w:rPr>
        <w:t>eCommission Holding Corporation</w:t>
      </w:r>
      <w:r>
        <w:rPr>
          <w:rFonts w:ascii="Times New Roman" w:cs="Times New Roman" w:eastAsia="Times New Roman" w:hAnsi="Times New Roman"/>
          <w:sz w:val="8"/>
          <w:szCs w:val="8"/>
          <w:color w:val="auto"/>
        </w:rPr>
        <w:t>(6)</w:t>
      </w:r>
    </w:p>
    <w:p>
      <w:pPr>
        <w:spacing w:after="0" w:line="232" w:lineRule="auto"/>
        <w:rPr>
          <w:sz w:val="20"/>
          <w:szCs w:val="20"/>
          <w:color w:val="auto"/>
        </w:rPr>
      </w:pPr>
      <w:r>
        <w:rPr>
          <w:rFonts w:ascii="Times New Roman" w:cs="Times New Roman" w:eastAsia="Times New Roman" w:hAnsi="Times New Roman"/>
          <w:sz w:val="13"/>
          <w:szCs w:val="13"/>
          <w:color w:val="auto"/>
        </w:rPr>
        <w:t>11612 Bee Caves Road, Building II, Suite 200 Austin, TX,</w:t>
      </w:r>
    </w:p>
    <w:p>
      <w:pPr>
        <w:spacing w:after="0"/>
        <w:rPr>
          <w:sz w:val="20"/>
          <w:szCs w:val="20"/>
          <w:color w:val="auto"/>
        </w:rPr>
      </w:pPr>
      <w:r>
        <w:rPr>
          <w:rFonts w:ascii="Times New Roman" w:cs="Times New Roman" w:eastAsia="Times New Roman" w:hAnsi="Times New Roman"/>
          <w:sz w:val="14"/>
          <w:szCs w:val="14"/>
          <w:color w:val="auto"/>
        </w:rPr>
        <w:t>78738</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EDS Buyer, LLC</w:t>
      </w:r>
    </w:p>
    <w:p>
      <w:pPr>
        <w:spacing w:after="0" w:line="215" w:lineRule="auto"/>
        <w:rPr>
          <w:sz w:val="20"/>
          <w:szCs w:val="20"/>
          <w:color w:val="auto"/>
        </w:rPr>
      </w:pPr>
      <w:r>
        <w:rPr>
          <w:rFonts w:ascii="Times New Roman" w:cs="Times New Roman" w:eastAsia="Times New Roman" w:hAnsi="Times New Roman"/>
          <w:sz w:val="14"/>
          <w:szCs w:val="14"/>
          <w:color w:val="auto"/>
        </w:rPr>
        <w:t>(EDS Topco, LP)</w:t>
      </w:r>
    </w:p>
    <w:p>
      <w:pPr>
        <w:spacing w:after="0" w:line="216" w:lineRule="auto"/>
        <w:rPr>
          <w:sz w:val="20"/>
          <w:szCs w:val="20"/>
          <w:color w:val="auto"/>
        </w:rPr>
      </w:pPr>
      <w:r>
        <w:rPr>
          <w:rFonts w:ascii="Times New Roman" w:cs="Times New Roman" w:eastAsia="Times New Roman" w:hAnsi="Times New Roman"/>
          <w:sz w:val="14"/>
          <w:szCs w:val="14"/>
          <w:color w:val="auto"/>
        </w:rPr>
        <w:t>810 7th Ave 12th floor</w:t>
      </w:r>
    </w:p>
    <w:p>
      <w:pPr>
        <w:spacing w:after="0"/>
        <w:rPr>
          <w:sz w:val="20"/>
          <w:szCs w:val="20"/>
          <w:color w:val="auto"/>
        </w:rPr>
      </w:pPr>
      <w:r>
        <w:rPr>
          <w:rFonts w:ascii="Times New Roman" w:cs="Times New Roman" w:eastAsia="Times New Roman" w:hAnsi="Times New Roman"/>
          <w:sz w:val="14"/>
          <w:szCs w:val="14"/>
          <w:color w:val="auto"/>
        </w:rPr>
        <w:t>New York, NY 10019</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720" w:type="dxa"/>
            <w:vAlign w:val="bottom"/>
            <w:gridSpan w:val="2"/>
          </w:tcPr>
          <w:p>
            <w:pPr>
              <w:jc w:val="center"/>
              <w:ind w:right="870"/>
              <w:spacing w:after="0"/>
              <w:rPr>
                <w:sz w:val="20"/>
                <w:szCs w:val="20"/>
                <w:color w:val="auto"/>
              </w:rPr>
            </w:pPr>
            <w:r>
              <w:rPr>
                <w:rFonts w:ascii="Times New Roman" w:cs="Times New Roman" w:eastAsia="Times New Roman" w:hAnsi="Times New Roman"/>
                <w:sz w:val="12"/>
                <w:szCs w:val="12"/>
                <w:b w:val="1"/>
                <w:bCs w:val="1"/>
                <w:color w:val="auto"/>
                <w:w w:val="97"/>
              </w:rPr>
              <w:t>Voting</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340" w:type="dxa"/>
            <w:vAlign w:val="bottom"/>
            <w:gridSpan w:val="2"/>
          </w:tcPr>
          <w:p>
            <w:pPr>
              <w:jc w:val="center"/>
              <w:ind w:right="780"/>
              <w:spacing w:after="0" w:line="132" w:lineRule="exact"/>
              <w:rPr>
                <w:sz w:val="20"/>
                <w:szCs w:val="20"/>
                <w:color w:val="auto"/>
              </w:rPr>
            </w:pPr>
            <w:r>
              <w:rPr>
                <w:rFonts w:ascii="Times New Roman" w:cs="Times New Roman" w:eastAsia="Times New Roman" w:hAnsi="Times New Roman"/>
                <w:sz w:val="12"/>
                <w:szCs w:val="12"/>
                <w:b w:val="1"/>
                <w:bCs w:val="1"/>
                <w:color w:val="auto"/>
              </w:rPr>
              <w:t>Type of Investment,</w:t>
            </w:r>
          </w:p>
        </w:tc>
        <w:tc>
          <w:tcPr>
            <w:tcW w:w="1720" w:type="dxa"/>
            <w:vAlign w:val="bottom"/>
            <w:gridSpan w:val="2"/>
          </w:tcPr>
          <w:p>
            <w:pPr>
              <w:jc w:val="center"/>
              <w:ind w:right="870"/>
              <w:spacing w:after="0" w:line="132"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80" w:type="dxa"/>
            <w:vAlign w:val="bottom"/>
          </w:tcPr>
          <w:p>
            <w:pPr>
              <w:spacing w:after="0"/>
              <w:rPr>
                <w:sz w:val="11"/>
                <w:szCs w:val="11"/>
                <w:color w:val="auto"/>
              </w:rPr>
            </w:pPr>
          </w:p>
        </w:tc>
        <w:tc>
          <w:tcPr>
            <w:tcW w:w="660" w:type="dxa"/>
            <w:vAlign w:val="bottom"/>
          </w:tcPr>
          <w:p>
            <w:pPr>
              <w:jc w:val="right"/>
              <w:ind w:right="34"/>
              <w:spacing w:after="0" w:line="132"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0" w:type="dxa"/>
            <w:vAlign w:val="bottom"/>
          </w:tcPr>
          <w:p>
            <w:pPr>
              <w:spacing w:after="0"/>
              <w:rPr>
                <w:sz w:val="1"/>
                <w:szCs w:val="1"/>
                <w:color w:val="auto"/>
              </w:rPr>
            </w:pPr>
          </w:p>
        </w:tc>
      </w:tr>
      <w:tr>
        <w:trPr>
          <w:trHeight w:val="129"/>
        </w:trPr>
        <w:tc>
          <w:tcPr>
            <w:tcW w:w="2580" w:type="dxa"/>
            <w:vAlign w:val="bottom"/>
            <w:gridSpan w:val="2"/>
          </w:tcPr>
          <w:p>
            <w:pPr>
              <w:jc w:val="center"/>
              <w:ind w:right="800"/>
              <w:spacing w:after="0" w:line="129" w:lineRule="exact"/>
              <w:rPr>
                <w:sz w:val="20"/>
                <w:szCs w:val="20"/>
                <w:color w:val="auto"/>
              </w:rPr>
            </w:pPr>
            <w:r>
              <w:rPr>
                <w:rFonts w:ascii="Times New Roman" w:cs="Times New Roman" w:eastAsia="Times New Roman" w:hAnsi="Times New Roman"/>
                <w:sz w:val="12"/>
                <w:szCs w:val="12"/>
                <w:b w:val="1"/>
                <w:bCs w:val="1"/>
                <w:color w:val="auto"/>
              </w:rPr>
              <w:t>Nature of Business</w:t>
            </w:r>
          </w:p>
        </w:tc>
        <w:tc>
          <w:tcPr>
            <w:tcW w:w="2340" w:type="dxa"/>
            <w:vAlign w:val="bottom"/>
            <w:gridSpan w:val="2"/>
          </w:tcPr>
          <w:p>
            <w:pPr>
              <w:jc w:val="center"/>
              <w:ind w:right="780"/>
              <w:spacing w:after="0" w:line="129" w:lineRule="exact"/>
              <w:rPr>
                <w:sz w:val="20"/>
                <w:szCs w:val="20"/>
                <w:color w:val="auto"/>
              </w:rPr>
            </w:pPr>
            <w:r>
              <w:rPr>
                <w:rFonts w:ascii="Times New Roman" w:cs="Times New Roman" w:eastAsia="Times New Roman" w:hAnsi="Times New Roman"/>
                <w:sz w:val="12"/>
                <w:szCs w:val="12"/>
                <w:b w:val="1"/>
                <w:bCs w:val="1"/>
                <w:color w:val="auto"/>
              </w:rPr>
              <w:t>Interest (1), Maturity</w:t>
            </w:r>
          </w:p>
        </w:tc>
        <w:tc>
          <w:tcPr>
            <w:tcW w:w="1720" w:type="dxa"/>
            <w:vAlign w:val="bottom"/>
            <w:gridSpan w:val="2"/>
          </w:tcPr>
          <w:p>
            <w:pPr>
              <w:jc w:val="center"/>
              <w:ind w:right="890"/>
              <w:spacing w:after="0" w:line="129" w:lineRule="exact"/>
              <w:rPr>
                <w:sz w:val="20"/>
                <w:szCs w:val="20"/>
                <w:color w:val="auto"/>
              </w:rPr>
            </w:pPr>
            <w:r>
              <w:rPr>
                <w:rFonts w:ascii="Times New Roman" w:cs="Times New Roman" w:eastAsia="Times New Roman" w:hAnsi="Times New Roman"/>
                <w:sz w:val="12"/>
                <w:szCs w:val="12"/>
                <w:b w:val="1"/>
                <w:bCs w:val="1"/>
                <w:color w:val="auto"/>
              </w:rPr>
              <w:t>Ownership (2)</w:t>
            </w:r>
          </w:p>
        </w:tc>
        <w:tc>
          <w:tcPr>
            <w:tcW w:w="740" w:type="dxa"/>
            <w:vAlign w:val="bottom"/>
            <w:gridSpan w:val="2"/>
          </w:tcPr>
          <w:p>
            <w:pPr>
              <w:spacing w:after="0" w:line="129" w:lineRule="exact"/>
              <w:rPr>
                <w:sz w:val="20"/>
                <w:szCs w:val="20"/>
                <w:color w:val="auto"/>
              </w:rPr>
            </w:pPr>
            <w:r>
              <w:rPr>
                <w:rFonts w:ascii="Times New Roman" w:cs="Times New Roman" w:eastAsia="Times New Roman" w:hAnsi="Times New Roman"/>
                <w:sz w:val="12"/>
                <w:szCs w:val="12"/>
                <w:b w:val="1"/>
                <w:bCs w:val="1"/>
                <w:color w:val="auto"/>
                <w:w w:val="98"/>
              </w:rPr>
              <w:t>(in thousands)</w:t>
            </w:r>
          </w:p>
        </w:tc>
        <w:tc>
          <w:tcPr>
            <w:tcW w:w="0" w:type="dxa"/>
            <w:vAlign w:val="bottom"/>
          </w:tcPr>
          <w:p>
            <w:pPr>
              <w:spacing w:after="0"/>
              <w:rPr>
                <w:sz w:val="1"/>
                <w:szCs w:val="1"/>
                <w:color w:val="auto"/>
              </w:rPr>
            </w:pPr>
          </w:p>
        </w:tc>
      </w:tr>
      <w:tr>
        <w:trPr>
          <w:trHeight w:val="23"/>
        </w:trPr>
        <w:tc>
          <w:tcPr>
            <w:tcW w:w="1800" w:type="dxa"/>
            <w:vAlign w:val="bottom"/>
            <w:tcBorders>
              <w:bottom w:val="single" w:sz="8" w:color="auto"/>
            </w:tcBorders>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60" w:type="dxa"/>
            <w:vAlign w:val="bottom"/>
            <w:vMerge w:val="restart"/>
          </w:tcPr>
          <w:p>
            <w:pPr>
              <w:jc w:val="right"/>
              <w:ind w:right="770"/>
              <w:spacing w:after="0" w:line="158"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180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color w:val="auto"/>
              </w:rPr>
              <w:t>Banking, Finance, Insurance &amp;</w:t>
            </w:r>
          </w:p>
        </w:tc>
        <w:tc>
          <w:tcPr>
            <w:tcW w:w="780" w:type="dxa"/>
            <w:vAlign w:val="bottom"/>
            <w:vMerge w:val="continue"/>
          </w:tcPr>
          <w:p>
            <w:pPr>
              <w:spacing w:after="0"/>
              <w:rPr>
                <w:sz w:val="10"/>
                <w:szCs w:val="10"/>
                <w:color w:val="auto"/>
              </w:rPr>
            </w:pPr>
          </w:p>
        </w:tc>
        <w:tc>
          <w:tcPr>
            <w:tcW w:w="156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color w:val="auto"/>
              </w:rPr>
              <w:t>Common Equity</w:t>
            </w:r>
          </w:p>
        </w:tc>
        <w:tc>
          <w:tcPr>
            <w:tcW w:w="780" w:type="dxa"/>
            <w:vAlign w:val="bottom"/>
            <w:vMerge w:val="continue"/>
          </w:tcPr>
          <w:p>
            <w:pPr>
              <w:spacing w:after="0"/>
              <w:rPr>
                <w:sz w:val="10"/>
                <w:szCs w:val="10"/>
                <w:color w:val="auto"/>
              </w:rPr>
            </w:pPr>
          </w:p>
        </w:tc>
        <w:tc>
          <w:tcPr>
            <w:tcW w:w="76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1.4</w:t>
            </w:r>
          </w:p>
        </w:tc>
        <w:tc>
          <w:tcPr>
            <w:tcW w:w="960" w:type="dxa"/>
            <w:vAlign w:val="bottom"/>
            <w:vMerge w:val="continue"/>
          </w:tcPr>
          <w:p>
            <w:pPr>
              <w:spacing w:after="0"/>
              <w:rPr>
                <w:sz w:val="10"/>
                <w:szCs w:val="10"/>
                <w:color w:val="auto"/>
              </w:rPr>
            </w:pPr>
          </w:p>
        </w:tc>
        <w:tc>
          <w:tcPr>
            <w:tcW w:w="8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596</w:t>
            </w:r>
          </w:p>
        </w:tc>
        <w:tc>
          <w:tcPr>
            <w:tcW w:w="0" w:type="dxa"/>
            <w:vAlign w:val="bottom"/>
          </w:tcPr>
          <w:p>
            <w:pPr>
              <w:spacing w:after="0"/>
              <w:rPr>
                <w:sz w:val="1"/>
                <w:szCs w:val="1"/>
                <w:color w:val="auto"/>
              </w:rPr>
            </w:pPr>
          </w:p>
        </w:tc>
      </w:tr>
      <w:tr>
        <w:trPr>
          <w:trHeight w:val="183"/>
        </w:trPr>
        <w:tc>
          <w:tcPr>
            <w:tcW w:w="258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color w:val="auto"/>
              </w:rPr>
              <w:t>Real Estate</w:t>
            </w:r>
          </w:p>
        </w:tc>
        <w:tc>
          <w:tcPr>
            <w:tcW w:w="1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7"/>
        </w:trPr>
        <w:tc>
          <w:tcPr>
            <w:tcW w:w="2580" w:type="dxa"/>
            <w:vAlign w:val="bottom"/>
            <w:gridSpan w:val="2"/>
          </w:tcPr>
          <w:p>
            <w:pPr>
              <w:jc w:val="center"/>
              <w:ind w:right="800"/>
              <w:spacing w:after="0"/>
              <w:rPr>
                <w:sz w:val="20"/>
                <w:szCs w:val="20"/>
                <w:color w:val="auto"/>
              </w:rPr>
            </w:pPr>
            <w:r>
              <w:rPr>
                <w:rFonts w:ascii="Times New Roman" w:cs="Times New Roman" w:eastAsia="Times New Roman" w:hAnsi="Times New Roman"/>
                <w:sz w:val="14"/>
                <w:szCs w:val="14"/>
                <w:color w:val="auto"/>
                <w:w w:val="99"/>
              </w:rPr>
              <w:t>Electronic Equipment,</w:t>
            </w:r>
          </w:p>
        </w:tc>
        <w:tc>
          <w:tcPr>
            <w:tcW w:w="2340" w:type="dxa"/>
            <w:vAlign w:val="bottom"/>
            <w:gridSpan w:val="2"/>
          </w:tcPr>
          <w:p>
            <w:pPr>
              <w:jc w:val="center"/>
              <w:ind w:right="800"/>
              <w:spacing w:after="0"/>
              <w:rPr>
                <w:sz w:val="20"/>
                <w:szCs w:val="20"/>
                <w:color w:val="auto"/>
              </w:rPr>
            </w:pPr>
            <w:r>
              <w:rPr>
                <w:rFonts w:ascii="Times New Roman" w:cs="Times New Roman" w:eastAsia="Times New Roman" w:hAnsi="Times New Roman"/>
                <w:sz w:val="14"/>
                <w:szCs w:val="14"/>
                <w:color w:val="auto"/>
              </w:rPr>
              <w:t>First Lien Secured Debt,</w:t>
            </w:r>
          </w:p>
        </w:tc>
        <w:tc>
          <w:tcPr>
            <w:tcW w:w="1720" w:type="dxa"/>
            <w:vAlign w:val="bottom"/>
            <w:gridSpan w:val="2"/>
          </w:tcPr>
          <w:p>
            <w:pPr>
              <w:jc w:val="right"/>
              <w:ind w:right="770"/>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4,952</w:t>
            </w:r>
          </w:p>
        </w:tc>
        <w:tc>
          <w:tcPr>
            <w:tcW w:w="0" w:type="dxa"/>
            <w:vAlign w:val="bottom"/>
          </w:tcPr>
          <w:p>
            <w:pPr>
              <w:spacing w:after="0"/>
              <w:rPr>
                <w:sz w:val="1"/>
                <w:szCs w:val="1"/>
                <w:color w:val="auto"/>
              </w:rPr>
            </w:pPr>
          </w:p>
        </w:tc>
      </w:tr>
      <w:tr>
        <w:trPr>
          <w:trHeight w:val="145"/>
        </w:trPr>
        <w:tc>
          <w:tcPr>
            <w:tcW w:w="2580" w:type="dxa"/>
            <w:vAlign w:val="bottom"/>
            <w:gridSpan w:val="2"/>
          </w:tcPr>
          <w:p>
            <w:pPr>
              <w:jc w:val="center"/>
              <w:ind w:right="780"/>
              <w:spacing w:after="0" w:line="145" w:lineRule="exact"/>
              <w:rPr>
                <w:sz w:val="20"/>
                <w:szCs w:val="20"/>
                <w:color w:val="auto"/>
              </w:rPr>
            </w:pPr>
            <w:r>
              <w:rPr>
                <w:rFonts w:ascii="Times New Roman" w:cs="Times New Roman" w:eastAsia="Times New Roman" w:hAnsi="Times New Roman"/>
                <w:sz w:val="14"/>
                <w:szCs w:val="14"/>
                <w:color w:val="auto"/>
              </w:rPr>
              <w:t>Instruments, and Components</w:t>
            </w:r>
          </w:p>
        </w:tc>
        <w:tc>
          <w:tcPr>
            <w:tcW w:w="2340" w:type="dxa"/>
            <w:vAlign w:val="bottom"/>
            <w:gridSpan w:val="2"/>
          </w:tcPr>
          <w:p>
            <w:pPr>
              <w:jc w:val="center"/>
              <w:ind w:right="780"/>
              <w:spacing w:after="0" w:line="145" w:lineRule="exact"/>
              <w:rPr>
                <w:sz w:val="20"/>
                <w:szCs w:val="20"/>
                <w:color w:val="auto"/>
              </w:rPr>
            </w:pPr>
            <w:r>
              <w:rPr>
                <w:rFonts w:ascii="Times New Roman" w:cs="Times New Roman" w:eastAsia="Times New Roman" w:hAnsi="Times New Roman"/>
                <w:sz w:val="14"/>
                <w:szCs w:val="14"/>
                <w:color w:val="auto"/>
              </w:rPr>
              <w:t>3M S+575, 01/10/2029</w:t>
            </w:r>
          </w:p>
        </w:tc>
        <w:tc>
          <w:tcPr>
            <w:tcW w:w="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34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-2434590</wp:posOffset>
            </wp:positionH>
            <wp:positionV relativeFrom="paragraph">
              <wp:posOffset>-995045</wp:posOffset>
            </wp:positionV>
            <wp:extent cx="7178040" cy="546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178040" cy="54610"/>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3300" w:space="520"/>
            <w:col w:w="7380"/>
          </w:cols>
          <w:pgMar w:left="320" w:top="284" w:right="379" w:bottom="1440" w:gutter="0" w:footer="0" w:header="0"/>
        </w:sect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Efficient Collaborative Retail Marketing Company, LLC</w:t>
            </w:r>
          </w:p>
        </w:tc>
        <w:tc>
          <w:tcPr>
            <w:tcW w:w="2500" w:type="dxa"/>
            <w:vAlign w:val="bottom"/>
          </w:tcPr>
          <w:p>
            <w:pPr>
              <w:jc w:val="center"/>
              <w:ind w:right="10"/>
              <w:spacing w:after="0"/>
              <w:rPr>
                <w:sz w:val="20"/>
                <w:szCs w:val="20"/>
                <w:color w:val="auto"/>
              </w:rPr>
            </w:pPr>
            <w:r>
              <w:rPr>
                <w:rFonts w:ascii="Times New Roman" w:cs="Times New Roman" w:eastAsia="Times New Roman" w:hAnsi="Times New Roman"/>
                <w:sz w:val="14"/>
                <w:szCs w:val="14"/>
                <w:color w:val="auto"/>
              </w:rPr>
              <w:t>Media: Diversified and</w:t>
            </w:r>
          </w:p>
        </w:tc>
        <w:tc>
          <w:tcPr>
            <w:tcW w:w="262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rPr>
              <w:t>First Lien Secured Debt,</w:t>
            </w:r>
          </w:p>
        </w:tc>
        <w:tc>
          <w:tcPr>
            <w:tcW w:w="1600" w:type="dxa"/>
            <w:vAlign w:val="bottom"/>
          </w:tcPr>
          <w:p>
            <w:pPr>
              <w:jc w:val="right"/>
              <w:ind w:right="67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5,706</w:t>
            </w: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27070 Miles Road</w:t>
            </w:r>
          </w:p>
        </w:tc>
        <w:tc>
          <w:tcPr>
            <w:tcW w:w="2500" w:type="dxa"/>
            <w:vAlign w:val="bottom"/>
          </w:tcPr>
          <w:p>
            <w:pPr>
              <w:jc w:val="center"/>
              <w:ind w:right="10"/>
              <w:spacing w:after="0" w:line="145" w:lineRule="exact"/>
              <w:rPr>
                <w:sz w:val="20"/>
                <w:szCs w:val="20"/>
                <w:color w:val="auto"/>
              </w:rPr>
            </w:pPr>
            <w:r>
              <w:rPr>
                <w:rFonts w:ascii="Times New Roman" w:cs="Times New Roman" w:eastAsia="Times New Roman" w:hAnsi="Times New Roman"/>
                <w:sz w:val="14"/>
                <w:szCs w:val="14"/>
                <w:color w:val="auto"/>
              </w:rPr>
              <w:t>Production</w:t>
            </w:r>
          </w:p>
        </w:tc>
        <w:tc>
          <w:tcPr>
            <w:tcW w:w="2620" w:type="dxa"/>
            <w:vAlign w:val="bottom"/>
          </w:tcPr>
          <w:p>
            <w:pPr>
              <w:jc w:val="center"/>
              <w:ind w:right="210"/>
              <w:spacing w:after="0" w:line="145" w:lineRule="exact"/>
              <w:rPr>
                <w:sz w:val="20"/>
                <w:szCs w:val="20"/>
                <w:color w:val="auto"/>
              </w:rPr>
            </w:pPr>
            <w:r>
              <w:rPr>
                <w:rFonts w:ascii="Times New Roman" w:cs="Times New Roman" w:eastAsia="Times New Roman" w:hAnsi="Times New Roman"/>
                <w:sz w:val="14"/>
                <w:szCs w:val="14"/>
                <w:color w:val="auto"/>
                <w:w w:val="99"/>
              </w:rPr>
              <w:t>3M S+900 (PIK 1.50%),</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Solon, OH 44139</w:t>
            </w:r>
          </w:p>
        </w:tc>
        <w:tc>
          <w:tcPr>
            <w:tcW w:w="2500" w:type="dxa"/>
            <w:vAlign w:val="bottom"/>
          </w:tcPr>
          <w:p>
            <w:pPr>
              <w:spacing w:after="0"/>
              <w:rPr>
                <w:sz w:val="15"/>
                <w:szCs w:val="15"/>
                <w:color w:val="auto"/>
              </w:rPr>
            </w:pPr>
          </w:p>
        </w:tc>
        <w:tc>
          <w:tcPr>
            <w:tcW w:w="2620" w:type="dxa"/>
            <w:vAlign w:val="bottom"/>
          </w:tcPr>
          <w:p>
            <w:pPr>
              <w:jc w:val="center"/>
              <w:ind w:right="190"/>
              <w:spacing w:after="0"/>
              <w:rPr>
                <w:sz w:val="20"/>
                <w:szCs w:val="20"/>
                <w:color w:val="auto"/>
              </w:rPr>
            </w:pPr>
            <w:r>
              <w:rPr>
                <w:rFonts w:ascii="Times New Roman" w:cs="Times New Roman" w:eastAsia="Times New Roman" w:hAnsi="Times New Roman"/>
                <w:sz w:val="14"/>
                <w:szCs w:val="14"/>
                <w:color w:val="auto"/>
              </w:rPr>
              <w:t>06/15/2024</w:t>
            </w: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Eisner Advisory Group, LLC</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Professional Services</w:t>
            </w:r>
          </w:p>
        </w:tc>
        <w:tc>
          <w:tcPr>
            <w:tcW w:w="262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rPr>
              <w:t>First Lien Secured Debt,</w:t>
            </w:r>
          </w:p>
        </w:tc>
        <w:tc>
          <w:tcPr>
            <w:tcW w:w="1600" w:type="dxa"/>
            <w:vAlign w:val="bottom"/>
          </w:tcPr>
          <w:p>
            <w:pPr>
              <w:jc w:val="right"/>
              <w:ind w:right="67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7,018</w:t>
            </w: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733 Third Avenue</w:t>
            </w:r>
          </w:p>
        </w:tc>
        <w:tc>
          <w:tcPr>
            <w:tcW w:w="2500" w:type="dxa"/>
            <w:vAlign w:val="bottom"/>
          </w:tcPr>
          <w:p>
            <w:pPr>
              <w:spacing w:after="0"/>
              <w:rPr>
                <w:sz w:val="12"/>
                <w:szCs w:val="12"/>
                <w:color w:val="auto"/>
              </w:rPr>
            </w:pPr>
          </w:p>
        </w:tc>
        <w:tc>
          <w:tcPr>
            <w:tcW w:w="2620" w:type="dxa"/>
            <w:vAlign w:val="bottom"/>
          </w:tcPr>
          <w:p>
            <w:pPr>
              <w:jc w:val="center"/>
              <w:ind w:right="190"/>
              <w:spacing w:after="0" w:line="145" w:lineRule="exact"/>
              <w:rPr>
                <w:sz w:val="20"/>
                <w:szCs w:val="20"/>
                <w:color w:val="auto"/>
              </w:rPr>
            </w:pPr>
            <w:r>
              <w:rPr>
                <w:rFonts w:ascii="Times New Roman" w:cs="Times New Roman" w:eastAsia="Times New Roman" w:hAnsi="Times New Roman"/>
                <w:sz w:val="14"/>
                <w:szCs w:val="14"/>
                <w:color w:val="auto"/>
              </w:rPr>
              <w:t>3M S+400, 02/23/2031</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New York, NY 10017</w:t>
            </w:r>
          </w:p>
        </w:tc>
        <w:tc>
          <w:tcPr>
            <w:tcW w:w="25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ETE Intermediate II, LLC</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Diversified Consumer Services</w:t>
            </w:r>
          </w:p>
        </w:tc>
        <w:tc>
          <w:tcPr>
            <w:tcW w:w="262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rPr>
              <w:t>First Lien Secured Debt,</w:t>
            </w: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4"/>
                <w:szCs w:val="14"/>
                <w:color w:val="auto"/>
              </w:rPr>
              <w:t>0.2%</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(Gauge ETE Blocker, LLC)</w:t>
            </w:r>
          </w:p>
        </w:tc>
        <w:tc>
          <w:tcPr>
            <w:tcW w:w="2500" w:type="dxa"/>
            <w:vAlign w:val="bottom"/>
          </w:tcPr>
          <w:p>
            <w:pPr>
              <w:spacing w:after="0"/>
              <w:rPr>
                <w:sz w:val="12"/>
                <w:szCs w:val="12"/>
                <w:color w:val="auto"/>
              </w:rPr>
            </w:pPr>
          </w:p>
        </w:tc>
        <w:tc>
          <w:tcPr>
            <w:tcW w:w="2620" w:type="dxa"/>
            <w:vAlign w:val="bottom"/>
          </w:tcPr>
          <w:p>
            <w:pPr>
              <w:jc w:val="center"/>
              <w:ind w:right="190"/>
              <w:spacing w:after="0" w:line="145" w:lineRule="exact"/>
              <w:rPr>
                <w:sz w:val="20"/>
                <w:szCs w:val="20"/>
                <w:color w:val="auto"/>
              </w:rPr>
            </w:pPr>
            <w:r>
              <w:rPr>
                <w:rFonts w:ascii="Times New Roman" w:cs="Times New Roman" w:eastAsia="Times New Roman" w:hAnsi="Times New Roman"/>
                <w:sz w:val="14"/>
                <w:szCs w:val="14"/>
                <w:color w:val="auto"/>
                <w:w w:val="98"/>
              </w:rPr>
              <w:t>—(4), 05/25/2029</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1604 South West Avenue</w:t>
            </w:r>
          </w:p>
        </w:tc>
        <w:tc>
          <w:tcPr>
            <w:tcW w:w="2500" w:type="dxa"/>
            <w:vAlign w:val="bottom"/>
          </w:tcPr>
          <w:p>
            <w:pPr>
              <w:spacing w:after="0"/>
              <w:rPr>
                <w:sz w:val="12"/>
                <w:szCs w:val="12"/>
                <w:color w:val="auto"/>
              </w:rPr>
            </w:pPr>
          </w:p>
        </w:tc>
        <w:tc>
          <w:tcPr>
            <w:tcW w:w="2620" w:type="dxa"/>
            <w:vAlign w:val="bottom"/>
          </w:tcPr>
          <w:p>
            <w:pPr>
              <w:jc w:val="center"/>
              <w:ind w:right="210"/>
              <w:spacing w:after="0" w:line="145" w:lineRule="exact"/>
              <w:rPr>
                <w:sz w:val="20"/>
                <w:szCs w:val="20"/>
                <w:color w:val="auto"/>
              </w:rPr>
            </w:pPr>
            <w:r>
              <w:rPr>
                <w:rFonts w:ascii="Times New Roman" w:cs="Times New Roman" w:eastAsia="Times New Roman" w:hAnsi="Times New Roman"/>
                <w:sz w:val="14"/>
                <w:szCs w:val="14"/>
                <w:color w:val="auto"/>
              </w:rPr>
              <w:t>12.56% Fixed, 05/19/2029</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Waukesha, WI 53186</w:t>
            </w:r>
          </w:p>
        </w:tc>
        <w:tc>
          <w:tcPr>
            <w:tcW w:w="2500" w:type="dxa"/>
            <w:vAlign w:val="bottom"/>
          </w:tcPr>
          <w:p>
            <w:pPr>
              <w:spacing w:after="0"/>
              <w:rPr>
                <w:sz w:val="15"/>
                <w:szCs w:val="15"/>
                <w:color w:val="auto"/>
              </w:rPr>
            </w:pPr>
          </w:p>
        </w:tc>
        <w:tc>
          <w:tcPr>
            <w:tcW w:w="2620" w:type="dxa"/>
            <w:vAlign w:val="bottom"/>
          </w:tcPr>
          <w:p>
            <w:pPr>
              <w:jc w:val="center"/>
              <w:ind w:right="190"/>
              <w:spacing w:after="0"/>
              <w:rPr>
                <w:sz w:val="20"/>
                <w:szCs w:val="20"/>
                <w:color w:val="auto"/>
              </w:rPr>
            </w:pPr>
            <w:r>
              <w:rPr>
                <w:rFonts w:ascii="Times New Roman" w:cs="Times New Roman" w:eastAsia="Times New Roman" w:hAnsi="Times New Roman"/>
                <w:sz w:val="14"/>
                <w:szCs w:val="14"/>
                <w:color w:val="auto"/>
                <w:w w:val="98"/>
              </w:rPr>
              <w:t>Common Equity</w:t>
            </w: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Exigo Intermediate II, LLC</w:t>
            </w:r>
          </w:p>
        </w:tc>
        <w:tc>
          <w:tcPr>
            <w:tcW w:w="2500" w:type="dxa"/>
            <w:vAlign w:val="bottom"/>
          </w:tcPr>
          <w:p>
            <w:pPr>
              <w:jc w:val="center"/>
              <w:ind w:right="10"/>
              <w:spacing w:after="0"/>
              <w:rPr>
                <w:sz w:val="20"/>
                <w:szCs w:val="20"/>
                <w:color w:val="auto"/>
              </w:rPr>
            </w:pPr>
            <w:r>
              <w:rPr>
                <w:rFonts w:ascii="Times New Roman" w:cs="Times New Roman" w:eastAsia="Times New Roman" w:hAnsi="Times New Roman"/>
                <w:sz w:val="14"/>
                <w:szCs w:val="14"/>
                <w:color w:val="auto"/>
                <w:w w:val="98"/>
              </w:rPr>
              <w:t>Software</w:t>
            </w:r>
          </w:p>
        </w:tc>
        <w:tc>
          <w:tcPr>
            <w:tcW w:w="262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4"/>
                <w:szCs w:val="14"/>
                <w:color w:val="auto"/>
              </w:rPr>
              <w:t>0.5%</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(Exigo, LLC)</w:t>
            </w:r>
          </w:p>
        </w:tc>
        <w:tc>
          <w:tcPr>
            <w:tcW w:w="2500" w:type="dxa"/>
            <w:vAlign w:val="bottom"/>
          </w:tcPr>
          <w:p>
            <w:pPr>
              <w:spacing w:after="0"/>
              <w:rPr>
                <w:sz w:val="12"/>
                <w:szCs w:val="12"/>
                <w:color w:val="auto"/>
              </w:rPr>
            </w:pPr>
          </w:p>
        </w:tc>
        <w:tc>
          <w:tcPr>
            <w:tcW w:w="2620" w:type="dxa"/>
            <w:vAlign w:val="bottom"/>
          </w:tcPr>
          <w:p>
            <w:pPr>
              <w:jc w:val="center"/>
              <w:ind w:right="190"/>
              <w:spacing w:after="0" w:line="145" w:lineRule="exact"/>
              <w:rPr>
                <w:sz w:val="20"/>
                <w:szCs w:val="20"/>
                <w:color w:val="auto"/>
              </w:rPr>
            </w:pPr>
            <w:r>
              <w:rPr>
                <w:rFonts w:ascii="Times New Roman" w:cs="Times New Roman" w:eastAsia="Times New Roman" w:hAnsi="Times New Roman"/>
                <w:sz w:val="14"/>
                <w:szCs w:val="14"/>
                <w:color w:val="auto"/>
                <w:w w:val="99"/>
              </w:rPr>
              <w:t>— , 03/15/2027</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1256 Main Street, Suite 256</w:t>
            </w:r>
          </w:p>
        </w:tc>
        <w:tc>
          <w:tcPr>
            <w:tcW w:w="2500" w:type="dxa"/>
            <w:vAlign w:val="bottom"/>
          </w:tcPr>
          <w:p>
            <w:pPr>
              <w:spacing w:after="0"/>
              <w:rPr>
                <w:sz w:val="12"/>
                <w:szCs w:val="12"/>
                <w:color w:val="auto"/>
              </w:rPr>
            </w:pPr>
          </w:p>
        </w:tc>
        <w:tc>
          <w:tcPr>
            <w:tcW w:w="2620" w:type="dxa"/>
            <w:vAlign w:val="bottom"/>
          </w:tcPr>
          <w:p>
            <w:pPr>
              <w:jc w:val="center"/>
              <w:ind w:right="19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Southlake, TX 76092</w:t>
            </w:r>
          </w:p>
        </w:tc>
        <w:tc>
          <w:tcPr>
            <w:tcW w:w="25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Fairbanks Morse Defense</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Aerospace and Defense</w:t>
            </w:r>
          </w:p>
        </w:tc>
        <w:tc>
          <w:tcPr>
            <w:tcW w:w="262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rPr>
              <w:t>First Lien Secured Debt,</w:t>
            </w:r>
          </w:p>
        </w:tc>
        <w:tc>
          <w:tcPr>
            <w:tcW w:w="1600" w:type="dxa"/>
            <w:vAlign w:val="bottom"/>
          </w:tcPr>
          <w:p>
            <w:pPr>
              <w:jc w:val="right"/>
              <w:ind w:right="67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w:t>
            </w: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655 3rd St Suite 301</w:t>
            </w:r>
          </w:p>
        </w:tc>
        <w:tc>
          <w:tcPr>
            <w:tcW w:w="2500" w:type="dxa"/>
            <w:vAlign w:val="bottom"/>
          </w:tcPr>
          <w:p>
            <w:pPr>
              <w:spacing w:after="0"/>
              <w:rPr>
                <w:sz w:val="12"/>
                <w:szCs w:val="12"/>
                <w:color w:val="auto"/>
              </w:rPr>
            </w:pPr>
          </w:p>
        </w:tc>
        <w:tc>
          <w:tcPr>
            <w:tcW w:w="2620" w:type="dxa"/>
            <w:vAlign w:val="bottom"/>
          </w:tcPr>
          <w:p>
            <w:pPr>
              <w:jc w:val="center"/>
              <w:ind w:right="190"/>
              <w:spacing w:after="0" w:line="145" w:lineRule="exact"/>
              <w:rPr>
                <w:sz w:val="20"/>
                <w:szCs w:val="20"/>
                <w:color w:val="auto"/>
              </w:rPr>
            </w:pPr>
            <w:r>
              <w:rPr>
                <w:rFonts w:ascii="Times New Roman" w:cs="Times New Roman" w:eastAsia="Times New Roman" w:hAnsi="Times New Roman"/>
                <w:sz w:val="14"/>
                <w:szCs w:val="14"/>
                <w:color w:val="auto"/>
              </w:rPr>
              <w:t>3M S+501, 06/23/2028</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Beloit, WI 53511</w:t>
            </w:r>
          </w:p>
        </w:tc>
        <w:tc>
          <w:tcPr>
            <w:tcW w:w="25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FedHC InvestCo LP</w:t>
            </w:r>
            <w:r>
              <w:rPr>
                <w:rFonts w:ascii="Times New Roman" w:cs="Times New Roman" w:eastAsia="Times New Roman" w:hAnsi="Times New Roman"/>
                <w:sz w:val="8"/>
                <w:szCs w:val="8"/>
                <w:color w:val="auto"/>
              </w:rPr>
              <w:t>(5)</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Aerospace and Defense</w:t>
            </w:r>
          </w:p>
        </w:tc>
        <w:tc>
          <w:tcPr>
            <w:tcW w:w="262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rPr>
              <w:t>Common Equity(4)</w:t>
            </w: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4"/>
                <w:szCs w:val="14"/>
                <w:color w:val="auto"/>
              </w:rPr>
              <w:t>1.0%</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1,985</w:t>
            </w: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3100 Clarendon Blvd</w:t>
            </w:r>
          </w:p>
        </w:tc>
        <w:tc>
          <w:tcPr>
            <w:tcW w:w="25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Arlington, VA 22201</w:t>
            </w:r>
          </w:p>
        </w:tc>
        <w:tc>
          <w:tcPr>
            <w:tcW w:w="25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Five Star Buyer, Inc.</w:t>
            </w:r>
          </w:p>
        </w:tc>
        <w:tc>
          <w:tcPr>
            <w:tcW w:w="2500" w:type="dxa"/>
            <w:vAlign w:val="bottom"/>
          </w:tcPr>
          <w:p>
            <w:pPr>
              <w:jc w:val="center"/>
              <w:ind w:right="10"/>
              <w:spacing w:after="0"/>
              <w:rPr>
                <w:sz w:val="20"/>
                <w:szCs w:val="20"/>
                <w:color w:val="auto"/>
              </w:rPr>
            </w:pPr>
            <w:r>
              <w:rPr>
                <w:rFonts w:ascii="Times New Roman" w:cs="Times New Roman" w:eastAsia="Times New Roman" w:hAnsi="Times New Roman"/>
                <w:sz w:val="14"/>
                <w:szCs w:val="14"/>
                <w:color w:val="auto"/>
                <w:w w:val="99"/>
              </w:rPr>
              <w:t>Hotels, Restaurants and Leisure</w:t>
            </w:r>
          </w:p>
        </w:tc>
        <w:tc>
          <w:tcPr>
            <w:tcW w:w="262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4"/>
                <w:szCs w:val="14"/>
                <w:color w:val="auto"/>
              </w:rPr>
              <w:t>0.4%</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5,061</w:t>
            </w: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(Five Star Parent Holdings, LLC)</w:t>
            </w:r>
          </w:p>
        </w:tc>
        <w:tc>
          <w:tcPr>
            <w:tcW w:w="2500" w:type="dxa"/>
            <w:vAlign w:val="bottom"/>
          </w:tcPr>
          <w:p>
            <w:pPr>
              <w:spacing w:after="0"/>
              <w:rPr>
                <w:sz w:val="12"/>
                <w:szCs w:val="12"/>
                <w:color w:val="auto"/>
              </w:rPr>
            </w:pPr>
          </w:p>
        </w:tc>
        <w:tc>
          <w:tcPr>
            <w:tcW w:w="2620" w:type="dxa"/>
            <w:vAlign w:val="bottom"/>
          </w:tcPr>
          <w:p>
            <w:pPr>
              <w:jc w:val="center"/>
              <w:ind w:right="190"/>
              <w:spacing w:after="0" w:line="145" w:lineRule="exact"/>
              <w:rPr>
                <w:sz w:val="20"/>
                <w:szCs w:val="20"/>
                <w:color w:val="auto"/>
              </w:rPr>
            </w:pPr>
            <w:r>
              <w:rPr>
                <w:rFonts w:ascii="Times New Roman" w:cs="Times New Roman" w:eastAsia="Times New Roman" w:hAnsi="Times New Roman"/>
                <w:sz w:val="14"/>
                <w:szCs w:val="14"/>
                <w:color w:val="auto"/>
              </w:rPr>
              <w:t>3M S+710, 02/23/2028</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3388 Green Mountain Dr</w:t>
            </w:r>
          </w:p>
        </w:tc>
        <w:tc>
          <w:tcPr>
            <w:tcW w:w="2500" w:type="dxa"/>
            <w:vAlign w:val="bottom"/>
          </w:tcPr>
          <w:p>
            <w:pPr>
              <w:spacing w:after="0"/>
              <w:rPr>
                <w:sz w:val="12"/>
                <w:szCs w:val="12"/>
                <w:color w:val="auto"/>
              </w:rPr>
            </w:pPr>
          </w:p>
        </w:tc>
        <w:tc>
          <w:tcPr>
            <w:tcW w:w="2620" w:type="dxa"/>
            <w:vAlign w:val="bottom"/>
          </w:tcPr>
          <w:p>
            <w:pPr>
              <w:jc w:val="center"/>
              <w:ind w:right="19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Branson, MO 65616</w:t>
            </w:r>
          </w:p>
        </w:tc>
        <w:tc>
          <w:tcPr>
            <w:tcW w:w="25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GCOM InvestCo LP</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IT Services</w:t>
            </w:r>
          </w:p>
        </w:tc>
        <w:tc>
          <w:tcPr>
            <w:tcW w:w="2620" w:type="dxa"/>
            <w:vAlign w:val="bottom"/>
          </w:tcPr>
          <w:p>
            <w:pPr>
              <w:jc w:val="center"/>
              <w:ind w:right="190"/>
              <w:spacing w:after="0"/>
              <w:rPr>
                <w:sz w:val="20"/>
                <w:szCs w:val="20"/>
                <w:color w:val="auto"/>
              </w:rPr>
            </w:pPr>
            <w:r>
              <w:rPr>
                <w:rFonts w:ascii="Times New Roman" w:cs="Times New Roman" w:eastAsia="Times New Roman" w:hAnsi="Times New Roman"/>
                <w:sz w:val="14"/>
                <w:szCs w:val="14"/>
                <w:color w:val="auto"/>
                <w:w w:val="98"/>
              </w:rPr>
              <w:t>Common Equity</w:t>
            </w: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4"/>
                <w:szCs w:val="14"/>
                <w:color w:val="auto"/>
              </w:rPr>
              <w:t>1.0%</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4,557</w:t>
            </w: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9175 Guilford Road, Suite 101</w:t>
            </w:r>
          </w:p>
        </w:tc>
        <w:tc>
          <w:tcPr>
            <w:tcW w:w="25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Columbia, MD 21046</w:t>
            </w:r>
          </w:p>
        </w:tc>
        <w:tc>
          <w:tcPr>
            <w:tcW w:w="25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Global Holdings InterCo LLC</w:t>
            </w:r>
          </w:p>
        </w:tc>
        <w:tc>
          <w:tcPr>
            <w:tcW w:w="2500" w:type="dxa"/>
            <w:vAlign w:val="bottom"/>
          </w:tcPr>
          <w:p>
            <w:pPr>
              <w:jc w:val="center"/>
              <w:ind w:right="10"/>
              <w:spacing w:after="0"/>
              <w:rPr>
                <w:sz w:val="20"/>
                <w:szCs w:val="20"/>
                <w:color w:val="auto"/>
              </w:rPr>
            </w:pPr>
            <w:r>
              <w:rPr>
                <w:rFonts w:ascii="Times New Roman" w:cs="Times New Roman" w:eastAsia="Times New Roman" w:hAnsi="Times New Roman"/>
                <w:sz w:val="14"/>
                <w:szCs w:val="14"/>
                <w:color w:val="auto"/>
              </w:rPr>
              <w:t>Diversified Financial Services</w:t>
            </w:r>
          </w:p>
        </w:tc>
        <w:tc>
          <w:tcPr>
            <w:tcW w:w="262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rPr>
              <w:t>First Lien Secured Debt,</w:t>
            </w:r>
          </w:p>
        </w:tc>
        <w:tc>
          <w:tcPr>
            <w:tcW w:w="1600" w:type="dxa"/>
            <w:vAlign w:val="bottom"/>
          </w:tcPr>
          <w:p>
            <w:pPr>
              <w:jc w:val="right"/>
              <w:ind w:right="67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4,761</w:t>
            </w: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4343 South 118th East Ave Suite 220</w:t>
            </w:r>
          </w:p>
        </w:tc>
        <w:tc>
          <w:tcPr>
            <w:tcW w:w="2500" w:type="dxa"/>
            <w:vAlign w:val="bottom"/>
          </w:tcPr>
          <w:p>
            <w:pPr>
              <w:spacing w:after="0"/>
              <w:rPr>
                <w:sz w:val="12"/>
                <w:szCs w:val="12"/>
                <w:color w:val="auto"/>
              </w:rPr>
            </w:pPr>
          </w:p>
        </w:tc>
        <w:tc>
          <w:tcPr>
            <w:tcW w:w="2620" w:type="dxa"/>
            <w:vAlign w:val="bottom"/>
          </w:tcPr>
          <w:p>
            <w:pPr>
              <w:jc w:val="center"/>
              <w:ind w:right="190"/>
              <w:spacing w:after="0" w:line="145" w:lineRule="exact"/>
              <w:rPr>
                <w:sz w:val="20"/>
                <w:szCs w:val="20"/>
                <w:color w:val="auto"/>
              </w:rPr>
            </w:pPr>
            <w:r>
              <w:rPr>
                <w:rFonts w:ascii="Times New Roman" w:cs="Times New Roman" w:eastAsia="Times New Roman" w:hAnsi="Times New Roman"/>
                <w:sz w:val="14"/>
                <w:szCs w:val="14"/>
                <w:color w:val="auto"/>
              </w:rPr>
              <w:t>3M S+610, 03/16/2026</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Tulsa, OK 74146</w:t>
            </w:r>
          </w:p>
        </w:tc>
        <w:tc>
          <w:tcPr>
            <w:tcW w:w="25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Graffiti Buyer, Inc.</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Trading Companies &amp;</w:t>
            </w:r>
          </w:p>
        </w:tc>
        <w:tc>
          <w:tcPr>
            <w:tcW w:w="262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00" w:type="dxa"/>
            <w:vAlign w:val="bottom"/>
          </w:tcPr>
          <w:p>
            <w:pPr>
              <w:jc w:val="right"/>
              <w:ind w:right="67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1,647</w:t>
            </w: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25195 Brest Road</w:t>
            </w:r>
          </w:p>
        </w:tc>
        <w:tc>
          <w:tcPr>
            <w:tcW w:w="25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Distributors</w:t>
            </w:r>
          </w:p>
        </w:tc>
        <w:tc>
          <w:tcPr>
            <w:tcW w:w="2620" w:type="dxa"/>
            <w:vAlign w:val="bottom"/>
          </w:tcPr>
          <w:p>
            <w:pPr>
              <w:jc w:val="center"/>
              <w:ind w:right="190"/>
              <w:spacing w:after="0" w:line="145" w:lineRule="exact"/>
              <w:rPr>
                <w:sz w:val="20"/>
                <w:szCs w:val="20"/>
                <w:color w:val="auto"/>
              </w:rPr>
            </w:pPr>
            <w:r>
              <w:rPr>
                <w:rFonts w:ascii="Times New Roman" w:cs="Times New Roman" w:eastAsia="Times New Roman" w:hAnsi="Times New Roman"/>
                <w:sz w:val="14"/>
                <w:szCs w:val="14"/>
                <w:color w:val="auto"/>
              </w:rPr>
              <w:t>3M S+560, 08/10/2027</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Taylor, MI 48180</w:t>
            </w:r>
          </w:p>
        </w:tc>
        <w:tc>
          <w:tcPr>
            <w:tcW w:w="25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Hancock Roofing and Construction L.L.C.</w:t>
            </w:r>
          </w:p>
        </w:tc>
        <w:tc>
          <w:tcPr>
            <w:tcW w:w="2500" w:type="dxa"/>
            <w:vAlign w:val="bottom"/>
          </w:tcPr>
          <w:p>
            <w:pPr>
              <w:jc w:val="center"/>
              <w:ind w:right="10"/>
              <w:spacing w:after="0"/>
              <w:rPr>
                <w:sz w:val="20"/>
                <w:szCs w:val="20"/>
                <w:color w:val="auto"/>
              </w:rPr>
            </w:pPr>
            <w:r>
              <w:rPr>
                <w:rFonts w:ascii="Times New Roman" w:cs="Times New Roman" w:eastAsia="Times New Roman" w:hAnsi="Times New Roman"/>
                <w:sz w:val="14"/>
                <w:szCs w:val="14"/>
                <w:color w:val="auto"/>
                <w:w w:val="99"/>
              </w:rPr>
              <w:t>Insurance</w:t>
            </w:r>
          </w:p>
        </w:tc>
        <w:tc>
          <w:tcPr>
            <w:tcW w:w="262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4"/>
                <w:szCs w:val="14"/>
                <w:color w:val="auto"/>
              </w:rPr>
              <w:t>0.4%</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4,338</w:t>
            </w: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(Hancock Claims Consultants Investors, LLC)</w:t>
            </w:r>
            <w:r>
              <w:rPr>
                <w:rFonts w:ascii="Times New Roman" w:cs="Times New Roman" w:eastAsia="Times New Roman" w:hAnsi="Times New Roman"/>
                <w:sz w:val="8"/>
                <w:szCs w:val="8"/>
                <w:color w:val="auto"/>
              </w:rPr>
              <w:t>(5)</w:t>
            </w:r>
          </w:p>
        </w:tc>
        <w:tc>
          <w:tcPr>
            <w:tcW w:w="2500" w:type="dxa"/>
            <w:vAlign w:val="bottom"/>
          </w:tcPr>
          <w:p>
            <w:pPr>
              <w:spacing w:after="0"/>
              <w:rPr>
                <w:sz w:val="12"/>
                <w:szCs w:val="12"/>
                <w:color w:val="auto"/>
              </w:rPr>
            </w:pPr>
          </w:p>
        </w:tc>
        <w:tc>
          <w:tcPr>
            <w:tcW w:w="2620" w:type="dxa"/>
            <w:vAlign w:val="bottom"/>
          </w:tcPr>
          <w:p>
            <w:pPr>
              <w:jc w:val="center"/>
              <w:ind w:right="190"/>
              <w:spacing w:after="0" w:line="145" w:lineRule="exact"/>
              <w:rPr>
                <w:sz w:val="20"/>
                <w:szCs w:val="20"/>
                <w:color w:val="auto"/>
              </w:rPr>
            </w:pPr>
            <w:r>
              <w:rPr>
                <w:rFonts w:ascii="Times New Roman" w:cs="Times New Roman" w:eastAsia="Times New Roman" w:hAnsi="Times New Roman"/>
                <w:sz w:val="14"/>
                <w:szCs w:val="14"/>
                <w:color w:val="auto"/>
              </w:rPr>
              <w:t>3M S+560, 12/31/2026</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6875 Shiloh Rd. East</w:t>
            </w:r>
          </w:p>
        </w:tc>
        <w:tc>
          <w:tcPr>
            <w:tcW w:w="2500" w:type="dxa"/>
            <w:vAlign w:val="bottom"/>
          </w:tcPr>
          <w:p>
            <w:pPr>
              <w:spacing w:after="0"/>
              <w:rPr>
                <w:sz w:val="15"/>
                <w:szCs w:val="15"/>
                <w:color w:val="auto"/>
              </w:rPr>
            </w:pPr>
          </w:p>
        </w:tc>
        <w:tc>
          <w:tcPr>
            <w:tcW w:w="2620" w:type="dxa"/>
            <w:vAlign w:val="bottom"/>
          </w:tcPr>
          <w:p>
            <w:pPr>
              <w:jc w:val="center"/>
              <w:ind w:right="190"/>
              <w:spacing w:after="0"/>
              <w:rPr>
                <w:sz w:val="20"/>
                <w:szCs w:val="20"/>
                <w:color w:val="auto"/>
              </w:rPr>
            </w:pPr>
            <w:r>
              <w:rPr>
                <w:rFonts w:ascii="Times New Roman" w:cs="Times New Roman" w:eastAsia="Times New Roman" w:hAnsi="Times New Roman"/>
                <w:sz w:val="14"/>
                <w:szCs w:val="14"/>
                <w:color w:val="auto"/>
                <w:w w:val="98"/>
              </w:rPr>
              <w:t>Common Equity</w:t>
            </w: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500" w:type="dxa"/>
            <w:vAlign w:val="bottom"/>
            <w:vMerge w:val="continue"/>
          </w:tcPr>
          <w:p>
            <w:pPr>
              <w:spacing w:after="0"/>
              <w:rPr>
                <w:sz w:val="10"/>
                <w:szCs w:val="10"/>
                <w:color w:val="auto"/>
              </w:rPr>
            </w:pPr>
          </w:p>
        </w:tc>
        <w:tc>
          <w:tcPr>
            <w:tcW w:w="250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Alpharetta, GA 30005</w:t>
            </w:r>
          </w:p>
        </w:tc>
        <w:tc>
          <w:tcPr>
            <w:tcW w:w="25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Hills Distribution Inc.</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Distributors</w:t>
            </w:r>
          </w:p>
        </w:tc>
        <w:tc>
          <w:tcPr>
            <w:tcW w:w="262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4"/>
                <w:szCs w:val="14"/>
                <w:color w:val="auto"/>
              </w:rPr>
              <w:t>2.7%</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12,460</w:t>
            </w: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(GMP Hills, L.P.)</w:t>
            </w:r>
          </w:p>
        </w:tc>
        <w:tc>
          <w:tcPr>
            <w:tcW w:w="2500" w:type="dxa"/>
            <w:vAlign w:val="bottom"/>
          </w:tcPr>
          <w:p>
            <w:pPr>
              <w:spacing w:after="0"/>
              <w:rPr>
                <w:sz w:val="12"/>
                <w:szCs w:val="12"/>
                <w:color w:val="auto"/>
              </w:rPr>
            </w:pPr>
          </w:p>
        </w:tc>
        <w:tc>
          <w:tcPr>
            <w:tcW w:w="2620" w:type="dxa"/>
            <w:vAlign w:val="bottom"/>
          </w:tcPr>
          <w:p>
            <w:pPr>
              <w:jc w:val="center"/>
              <w:ind w:right="210"/>
              <w:spacing w:after="0" w:line="145" w:lineRule="exact"/>
              <w:rPr>
                <w:sz w:val="20"/>
                <w:szCs w:val="20"/>
                <w:color w:val="auto"/>
              </w:rPr>
            </w:pPr>
            <w:r>
              <w:rPr>
                <w:rFonts w:ascii="Times New Roman" w:cs="Times New Roman" w:eastAsia="Times New Roman" w:hAnsi="Times New Roman"/>
                <w:sz w:val="14"/>
                <w:szCs w:val="14"/>
                <w:color w:val="auto"/>
                <w:w w:val="99"/>
              </w:rPr>
              <w:t>3M S+600, 11/07/2029</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2 Brainard Road</w:t>
            </w:r>
          </w:p>
        </w:tc>
        <w:tc>
          <w:tcPr>
            <w:tcW w:w="2500" w:type="dxa"/>
            <w:vAlign w:val="bottom"/>
          </w:tcPr>
          <w:p>
            <w:pPr>
              <w:spacing w:after="0"/>
              <w:rPr>
                <w:sz w:val="12"/>
                <w:szCs w:val="12"/>
                <w:color w:val="auto"/>
              </w:rPr>
            </w:pPr>
          </w:p>
        </w:tc>
        <w:tc>
          <w:tcPr>
            <w:tcW w:w="2620" w:type="dxa"/>
            <w:vAlign w:val="bottom"/>
          </w:tcPr>
          <w:p>
            <w:pPr>
              <w:jc w:val="center"/>
              <w:ind w:right="19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Hartford, CT 06114</w:t>
            </w:r>
          </w:p>
        </w:tc>
        <w:tc>
          <w:tcPr>
            <w:tcW w:w="25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00"/>
          </w:cols>
          <w:pgMar w:left="320" w:top="284" w:right="379" w:bottom="144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138"/>
        </w:trPr>
        <w:tc>
          <w:tcPr>
            <w:tcW w:w="39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20" w:type="dxa"/>
            <w:vAlign w:val="bottom"/>
            <w:gridSpan w:val="2"/>
          </w:tcPr>
          <w:p>
            <w:pPr>
              <w:jc w:val="center"/>
              <w:ind w:right="820"/>
              <w:spacing w:after="0"/>
              <w:rPr>
                <w:sz w:val="20"/>
                <w:szCs w:val="20"/>
                <w:color w:val="auto"/>
              </w:rPr>
            </w:pPr>
            <w:r>
              <w:rPr>
                <w:rFonts w:ascii="Times New Roman" w:cs="Times New Roman" w:eastAsia="Times New Roman" w:hAnsi="Times New Roman"/>
                <w:sz w:val="12"/>
                <w:szCs w:val="12"/>
                <w:b w:val="1"/>
                <w:bCs w:val="1"/>
                <w:color w:val="auto"/>
                <w:w w:val="97"/>
              </w:rPr>
              <w:t>Voting</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960" w:type="dxa"/>
            <w:vAlign w:val="bottom"/>
            <w:gridSpan w:val="2"/>
            <w:vMerge w:val="continue"/>
          </w:tcPr>
          <w:p>
            <w:pPr>
              <w:spacing w:after="0"/>
              <w:rPr>
                <w:sz w:val="10"/>
                <w:szCs w:val="10"/>
                <w:color w:val="auto"/>
              </w:rPr>
            </w:pPr>
          </w:p>
        </w:tc>
        <w:tc>
          <w:tcPr>
            <w:tcW w:w="1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60" w:type="dxa"/>
            <w:vAlign w:val="bottom"/>
            <w:gridSpan w:val="2"/>
          </w:tcPr>
          <w:p>
            <w:pPr>
              <w:jc w:val="center"/>
              <w:ind w:right="700"/>
              <w:spacing w:after="0" w:line="126" w:lineRule="exact"/>
              <w:rPr>
                <w:sz w:val="20"/>
                <w:szCs w:val="20"/>
                <w:color w:val="auto"/>
              </w:rPr>
            </w:pPr>
            <w:r>
              <w:rPr>
                <w:rFonts w:ascii="Times New Roman" w:cs="Times New Roman" w:eastAsia="Times New Roman" w:hAnsi="Times New Roman"/>
                <w:sz w:val="12"/>
                <w:szCs w:val="12"/>
                <w:b w:val="1"/>
                <w:bCs w:val="1"/>
                <w:color w:val="auto"/>
              </w:rPr>
              <w:t>Type of Investment,</w:t>
            </w:r>
          </w:p>
        </w:tc>
        <w:tc>
          <w:tcPr>
            <w:tcW w:w="1620" w:type="dxa"/>
            <w:vAlign w:val="bottom"/>
            <w:gridSpan w:val="2"/>
          </w:tcPr>
          <w:p>
            <w:pPr>
              <w:jc w:val="center"/>
              <w:ind w:right="820"/>
              <w:spacing w:after="0" w:line="126"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80" w:type="dxa"/>
            <w:vAlign w:val="bottom"/>
          </w:tcPr>
          <w:p>
            <w:pPr>
              <w:spacing w:after="0"/>
              <w:rPr>
                <w:sz w:val="10"/>
                <w:szCs w:val="10"/>
                <w:color w:val="auto"/>
              </w:rPr>
            </w:pPr>
          </w:p>
        </w:tc>
        <w:tc>
          <w:tcPr>
            <w:tcW w:w="660" w:type="dxa"/>
            <w:vAlign w:val="bottom"/>
          </w:tcPr>
          <w:p>
            <w:pPr>
              <w:jc w:val="right"/>
              <w:ind w:right="31"/>
              <w:spacing w:after="0" w:line="126"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0" w:type="dxa"/>
            <w:vAlign w:val="bottom"/>
          </w:tcPr>
          <w:p>
            <w:pPr>
              <w:spacing w:after="0"/>
              <w:rPr>
                <w:sz w:val="1"/>
                <w:szCs w:val="1"/>
                <w:color w:val="auto"/>
              </w:rPr>
            </w:pPr>
          </w:p>
        </w:tc>
      </w:tr>
      <w:tr>
        <w:trPr>
          <w:trHeight w:val="165"/>
        </w:trPr>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Address of Portfolio Company</w:t>
            </w:r>
          </w:p>
        </w:tc>
        <w:tc>
          <w:tcPr>
            <w:tcW w:w="2340" w:type="dxa"/>
            <w:vAlign w:val="bottom"/>
          </w:tcPr>
          <w:p>
            <w:pPr>
              <w:spacing w:after="0"/>
              <w:rPr>
                <w:sz w:val="14"/>
                <w:szCs w:val="14"/>
                <w:color w:val="auto"/>
              </w:rPr>
            </w:pP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2"/>
                <w:szCs w:val="12"/>
                <w:b w:val="1"/>
                <w:bCs w:val="1"/>
                <w:color w:val="auto"/>
                <w:w w:val="99"/>
              </w:rPr>
              <w:t>Nature of Business</w:t>
            </w:r>
          </w:p>
        </w:tc>
        <w:tc>
          <w:tcPr>
            <w:tcW w:w="2260" w:type="dxa"/>
            <w:vAlign w:val="bottom"/>
            <w:gridSpan w:val="2"/>
          </w:tcPr>
          <w:p>
            <w:pPr>
              <w:jc w:val="center"/>
              <w:ind w:right="700"/>
              <w:spacing w:after="0"/>
              <w:rPr>
                <w:sz w:val="20"/>
                <w:szCs w:val="20"/>
                <w:color w:val="auto"/>
              </w:rPr>
            </w:pPr>
            <w:r>
              <w:rPr>
                <w:rFonts w:ascii="Times New Roman" w:cs="Times New Roman" w:eastAsia="Times New Roman" w:hAnsi="Times New Roman"/>
                <w:sz w:val="12"/>
                <w:szCs w:val="12"/>
                <w:b w:val="1"/>
                <w:bCs w:val="1"/>
                <w:color w:val="auto"/>
              </w:rPr>
              <w:t>Interest (1), Maturity</w:t>
            </w:r>
          </w:p>
        </w:tc>
        <w:tc>
          <w:tcPr>
            <w:tcW w:w="1620" w:type="dxa"/>
            <w:vAlign w:val="bottom"/>
            <w:gridSpan w:val="2"/>
          </w:tcPr>
          <w:p>
            <w:pPr>
              <w:jc w:val="center"/>
              <w:ind w:right="800"/>
              <w:spacing w:after="0"/>
              <w:rPr>
                <w:sz w:val="20"/>
                <w:szCs w:val="20"/>
                <w:color w:val="auto"/>
              </w:rPr>
            </w:pPr>
            <w:r>
              <w:rPr>
                <w:rFonts w:ascii="Times New Roman" w:cs="Times New Roman" w:eastAsia="Times New Roman" w:hAnsi="Times New Roman"/>
                <w:sz w:val="12"/>
                <w:szCs w:val="12"/>
                <w:b w:val="1"/>
                <w:bCs w:val="1"/>
                <w:color w:val="auto"/>
              </w:rPr>
              <w:t>Ownership (2)</w:t>
            </w:r>
          </w:p>
        </w:tc>
        <w:tc>
          <w:tcPr>
            <w:tcW w:w="7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w w:val="98"/>
              </w:rPr>
              <w:t>(in thousands)</w:t>
            </w:r>
          </w:p>
        </w:tc>
        <w:tc>
          <w:tcPr>
            <w:tcW w:w="0" w:type="dxa"/>
            <w:vAlign w:val="bottom"/>
          </w:tcPr>
          <w:p>
            <w:pPr>
              <w:spacing w:after="0"/>
              <w:rPr>
                <w:sz w:val="1"/>
                <w:szCs w:val="1"/>
                <w:color w:val="auto"/>
              </w:rPr>
            </w:pPr>
          </w:p>
        </w:tc>
      </w:tr>
      <w:tr>
        <w:trPr>
          <w:trHeight w:val="109"/>
        </w:trPr>
        <w:tc>
          <w:tcPr>
            <w:tcW w:w="3960" w:type="dxa"/>
            <w:vAlign w:val="bottom"/>
            <w:gridSpan w:val="2"/>
          </w:tcPr>
          <w:p>
            <w:pPr>
              <w:spacing w:after="0" w:line="109" w:lineRule="exact"/>
              <w:rPr>
                <w:sz w:val="20"/>
                <w:szCs w:val="20"/>
                <w:color w:val="auto"/>
              </w:rPr>
            </w:pPr>
            <w:r>
              <w:rPr>
                <w:rFonts w:ascii="Times New Roman" w:cs="Times New Roman" w:eastAsia="Times New Roman" w:hAnsi="Times New Roman"/>
                <w:sz w:val="12"/>
                <w:szCs w:val="12"/>
                <w:color w:val="auto"/>
              </w:rPr>
              <w:t>HV Watterson Holdings, LLC</w:t>
            </w:r>
          </w:p>
        </w:tc>
        <w:tc>
          <w:tcPr>
            <w:tcW w:w="192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Professional Services</w:t>
            </w:r>
          </w:p>
        </w:tc>
        <w:tc>
          <w:tcPr>
            <w:tcW w:w="700" w:type="dxa"/>
            <w:vAlign w:val="bottom"/>
          </w:tcPr>
          <w:p>
            <w:pPr>
              <w:spacing w:after="0"/>
              <w:rPr>
                <w:sz w:val="9"/>
                <w:szCs w:val="9"/>
                <w:color w:val="auto"/>
              </w:rPr>
            </w:pPr>
          </w:p>
        </w:tc>
        <w:tc>
          <w:tcPr>
            <w:tcW w:w="156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Common Equity</w:t>
            </w:r>
          </w:p>
        </w:tc>
        <w:tc>
          <w:tcPr>
            <w:tcW w:w="700" w:type="dxa"/>
            <w:vAlign w:val="bottom"/>
          </w:tcPr>
          <w:p>
            <w:pPr>
              <w:spacing w:after="0"/>
              <w:rPr>
                <w:sz w:val="9"/>
                <w:szCs w:val="9"/>
                <w:color w:val="auto"/>
              </w:rPr>
            </w:pPr>
          </w:p>
        </w:tc>
        <w:tc>
          <w:tcPr>
            <w:tcW w:w="76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0.1</w:t>
            </w:r>
          </w:p>
        </w:tc>
        <w:tc>
          <w:tcPr>
            <w:tcW w:w="860" w:type="dxa"/>
            <w:vAlign w:val="bottom"/>
          </w:tcPr>
          <w:p>
            <w:pPr>
              <w:jc w:val="right"/>
              <w:ind w:right="680"/>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84</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1821 Walden Office Square Unit 111</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Schaumburg, IL 60173</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HW Holdco, LLC</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rPr>
              <w:t>Media</w:t>
            </w:r>
          </w:p>
        </w:tc>
        <w:tc>
          <w:tcPr>
            <w:tcW w:w="22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10,312</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One Thomas Circle, NW Suite 600</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rPr>
              <w:t>1M S+640, 05/10/2026</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Washington, D.C. 20005</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Icon Partners V C, L.P.</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9"/>
              </w:rPr>
              <w:t>Internet Software and Services</w:t>
            </w:r>
          </w:p>
        </w:tc>
        <w:tc>
          <w:tcPr>
            <w:tcW w:w="226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8"/>
              </w:rPr>
              <w:t>Common Equity(4)</w:t>
            </w:r>
          </w:p>
        </w:tc>
        <w:tc>
          <w:tcPr>
            <w:tcW w:w="16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1,733</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315 Capitol St Suite 100</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Houston, TX 77002</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ITC Infusion Co-Invest, LP</w:t>
            </w:r>
            <w:r>
              <w:rPr>
                <w:rFonts w:ascii="Times New Roman" w:cs="Times New Roman" w:eastAsia="Times New Roman" w:hAnsi="Times New Roman"/>
                <w:sz w:val="8"/>
                <w:szCs w:val="8"/>
                <w:color w:val="auto"/>
              </w:rPr>
              <w:t>(5)</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9"/>
              </w:rPr>
              <w:t>Healthcare Equipment and</w:t>
            </w:r>
          </w:p>
        </w:tc>
        <w:tc>
          <w:tcPr>
            <w:tcW w:w="226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8"/>
              </w:rPr>
              <w:t>Common Equity</w:t>
            </w:r>
          </w:p>
        </w:tc>
        <w:tc>
          <w:tcPr>
            <w:tcW w:w="16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1,651</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3609 Park East Drive</w:t>
            </w:r>
          </w:p>
        </w:tc>
        <w:tc>
          <w:tcPr>
            <w:tcW w:w="262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w w:val="99"/>
              </w:rPr>
              <w:t>Supplies</w:t>
            </w:r>
          </w:p>
        </w:tc>
        <w:tc>
          <w:tcPr>
            <w:tcW w:w="1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Beachwood, OH 44122</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IG Investments Holdings, LLC</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9"/>
              </w:rPr>
              <w:t>Professional Services</w:t>
            </w:r>
          </w:p>
        </w:tc>
        <w:tc>
          <w:tcPr>
            <w:tcW w:w="22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4,308</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1224 Hammond Drive, Suite 1500</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rPr>
              <w:t>3M S+610, 09/22/2028</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Atlanta, GA 30346</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Imagine Acquisitionco, LLC</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rPr>
              <w:t>Software</w:t>
            </w:r>
          </w:p>
        </w:tc>
        <w:tc>
          <w:tcPr>
            <w:tcW w:w="22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1,376</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(Imagine Topco, LP)</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w w:val="99"/>
              </w:rPr>
              <w:t>— , 11/15/2027</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8757 Red Oak Blvd,</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w w:val="98"/>
              </w:rPr>
              <w:t>Preferred Equity</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Charlotte, NC 28217</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6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Inception Fertility Ventures, LLC</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9"/>
              </w:rPr>
              <w:t>Healthcare Providers and Services</w:t>
            </w:r>
          </w:p>
        </w:tc>
        <w:tc>
          <w:tcPr>
            <w:tcW w:w="22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First Lien Secured Debt,</w:t>
            </w:r>
          </w:p>
        </w:tc>
        <w:tc>
          <w:tcPr>
            <w:tcW w:w="162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23,538</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4828 Loop Central Drive, Suite 900</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rPr>
              <w:t>3M S+725, 12/31/2024</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Houston, TX 77081</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Infinity Home Services Holdco, Inc.</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rPr>
              <w:t>Commercial Services &amp; Supplies</w:t>
            </w:r>
          </w:p>
        </w:tc>
        <w:tc>
          <w:tcPr>
            <w:tcW w:w="22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5,834</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(IHS Parent Holdings, L.P.)</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rPr>
              <w:t>3M S+685, 12/28/2028</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16600 W Cleveland Ave</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New Berlin, WI 53151</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Infolinks Media Buyco, LLC</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rPr>
              <w:t>Media</w:t>
            </w:r>
          </w:p>
        </w:tc>
        <w:tc>
          <w:tcPr>
            <w:tcW w:w="22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First Lien Secured Debt,</w:t>
            </w:r>
          </w:p>
        </w:tc>
        <w:tc>
          <w:tcPr>
            <w:tcW w:w="16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3,321</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(Tower Arch Infolinks Media, LP)</w:t>
            </w:r>
            <w:r>
              <w:rPr>
                <w:rFonts w:ascii="Times New Roman" w:cs="Times New Roman" w:eastAsia="Times New Roman" w:hAnsi="Times New Roman"/>
                <w:sz w:val="8"/>
                <w:szCs w:val="8"/>
                <w:color w:val="auto"/>
              </w:rPr>
              <w:t>(5)</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6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3M S+585, 11/01/2026</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45 North Broad Street</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w w:val="98"/>
              </w:rPr>
              <w:t>Common Equity(4)</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Ridgewood, NJ 07450</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Integrative Nutrition, LLC</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9"/>
              </w:rPr>
              <w:t>Consumer Services</w:t>
            </w:r>
          </w:p>
        </w:tc>
        <w:tc>
          <w:tcPr>
            <w:tcW w:w="22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First Lien Secured Debt,</w:t>
            </w:r>
          </w:p>
        </w:tc>
        <w:tc>
          <w:tcPr>
            <w:tcW w:w="16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14,500</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(IIN Group Holdings, LLC)</w:t>
            </w:r>
            <w:r>
              <w:rPr>
                <w:rFonts w:ascii="Times New Roman" w:cs="Times New Roman" w:eastAsia="Times New Roman" w:hAnsi="Times New Roman"/>
                <w:sz w:val="8"/>
                <w:szCs w:val="8"/>
                <w:color w:val="auto"/>
              </w:rPr>
              <w:t>(5)</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rPr>
              <w:t>3M S+715 (PIK 2.25%),</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245 5th Avenue</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01/31/2025</w:t>
            </w: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New York, NY 10016</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6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Integrity Marketing Acquisition, LLC</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rPr>
              <w:t>Insurance</w:t>
            </w:r>
          </w:p>
        </w:tc>
        <w:tc>
          <w:tcPr>
            <w:tcW w:w="22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15,942</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1445 Ross Avenue, 22nd Floor</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rPr>
              <w:t>3M S+615, 08/27/2026</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Dallas, TX 75202</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ITC Rumba, LLC</w:t>
            </w:r>
            <w:r>
              <w:rPr>
                <w:rFonts w:ascii="Times New Roman" w:cs="Times New Roman" w:eastAsia="Times New Roman" w:hAnsi="Times New Roman"/>
                <w:sz w:val="8"/>
                <w:szCs w:val="8"/>
                <w:color w:val="auto"/>
              </w:rPr>
              <w:t>(5)</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rPr>
              <w:t>Healthcare and Pharmaceuticals</w:t>
            </w:r>
          </w:p>
        </w:tc>
        <w:tc>
          <w:tcPr>
            <w:tcW w:w="226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8"/>
              </w:rPr>
              <w:t>Common Equity</w:t>
            </w:r>
          </w:p>
        </w:tc>
        <w:tc>
          <w:tcPr>
            <w:tcW w:w="162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9725 NW 117th Ave #200,</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Miami, FL 33178</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Inventus Power, Inc.</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rPr>
              <w:t>Electronic Equipment,</w:t>
            </w:r>
          </w:p>
        </w:tc>
        <w:tc>
          <w:tcPr>
            <w:tcW w:w="22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4,829</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1200 Internationale Parkway</w:t>
            </w:r>
          </w:p>
        </w:tc>
        <w:tc>
          <w:tcPr>
            <w:tcW w:w="262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rPr>
              <w:t>Instruments, and Components</w:t>
            </w: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rPr>
              <w:t>3M S+761, 06/30/2025</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Woodridge, IL 60517</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ITI Holdings, Inc.</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9"/>
              </w:rPr>
              <w:t>IT Services</w:t>
            </w:r>
          </w:p>
        </w:tc>
        <w:tc>
          <w:tcPr>
            <w:tcW w:w="22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2980 E. Coliseum Blvd.</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rPr>
              <w:t>3M S+560, 03/03/2028</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Fort Wayne, IN 46805</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Keel Platform, LLC</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rPr>
              <w:t>Metals and Mining</w:t>
            </w:r>
          </w:p>
        </w:tc>
        <w:tc>
          <w:tcPr>
            <w:tcW w:w="22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10,726</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Building 1 9801, 9801 US-78</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rPr>
              <w:t>3M S+525, 01/19/2031</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Ladson, SC 29456</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7178040" cy="5461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00"/>
          </w:cols>
          <w:pgMar w:left="320" w:top="284" w:right="37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38"/>
        </w:trPr>
        <w:tc>
          <w:tcPr>
            <w:tcW w:w="49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7"/>
              </w:rPr>
              <w:t>Voting</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940" w:type="dxa"/>
            <w:vAlign w:val="bottom"/>
            <w:gridSpan w:val="2"/>
            <w:vMerge w:val="continue"/>
          </w:tcPr>
          <w:p>
            <w:pPr>
              <w:spacing w:after="0"/>
              <w:rPr>
                <w:sz w:val="10"/>
                <w:szCs w:val="10"/>
                <w:color w:val="auto"/>
              </w:rPr>
            </w:pPr>
          </w:p>
        </w:tc>
        <w:tc>
          <w:tcPr>
            <w:tcW w:w="1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94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2"/>
                <w:szCs w:val="12"/>
                <w:b w:val="1"/>
                <w:bCs w:val="1"/>
                <w:color w:val="auto"/>
              </w:rPr>
              <w:t>Type of Investment,</w:t>
            </w:r>
          </w:p>
        </w:tc>
        <w:tc>
          <w:tcPr>
            <w:tcW w:w="1240" w:type="dxa"/>
            <w:vAlign w:val="bottom"/>
            <w:gridSpan w:val="2"/>
          </w:tcPr>
          <w:p>
            <w:pPr>
              <w:jc w:val="center"/>
              <w:ind w:right="320"/>
              <w:spacing w:after="0" w:line="126"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120" w:type="dxa"/>
            <w:vAlign w:val="bottom"/>
          </w:tcPr>
          <w:p>
            <w:pPr>
              <w:spacing w:after="0"/>
              <w:rPr>
                <w:sz w:val="10"/>
                <w:szCs w:val="10"/>
                <w:color w:val="auto"/>
              </w:rPr>
            </w:pPr>
          </w:p>
        </w:tc>
        <w:tc>
          <w:tcPr>
            <w:tcW w:w="760" w:type="dxa"/>
            <w:vAlign w:val="bottom"/>
            <w:gridSpan w:val="2"/>
          </w:tcPr>
          <w:p>
            <w:pPr>
              <w:jc w:val="center"/>
              <w:ind w:right="140"/>
              <w:spacing w:after="0" w:line="126"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0" w:type="dxa"/>
            <w:vAlign w:val="bottom"/>
          </w:tcPr>
          <w:p>
            <w:pPr>
              <w:spacing w:after="0"/>
              <w:rPr>
                <w:sz w:val="1"/>
                <w:szCs w:val="1"/>
                <w:color w:val="auto"/>
              </w:rPr>
            </w:pPr>
          </w:p>
        </w:tc>
      </w:tr>
      <w:tr>
        <w:trPr>
          <w:trHeight w:val="165"/>
        </w:trPr>
        <w:tc>
          <w:tcPr>
            <w:tcW w:w="49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Address of Portfolio Company</w:t>
            </w:r>
          </w:p>
        </w:tc>
        <w:tc>
          <w:tcPr>
            <w:tcW w:w="22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Nature of Business</w:t>
            </w: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Interest (1), Maturity</w:t>
            </w: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Ownership (2)</w:t>
            </w:r>
          </w:p>
        </w:tc>
        <w:tc>
          <w:tcPr>
            <w:tcW w:w="880" w:type="dxa"/>
            <w:vAlign w:val="bottom"/>
            <w:gridSpan w:val="3"/>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0" w:type="dxa"/>
            <w:vAlign w:val="bottom"/>
          </w:tcPr>
          <w:p>
            <w:pPr>
              <w:spacing w:after="0"/>
              <w:rPr>
                <w:sz w:val="1"/>
                <w:szCs w:val="1"/>
                <w:color w:val="auto"/>
              </w:rPr>
            </w:pPr>
          </w:p>
        </w:tc>
      </w:tr>
      <w:tr>
        <w:trPr>
          <w:trHeight w:val="109"/>
        </w:trPr>
        <w:tc>
          <w:tcPr>
            <w:tcW w:w="162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2"/>
                <w:szCs w:val="12"/>
                <w:color w:val="auto"/>
              </w:rPr>
              <w:t>Kinetic Purchaser, LLC</w:t>
            </w:r>
          </w:p>
        </w:tc>
        <w:tc>
          <w:tcPr>
            <w:tcW w:w="3320" w:type="dxa"/>
            <w:vAlign w:val="bottom"/>
          </w:tcPr>
          <w:p>
            <w:pPr>
              <w:spacing w:after="0"/>
              <w:rPr>
                <w:sz w:val="9"/>
                <w:szCs w:val="9"/>
                <w:color w:val="auto"/>
              </w:rPr>
            </w:pPr>
          </w:p>
        </w:tc>
        <w:tc>
          <w:tcPr>
            <w:tcW w:w="198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Personal Products</w:t>
            </w:r>
          </w:p>
        </w:tc>
        <w:tc>
          <w:tcPr>
            <w:tcW w:w="240" w:type="dxa"/>
            <w:vAlign w:val="bottom"/>
          </w:tcPr>
          <w:p>
            <w:pPr>
              <w:spacing w:after="0"/>
              <w:rPr>
                <w:sz w:val="9"/>
                <w:szCs w:val="9"/>
                <w:color w:val="auto"/>
              </w:rPr>
            </w:pPr>
          </w:p>
        </w:tc>
        <w:tc>
          <w:tcPr>
            <w:tcW w:w="172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First Lien Secured Debt(4),</w:t>
            </w:r>
          </w:p>
        </w:tc>
        <w:tc>
          <w:tcPr>
            <w:tcW w:w="220" w:type="dxa"/>
            <w:vAlign w:val="bottom"/>
          </w:tcPr>
          <w:p>
            <w:pPr>
              <w:spacing w:after="0"/>
              <w:rPr>
                <w:sz w:val="9"/>
                <w:szCs w:val="9"/>
                <w:color w:val="auto"/>
              </w:rPr>
            </w:pPr>
          </w:p>
        </w:tc>
        <w:tc>
          <w:tcPr>
            <w:tcW w:w="86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2.3</w:t>
            </w:r>
          </w:p>
        </w:tc>
        <w:tc>
          <w:tcPr>
            <w:tcW w:w="380" w:type="dxa"/>
            <w:vAlign w:val="bottom"/>
          </w:tcPr>
          <w:p>
            <w:pPr>
              <w:jc w:val="right"/>
              <w:ind w:right="200"/>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19,735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12552 S. 125 West</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w w:val="99"/>
              </w:rPr>
              <w:t>3M S+615, 11/10/2027</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Draper, UT 84020</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Common Equity</w:t>
            </w: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Lash OpCo, LLC</w:t>
            </w:r>
          </w:p>
        </w:tc>
        <w:tc>
          <w:tcPr>
            <w:tcW w:w="2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Personal Products</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21,041</w:t>
            </w: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(Gauge Lash Coinvest LLC)</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w w:val="99"/>
              </w:rPr>
              <w:t>1M S+810 (PIK 5.10%),</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1256 Main Street, Suite 256</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02/18/2027</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Southlake, TX 76092</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Common Equity</w:t>
            </w: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LAV Gear Holdings, Inc.</w:t>
            </w:r>
          </w:p>
        </w:tc>
        <w:tc>
          <w:tcPr>
            <w:tcW w:w="2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Capital Equipment</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14,594</w:t>
            </w: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3165 W Sunset Rd,</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1M S+640, 10/31/25</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Las Vegas, NV 89118</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Ledge Lounger, Inc.</w:t>
            </w:r>
          </w:p>
        </w:tc>
        <w:tc>
          <w:tcPr>
            <w:tcW w:w="2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Leisure Products</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4,468</w:t>
            </w: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(SP L2 Holdings, LLC)</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w w:val="99"/>
              </w:rPr>
              <w:t>3M S+665, 11/09/2026</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616 Cane Island Pkwy Suite 200</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Katy, TX 77494</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Lightspeed Buyer Inc.</w:t>
            </w:r>
          </w:p>
        </w:tc>
        <w:tc>
          <w:tcPr>
            <w:tcW w:w="2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Healthcare Technology</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24,268</w:t>
            </w: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(Lightspeed Investment Holdco LLC)</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w w:val="99"/>
              </w:rPr>
              <w:t>1M S+535, 02/03/2026</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1457 East 40th Street</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Cleveland, OH 44103</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LJ Avalon Holdings, LLC</w:t>
            </w:r>
          </w:p>
        </w:tc>
        <w:tc>
          <w:tcPr>
            <w:tcW w:w="2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Construction &amp; Engineering</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3,001</w:t>
            </w: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(LJ Avalon LP)</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w w:val="99"/>
              </w:rPr>
              <w:t>3M S+640, 02/01/2030</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4921 Memorial Hwy, Suite 300</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Tampa, FL 33634</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Loving Tan Intermediate II, Inc.</w:t>
            </w:r>
          </w:p>
        </w:tc>
        <w:tc>
          <w:tcPr>
            <w:tcW w:w="2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Personal Products</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22,121</w:t>
            </w: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(Gauge Loving Tan, LP)</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w w:val="99"/>
              </w:rPr>
              <w:t>3M S+700, 05/31/2028</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857 Post Rd, Suite 348</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Fairfield, CT 06824</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LSF9 Atlantis Holdings, LLC</w:t>
            </w:r>
          </w:p>
        </w:tc>
        <w:tc>
          <w:tcPr>
            <w:tcW w:w="2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Specialty Retail</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First Lien Secured Debt,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5,581</w:t>
            </w: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8510 Colonnade Center Dr.</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w w:val="99"/>
              </w:rPr>
              <w:t>3M S+650, 06/30/2029</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Unit 300</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Raleigh, MN 27615</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Lucky Bucks, LLC</w:t>
            </w:r>
          </w:p>
        </w:tc>
        <w:tc>
          <w:tcPr>
            <w:tcW w:w="2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Hotels, Restaurants and Leisure</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First Lien Secured Debt,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2,885</w:t>
            </w: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5820 Live Oak Parkway #300</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w w:val="99"/>
              </w:rPr>
              <w:t>3M S+765, 10/02/2028</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Norcross, GA 30093</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Common Equity</w:t>
            </w: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MAG DS Corp.</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Aerospace and Defense</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First Lien Secured Debt,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3,485</w:t>
            </w: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2730 Fair Lakes Circle</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w w:val="99"/>
              </w:rPr>
              <w:t>1M S+550, 04/01/2027</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Fairfax VA, 22033</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Magnolia Topco LP</w:t>
            </w:r>
            <w:r>
              <w:rPr>
                <w:rFonts w:ascii="Times New Roman" w:cs="Times New Roman" w:eastAsia="Times New Roman" w:hAnsi="Times New Roman"/>
                <w:sz w:val="8"/>
                <w:szCs w:val="8"/>
                <w:color w:val="auto"/>
              </w:rPr>
              <w:t>(5)</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Automobiles</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Preferred Equity</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5821 Fairview Road</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Charlotte, NC 28209</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Mars Acquisition Holdings Corp.</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Media</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10,213</w:t>
            </w: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(Mars Intermediate Holdings II, Inc.)</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w w:val="99"/>
              </w:rPr>
              <w:t>3M S+565, 05/14/2026</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25200 Telegraph Rd., 5th Floor</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Preferred Equity</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Southfield, MI 48033</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Common Equity</w:t>
            </w: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MBS Holdings, Inc.</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Internet Software and Services</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880 Montclair Road Suite 400</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color w:val="auto"/>
                <w:w w:val="99"/>
              </w:rPr>
              <w:t>— , 04/16/2027</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Birmingham, AL 35213</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MDI Buyer, Inc.</w:t>
            </w:r>
          </w:p>
        </w:tc>
        <w:tc>
          <w:tcPr>
            <w:tcW w:w="2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Commodity Chemicals</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3,702</w:t>
            </w: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(MDI Aggregator, LP)</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w w:val="99"/>
              </w:rPr>
              <w:t>3M S+550, 07/25/2028</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740 W Knox Road</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Tempe, AZ 85284</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178040" cy="5461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00"/>
          </w:cols>
          <w:pgMar w:left="320" w:top="284" w:right="37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38"/>
        </w:trPr>
        <w:tc>
          <w:tcPr>
            <w:tcW w:w="44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00" w:type="dxa"/>
            <w:vAlign w:val="bottom"/>
            <w:gridSpan w:val="2"/>
          </w:tcPr>
          <w:p>
            <w:pPr>
              <w:jc w:val="center"/>
              <w:ind w:right="700"/>
              <w:spacing w:after="0"/>
              <w:rPr>
                <w:sz w:val="20"/>
                <w:szCs w:val="20"/>
                <w:color w:val="auto"/>
              </w:rPr>
            </w:pPr>
            <w:r>
              <w:rPr>
                <w:rFonts w:ascii="Times New Roman" w:cs="Times New Roman" w:eastAsia="Times New Roman" w:hAnsi="Times New Roman"/>
                <w:sz w:val="12"/>
                <w:szCs w:val="12"/>
                <w:b w:val="1"/>
                <w:bCs w:val="1"/>
                <w:color w:val="auto"/>
                <w:w w:val="97"/>
              </w:rPr>
              <w:t>Voting</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480" w:type="dxa"/>
            <w:vAlign w:val="bottom"/>
            <w:gridSpan w:val="2"/>
            <w:vMerge w:val="continue"/>
          </w:tcPr>
          <w:p>
            <w:pPr>
              <w:spacing w:after="0"/>
              <w:rPr>
                <w:sz w:val="10"/>
                <w:szCs w:val="10"/>
                <w:color w:val="auto"/>
              </w:rPr>
            </w:pPr>
          </w:p>
        </w:tc>
        <w:tc>
          <w:tcPr>
            <w:tcW w:w="1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140" w:type="dxa"/>
            <w:vAlign w:val="bottom"/>
            <w:gridSpan w:val="2"/>
          </w:tcPr>
          <w:p>
            <w:pPr>
              <w:jc w:val="center"/>
              <w:ind w:right="580"/>
              <w:spacing w:after="0" w:line="126" w:lineRule="exact"/>
              <w:rPr>
                <w:sz w:val="20"/>
                <w:szCs w:val="20"/>
                <w:color w:val="auto"/>
              </w:rPr>
            </w:pPr>
            <w:r>
              <w:rPr>
                <w:rFonts w:ascii="Times New Roman" w:cs="Times New Roman" w:eastAsia="Times New Roman" w:hAnsi="Times New Roman"/>
                <w:sz w:val="12"/>
                <w:szCs w:val="12"/>
                <w:b w:val="1"/>
                <w:bCs w:val="1"/>
                <w:color w:val="auto"/>
              </w:rPr>
              <w:t>Type of Investment,</w:t>
            </w:r>
          </w:p>
        </w:tc>
        <w:tc>
          <w:tcPr>
            <w:tcW w:w="1500" w:type="dxa"/>
            <w:vAlign w:val="bottom"/>
            <w:gridSpan w:val="2"/>
          </w:tcPr>
          <w:p>
            <w:pPr>
              <w:jc w:val="center"/>
              <w:ind w:right="700"/>
              <w:spacing w:after="0" w:line="126"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80" w:type="dxa"/>
            <w:vAlign w:val="bottom"/>
          </w:tcPr>
          <w:p>
            <w:pPr>
              <w:spacing w:after="0"/>
              <w:rPr>
                <w:sz w:val="10"/>
                <w:szCs w:val="10"/>
                <w:color w:val="auto"/>
              </w:rPr>
            </w:pPr>
          </w:p>
        </w:tc>
        <w:tc>
          <w:tcPr>
            <w:tcW w:w="68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0" w:type="dxa"/>
            <w:vAlign w:val="bottom"/>
          </w:tcPr>
          <w:p>
            <w:pPr>
              <w:spacing w:after="0"/>
              <w:rPr>
                <w:sz w:val="1"/>
                <w:szCs w:val="1"/>
                <w:color w:val="auto"/>
              </w:rPr>
            </w:pPr>
          </w:p>
        </w:tc>
      </w:tr>
      <w:tr>
        <w:trPr>
          <w:trHeight w:val="165"/>
        </w:trPr>
        <w:tc>
          <w:tcPr>
            <w:tcW w:w="44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Address of Portfolio Company</w:t>
            </w:r>
          </w:p>
        </w:tc>
        <w:tc>
          <w:tcPr>
            <w:tcW w:w="2340" w:type="dxa"/>
            <w:vAlign w:val="bottom"/>
            <w:gridSpan w:val="2"/>
          </w:tcPr>
          <w:p>
            <w:pPr>
              <w:jc w:val="center"/>
              <w:ind w:right="560"/>
              <w:spacing w:after="0"/>
              <w:rPr>
                <w:sz w:val="20"/>
                <w:szCs w:val="20"/>
                <w:color w:val="auto"/>
              </w:rPr>
            </w:pPr>
            <w:r>
              <w:rPr>
                <w:rFonts w:ascii="Times New Roman" w:cs="Times New Roman" w:eastAsia="Times New Roman" w:hAnsi="Times New Roman"/>
                <w:sz w:val="12"/>
                <w:szCs w:val="12"/>
                <w:b w:val="1"/>
                <w:bCs w:val="1"/>
                <w:color w:val="auto"/>
              </w:rPr>
              <w:t>Nature of Business</w:t>
            </w:r>
          </w:p>
        </w:tc>
        <w:tc>
          <w:tcPr>
            <w:tcW w:w="2140" w:type="dxa"/>
            <w:vAlign w:val="bottom"/>
            <w:gridSpan w:val="2"/>
          </w:tcPr>
          <w:p>
            <w:pPr>
              <w:jc w:val="center"/>
              <w:ind w:right="580"/>
              <w:spacing w:after="0"/>
              <w:rPr>
                <w:sz w:val="20"/>
                <w:szCs w:val="20"/>
                <w:color w:val="auto"/>
              </w:rPr>
            </w:pPr>
            <w:r>
              <w:rPr>
                <w:rFonts w:ascii="Times New Roman" w:cs="Times New Roman" w:eastAsia="Times New Roman" w:hAnsi="Times New Roman"/>
                <w:sz w:val="12"/>
                <w:szCs w:val="12"/>
                <w:b w:val="1"/>
                <w:bCs w:val="1"/>
                <w:color w:val="auto"/>
              </w:rPr>
              <w:t>Interest (1), Maturity</w:t>
            </w:r>
          </w:p>
        </w:tc>
        <w:tc>
          <w:tcPr>
            <w:tcW w:w="1500" w:type="dxa"/>
            <w:vAlign w:val="bottom"/>
            <w:gridSpan w:val="2"/>
          </w:tcPr>
          <w:p>
            <w:pPr>
              <w:jc w:val="center"/>
              <w:ind w:right="680"/>
              <w:spacing w:after="0"/>
              <w:rPr>
                <w:sz w:val="20"/>
                <w:szCs w:val="20"/>
                <w:color w:val="auto"/>
              </w:rPr>
            </w:pPr>
            <w:r>
              <w:rPr>
                <w:rFonts w:ascii="Times New Roman" w:cs="Times New Roman" w:eastAsia="Times New Roman" w:hAnsi="Times New Roman"/>
                <w:sz w:val="12"/>
                <w:szCs w:val="12"/>
                <w:b w:val="1"/>
                <w:bCs w:val="1"/>
                <w:color w:val="auto"/>
              </w:rPr>
              <w:t>Ownership (2)</w:t>
            </w:r>
          </w:p>
        </w:tc>
        <w:tc>
          <w:tcPr>
            <w:tcW w:w="7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0" w:type="dxa"/>
            <w:vAlign w:val="bottom"/>
          </w:tcPr>
          <w:p>
            <w:pPr>
              <w:spacing w:after="0"/>
              <w:rPr>
                <w:sz w:val="1"/>
                <w:szCs w:val="1"/>
                <w:color w:val="auto"/>
              </w:rPr>
            </w:pPr>
          </w:p>
        </w:tc>
      </w:tr>
      <w:tr>
        <w:trPr>
          <w:trHeight w:val="109"/>
        </w:trPr>
        <w:tc>
          <w:tcPr>
            <w:tcW w:w="162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2"/>
                <w:szCs w:val="12"/>
                <w:color w:val="auto"/>
              </w:rPr>
              <w:t>Meadowlark Acquirer, LLC</w:t>
            </w:r>
          </w:p>
        </w:tc>
        <w:tc>
          <w:tcPr>
            <w:tcW w:w="2860" w:type="dxa"/>
            <w:vAlign w:val="bottom"/>
          </w:tcPr>
          <w:p>
            <w:pPr>
              <w:spacing w:after="0"/>
              <w:rPr>
                <w:sz w:val="9"/>
                <w:szCs w:val="9"/>
                <w:color w:val="auto"/>
              </w:rPr>
            </w:pPr>
          </w:p>
        </w:tc>
        <w:tc>
          <w:tcPr>
            <w:tcW w:w="176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Professional Services</w:t>
            </w:r>
          </w:p>
        </w:tc>
        <w:tc>
          <w:tcPr>
            <w:tcW w:w="580" w:type="dxa"/>
            <w:vAlign w:val="bottom"/>
          </w:tcPr>
          <w:p>
            <w:pPr>
              <w:spacing w:after="0"/>
              <w:rPr>
                <w:sz w:val="9"/>
                <w:szCs w:val="9"/>
                <w:color w:val="auto"/>
              </w:rPr>
            </w:pPr>
          </w:p>
        </w:tc>
        <w:tc>
          <w:tcPr>
            <w:tcW w:w="156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First Lien Secured Debt(4),</w:t>
            </w:r>
          </w:p>
        </w:tc>
        <w:tc>
          <w:tcPr>
            <w:tcW w:w="580" w:type="dxa"/>
            <w:vAlign w:val="bottom"/>
          </w:tcPr>
          <w:p>
            <w:pPr>
              <w:spacing w:after="0"/>
              <w:rPr>
                <w:sz w:val="9"/>
                <w:szCs w:val="9"/>
                <w:color w:val="auto"/>
              </w:rPr>
            </w:pPr>
          </w:p>
        </w:tc>
        <w:tc>
          <w:tcPr>
            <w:tcW w:w="76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1.1</w:t>
            </w:r>
          </w:p>
        </w:tc>
        <w:tc>
          <w:tcPr>
            <w:tcW w:w="740" w:type="dxa"/>
            <w:vAlign w:val="bottom"/>
          </w:tcPr>
          <w:p>
            <w:pPr>
              <w:jc w:val="right"/>
              <w:ind w:right="560"/>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1,895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(Meadowlark Title, LLC)</w:t>
            </w:r>
            <w:r>
              <w:rPr>
                <w:rFonts w:ascii="Times New Roman" w:cs="Times New Roman" w:eastAsia="Times New Roman" w:hAnsi="Times New Roman"/>
                <w:sz w:val="8"/>
                <w:szCs w:val="8"/>
                <w:color w:val="auto"/>
              </w:rPr>
              <w:t>(5)</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rPr>
              <w:t>3M S+565, 12/10/2027</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888 Boylston, Ste. 1600,</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Boston, MA, 02199</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Medina Health, LLC</w:t>
            </w: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w w:val="98"/>
              </w:rPr>
              <w:t>Healthcare Providers and</w:t>
            </w:r>
          </w:p>
        </w:tc>
        <w:tc>
          <w:tcPr>
            <w:tcW w:w="2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21,471</w:t>
            </w: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(New Medina Health, LLC)</w:t>
            </w:r>
            <w:r>
              <w:rPr>
                <w:rFonts w:ascii="Times New Roman" w:cs="Times New Roman" w:eastAsia="Times New Roman" w:hAnsi="Times New Roman"/>
                <w:sz w:val="8"/>
                <w:szCs w:val="8"/>
                <w:color w:val="auto"/>
              </w:rPr>
              <w:t>(5)</w:t>
            </w:r>
          </w:p>
        </w:tc>
        <w:tc>
          <w:tcPr>
            <w:tcW w:w="23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rPr>
              <w:t>Services</w:t>
            </w: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rPr>
              <w:t>3M S+625, 10/20/2028</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One Parkview Plaza,</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Oakbrook Terrace, IL 60181</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Megawatt Acquisitionco, Inc.</w:t>
            </w:r>
          </w:p>
        </w:tc>
        <w:tc>
          <w:tcPr>
            <w:tcW w:w="234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color w:val="auto"/>
                <w:w w:val="99"/>
              </w:rPr>
              <w:t>Electronic Equipment,</w:t>
            </w:r>
          </w:p>
        </w:tc>
        <w:tc>
          <w:tcPr>
            <w:tcW w:w="2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23,449</w:t>
            </w: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(Megawatt Acquisition Partners, LLC)</w:t>
            </w:r>
          </w:p>
        </w:tc>
        <w:tc>
          <w:tcPr>
            <w:tcW w:w="23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rPr>
              <w:t>Instruments, and Components</w:t>
            </w: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rPr>
              <w:t>3M S+625, 03/01/2030</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6060 Phyllis Dr</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Cypress, CA 90630</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Mission Critical Electronics, Inc.</w:t>
            </w: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w w:val="98"/>
              </w:rPr>
              <w:t>Capital Equipment</w:t>
            </w:r>
          </w:p>
        </w:tc>
        <w:tc>
          <w:tcPr>
            <w:tcW w:w="2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3,202</w:t>
            </w: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15272 Newsboy Circle</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rPr>
              <w:t>3M S+625, 03/31/2025</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Huntington, CA 92649</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MOREGroup Holdings, Inc.</w:t>
            </w: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rPr>
              <w:t>Construction &amp; Engineering</w:t>
            </w:r>
          </w:p>
        </w:tc>
        <w:tc>
          <w:tcPr>
            <w:tcW w:w="2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31,614</w:t>
            </w: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801 Cherry Street Suite 500</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rPr>
              <w:t>3M S+590, 01/16/2030</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Fort Worth, TX 76102</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Municipal Emergency Services, Inc.</w:t>
            </w: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rPr>
              <w:t>Distributors</w:t>
            </w:r>
          </w:p>
        </w:tc>
        <w:tc>
          <w:tcPr>
            <w:tcW w:w="2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4,095</w:t>
            </w: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12 Turnberry Ln</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rPr>
              <w:t>3M S+515, 10/01/2027</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Sandy Hook, CT 06482</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1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NBH Group LLC</w:t>
            </w: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w w:val="99"/>
              </w:rPr>
              <w:t>Healthcare Equipment and</w:t>
            </w:r>
          </w:p>
        </w:tc>
        <w:tc>
          <w:tcPr>
            <w:tcW w:w="2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3035 S Maryland Pkwy #110</w:t>
            </w:r>
          </w:p>
        </w:tc>
        <w:tc>
          <w:tcPr>
            <w:tcW w:w="23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w w:val="99"/>
              </w:rPr>
              <w:t>Supplies</w:t>
            </w: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w w:val="99"/>
              </w:rPr>
              <w:t>— , 08/19/2026</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Las Vegas, NV 89109</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Neptune Flood Incorporated</w:t>
            </w: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rPr>
              <w:t>Insurance</w:t>
            </w:r>
          </w:p>
        </w:tc>
        <w:tc>
          <w:tcPr>
            <w:tcW w:w="2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400 6th St S</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w w:val="99"/>
              </w:rPr>
              <w:t>— , 05/09/2029</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 Petersburg, FL 33701</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NORA Acquisition, LLC</w:t>
            </w: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w w:val="98"/>
              </w:rPr>
              <w:t>Healthcare Providers and</w:t>
            </w:r>
          </w:p>
        </w:tc>
        <w:tc>
          <w:tcPr>
            <w:tcW w:w="2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22,741</w:t>
            </w: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(NORA Parent Holdings, LLC)</w:t>
            </w:r>
            <w:r>
              <w:rPr>
                <w:rFonts w:ascii="Times New Roman" w:cs="Times New Roman" w:eastAsia="Times New Roman" w:hAnsi="Times New Roman"/>
                <w:sz w:val="8"/>
                <w:szCs w:val="8"/>
                <w:color w:val="auto"/>
              </w:rPr>
              <w:t>(5)</w:t>
            </w:r>
          </w:p>
        </w:tc>
        <w:tc>
          <w:tcPr>
            <w:tcW w:w="23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rPr>
              <w:t>Services</w:t>
            </w: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rPr>
              <w:t>3M S+635, 08/31/2029</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3805 E Main St.</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 Charlees, IL 60174</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OHCP V BC COI, L.P.</w:t>
            </w: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rPr>
              <w:t>Distributors</w:t>
            </w:r>
          </w:p>
        </w:tc>
        <w:tc>
          <w:tcPr>
            <w:tcW w:w="21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w w:val="98"/>
              </w:rPr>
              <w:t>Common Equity(4)</w:t>
            </w: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525 West Monroe Street</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Chicago, IL 60661</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Omnia Exterior Solutions, LLC</w:t>
            </w: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rPr>
              <w:t>Diversified Consumer Services</w:t>
            </w:r>
          </w:p>
        </w:tc>
        <w:tc>
          <w:tcPr>
            <w:tcW w:w="2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10,790</w:t>
            </w: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6650 Walnut Street</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rPr>
              <w:t>3M S+550, 12/29/2029</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New Albany, OH 43054</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One Stop Mailing, LLC</w:t>
            </w: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w w:val="99"/>
              </w:rPr>
              <w:t>Air Freight and Logistics</w:t>
            </w:r>
          </w:p>
        </w:tc>
        <w:tc>
          <w:tcPr>
            <w:tcW w:w="2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rPr>
              <w:t>First Lien Secured Debt,</w:t>
            </w: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8,471</w:t>
            </w: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601 Regency Drive</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rPr>
              <w:t>3M S+636, 05/07/2027</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Glendale Heights, IL 60139</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ORL Acquisition, Inc.</w:t>
            </w: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w w:val="98"/>
              </w:rPr>
              <w:t>Consumer Finance</w:t>
            </w:r>
          </w:p>
        </w:tc>
        <w:tc>
          <w:tcPr>
            <w:tcW w:w="2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3,523</w:t>
            </w: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(ORL Holdco, Inc.)</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600"/>
              <w:spacing w:after="0" w:line="145" w:lineRule="exact"/>
              <w:rPr>
                <w:sz w:val="20"/>
                <w:szCs w:val="20"/>
                <w:color w:val="auto"/>
              </w:rPr>
            </w:pPr>
            <w:r>
              <w:rPr>
                <w:rFonts w:ascii="Times New Roman" w:cs="Times New Roman" w:eastAsia="Times New Roman" w:hAnsi="Times New Roman"/>
                <w:sz w:val="14"/>
                <w:szCs w:val="14"/>
                <w:color w:val="auto"/>
                <w:w w:val="99"/>
              </w:rPr>
              <w:t>3M S+940 (PIK 2.00%),</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5555 N Beach St #4100,</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09/03/2027</w:t>
            </w: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Fort Worth, TX 76137</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w w:val="98"/>
              </w:rPr>
              <w:t>Preferred Equity</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6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1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OSP Embedded Purchaser, LLC</w:t>
            </w: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w w:val="99"/>
              </w:rPr>
              <w:t>Aerospace and Defense</w:t>
            </w:r>
          </w:p>
        </w:tc>
        <w:tc>
          <w:tcPr>
            <w:tcW w:w="2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14,486</w:t>
            </w: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(OSP Embedded Aggregator, LP)</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rPr>
              <w:t>3M S+585, 12/15/2029</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2680 Grand Island Blvd, Suite 2</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Grand Island, NY 14072</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Output Services Group, Inc.</w:t>
            </w: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w w:val="99"/>
              </w:rPr>
              <w:t>Business Services</w:t>
            </w:r>
          </w:p>
        </w:tc>
        <w:tc>
          <w:tcPr>
            <w:tcW w:w="2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rPr>
              <w:t>First Lien Secured Debt,</w:t>
            </w: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2,253</w:t>
            </w: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775 Washington Ave</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600"/>
              <w:spacing w:after="0" w:line="145" w:lineRule="exact"/>
              <w:rPr>
                <w:sz w:val="20"/>
                <w:szCs w:val="20"/>
                <w:color w:val="auto"/>
              </w:rPr>
            </w:pPr>
            <w:r>
              <w:rPr>
                <w:rFonts w:ascii="Times New Roman" w:cs="Times New Roman" w:eastAsia="Times New Roman" w:hAnsi="Times New Roman"/>
                <w:sz w:val="14"/>
                <w:szCs w:val="14"/>
                <w:color w:val="auto"/>
                <w:w w:val="99"/>
              </w:rPr>
              <w:t>3M S+843, 11/30/2028</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Carlstadt, NJ 07072</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1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178040" cy="5461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00"/>
          </w:cols>
          <w:pgMar w:left="320" w:top="284" w:right="37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38"/>
        </w:trPr>
        <w:tc>
          <w:tcPr>
            <w:tcW w:w="40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740" w:type="dxa"/>
            <w:vAlign w:val="bottom"/>
            <w:gridSpan w:val="2"/>
          </w:tcPr>
          <w:p>
            <w:pPr>
              <w:jc w:val="center"/>
              <w:ind w:right="1000"/>
              <w:spacing w:after="0"/>
              <w:rPr>
                <w:sz w:val="20"/>
                <w:szCs w:val="20"/>
                <w:color w:val="auto"/>
              </w:rPr>
            </w:pPr>
            <w:r>
              <w:rPr>
                <w:rFonts w:ascii="Times New Roman" w:cs="Times New Roman" w:eastAsia="Times New Roman" w:hAnsi="Times New Roman"/>
                <w:sz w:val="12"/>
                <w:szCs w:val="12"/>
                <w:b w:val="1"/>
                <w:bCs w:val="1"/>
                <w:color w:val="auto"/>
                <w:w w:val="97"/>
              </w:rPr>
              <w:t>Voting</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060" w:type="dxa"/>
            <w:vAlign w:val="bottom"/>
            <w:gridSpan w:val="2"/>
            <w:vMerge w:val="continue"/>
          </w:tcPr>
          <w:p>
            <w:pPr>
              <w:spacing w:after="0"/>
              <w:rPr>
                <w:sz w:val="10"/>
                <w:szCs w:val="10"/>
                <w:color w:val="auto"/>
              </w:rPr>
            </w:pPr>
          </w:p>
        </w:tc>
        <w:tc>
          <w:tcPr>
            <w:tcW w:w="1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60" w:type="dxa"/>
            <w:vAlign w:val="bottom"/>
            <w:gridSpan w:val="2"/>
          </w:tcPr>
          <w:p>
            <w:pPr>
              <w:jc w:val="center"/>
              <w:ind w:right="720"/>
              <w:spacing w:after="0" w:line="126" w:lineRule="exact"/>
              <w:rPr>
                <w:sz w:val="20"/>
                <w:szCs w:val="20"/>
                <w:color w:val="auto"/>
              </w:rPr>
            </w:pPr>
            <w:r>
              <w:rPr>
                <w:rFonts w:ascii="Times New Roman" w:cs="Times New Roman" w:eastAsia="Times New Roman" w:hAnsi="Times New Roman"/>
                <w:sz w:val="12"/>
                <w:szCs w:val="12"/>
                <w:b w:val="1"/>
                <w:bCs w:val="1"/>
                <w:color w:val="auto"/>
                <w:w w:val="99"/>
              </w:rPr>
              <w:t>Type of Investment,</w:t>
            </w:r>
          </w:p>
        </w:tc>
        <w:tc>
          <w:tcPr>
            <w:tcW w:w="1740" w:type="dxa"/>
            <w:vAlign w:val="bottom"/>
            <w:gridSpan w:val="2"/>
          </w:tcPr>
          <w:p>
            <w:pPr>
              <w:jc w:val="center"/>
              <w:ind w:right="1000"/>
              <w:spacing w:after="0" w:line="126"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80" w:type="dxa"/>
            <w:vAlign w:val="bottom"/>
          </w:tcPr>
          <w:p>
            <w:pPr>
              <w:spacing w:after="0"/>
              <w:rPr>
                <w:sz w:val="10"/>
                <w:szCs w:val="10"/>
                <w:color w:val="auto"/>
              </w:rPr>
            </w:pPr>
          </w:p>
        </w:tc>
        <w:tc>
          <w:tcPr>
            <w:tcW w:w="68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0" w:type="dxa"/>
            <w:vAlign w:val="bottom"/>
          </w:tcPr>
          <w:p>
            <w:pPr>
              <w:spacing w:after="0"/>
              <w:rPr>
                <w:sz w:val="1"/>
                <w:szCs w:val="1"/>
                <w:color w:val="auto"/>
              </w:rPr>
            </w:pPr>
          </w:p>
        </w:tc>
      </w:tr>
      <w:tr>
        <w:trPr>
          <w:trHeight w:val="165"/>
        </w:trPr>
        <w:tc>
          <w:tcPr>
            <w:tcW w:w="40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Address of Portfolio Company</w:t>
            </w:r>
          </w:p>
        </w:tc>
        <w:tc>
          <w:tcPr>
            <w:tcW w:w="2400" w:type="dxa"/>
            <w:vAlign w:val="bottom"/>
            <w:gridSpan w:val="2"/>
          </w:tcPr>
          <w:p>
            <w:pPr>
              <w:jc w:val="center"/>
              <w:ind w:right="700"/>
              <w:spacing w:after="0"/>
              <w:rPr>
                <w:sz w:val="20"/>
                <w:szCs w:val="20"/>
                <w:color w:val="auto"/>
              </w:rPr>
            </w:pPr>
            <w:r>
              <w:rPr>
                <w:rFonts w:ascii="Times New Roman" w:cs="Times New Roman" w:eastAsia="Times New Roman" w:hAnsi="Times New Roman"/>
                <w:sz w:val="12"/>
                <w:szCs w:val="12"/>
                <w:b w:val="1"/>
                <w:bCs w:val="1"/>
                <w:color w:val="auto"/>
              </w:rPr>
              <w:t>Nature of Business</w:t>
            </w:r>
          </w:p>
        </w:tc>
        <w:tc>
          <w:tcPr>
            <w:tcW w:w="2260" w:type="dxa"/>
            <w:vAlign w:val="bottom"/>
            <w:gridSpan w:val="2"/>
          </w:tcPr>
          <w:p>
            <w:pPr>
              <w:jc w:val="center"/>
              <w:ind w:right="740"/>
              <w:spacing w:after="0"/>
              <w:rPr>
                <w:sz w:val="20"/>
                <w:szCs w:val="20"/>
                <w:color w:val="auto"/>
              </w:rPr>
            </w:pPr>
            <w:r>
              <w:rPr>
                <w:rFonts w:ascii="Times New Roman" w:cs="Times New Roman" w:eastAsia="Times New Roman" w:hAnsi="Times New Roman"/>
                <w:sz w:val="12"/>
                <w:szCs w:val="12"/>
                <w:b w:val="1"/>
                <w:bCs w:val="1"/>
                <w:color w:val="auto"/>
              </w:rPr>
              <w:t>Interest (1), Maturity</w:t>
            </w:r>
          </w:p>
        </w:tc>
        <w:tc>
          <w:tcPr>
            <w:tcW w:w="1740" w:type="dxa"/>
            <w:vAlign w:val="bottom"/>
            <w:gridSpan w:val="2"/>
          </w:tcPr>
          <w:p>
            <w:pPr>
              <w:jc w:val="center"/>
              <w:ind w:right="980"/>
              <w:spacing w:after="0"/>
              <w:rPr>
                <w:sz w:val="20"/>
                <w:szCs w:val="20"/>
                <w:color w:val="auto"/>
              </w:rPr>
            </w:pPr>
            <w:r>
              <w:rPr>
                <w:rFonts w:ascii="Times New Roman" w:cs="Times New Roman" w:eastAsia="Times New Roman" w:hAnsi="Times New Roman"/>
                <w:sz w:val="12"/>
                <w:szCs w:val="12"/>
                <w:b w:val="1"/>
                <w:bCs w:val="1"/>
                <w:color w:val="auto"/>
              </w:rPr>
              <w:t>Ownership (2)</w:t>
            </w:r>
          </w:p>
        </w:tc>
        <w:tc>
          <w:tcPr>
            <w:tcW w:w="7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0" w:type="dxa"/>
            <w:vAlign w:val="bottom"/>
          </w:tcPr>
          <w:p>
            <w:pPr>
              <w:spacing w:after="0"/>
              <w:rPr>
                <w:sz w:val="1"/>
                <w:szCs w:val="1"/>
                <w:color w:val="auto"/>
              </w:rPr>
            </w:pPr>
          </w:p>
        </w:tc>
      </w:tr>
      <w:tr>
        <w:trPr>
          <w:trHeight w:val="109"/>
        </w:trPr>
        <w:tc>
          <w:tcPr>
            <w:tcW w:w="162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2"/>
                <w:szCs w:val="12"/>
                <w:color w:val="auto"/>
              </w:rPr>
              <w:t>Owl Acquisition, LLC</w:t>
            </w:r>
          </w:p>
        </w:tc>
        <w:tc>
          <w:tcPr>
            <w:tcW w:w="2440" w:type="dxa"/>
            <w:vAlign w:val="bottom"/>
          </w:tcPr>
          <w:p>
            <w:pPr>
              <w:spacing w:after="0"/>
              <w:rPr>
                <w:sz w:val="9"/>
                <w:szCs w:val="9"/>
                <w:color w:val="auto"/>
              </w:rPr>
            </w:pPr>
          </w:p>
        </w:tc>
        <w:tc>
          <w:tcPr>
            <w:tcW w:w="168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Professional Services</w:t>
            </w:r>
          </w:p>
        </w:tc>
        <w:tc>
          <w:tcPr>
            <w:tcW w:w="720" w:type="dxa"/>
            <w:vAlign w:val="bottom"/>
          </w:tcPr>
          <w:p>
            <w:pPr>
              <w:spacing w:after="0"/>
              <w:rPr>
                <w:sz w:val="9"/>
                <w:szCs w:val="9"/>
                <w:color w:val="auto"/>
              </w:rPr>
            </w:pPr>
          </w:p>
        </w:tc>
        <w:tc>
          <w:tcPr>
            <w:tcW w:w="154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First Lien Secured Debt,</w:t>
            </w:r>
          </w:p>
        </w:tc>
        <w:tc>
          <w:tcPr>
            <w:tcW w:w="720" w:type="dxa"/>
            <w:vAlign w:val="bottom"/>
          </w:tcPr>
          <w:p>
            <w:pPr>
              <w:spacing w:after="0"/>
              <w:rPr>
                <w:sz w:val="9"/>
                <w:szCs w:val="9"/>
                <w:color w:val="auto"/>
              </w:rPr>
            </w:pPr>
          </w:p>
        </w:tc>
        <w:tc>
          <w:tcPr>
            <w:tcW w:w="760" w:type="dxa"/>
            <w:vAlign w:val="bottom"/>
            <w:tcBorders>
              <w:top w:val="single" w:sz="8" w:color="auto"/>
            </w:tcBorders>
          </w:tcPr>
          <w:p>
            <w:pPr>
              <w:ind w:left="540"/>
              <w:spacing w:after="0" w:line="109" w:lineRule="exact"/>
              <w:rPr>
                <w:sz w:val="20"/>
                <w:szCs w:val="20"/>
                <w:color w:val="auto"/>
              </w:rPr>
            </w:pPr>
            <w:r>
              <w:rPr>
                <w:rFonts w:ascii="Times New Roman" w:cs="Times New Roman" w:eastAsia="Times New Roman" w:hAnsi="Times New Roman"/>
                <w:sz w:val="12"/>
                <w:szCs w:val="12"/>
                <w:color w:val="auto"/>
              </w:rPr>
              <w:t>— </w:t>
            </w:r>
          </w:p>
        </w:tc>
        <w:tc>
          <w:tcPr>
            <w:tcW w:w="980" w:type="dxa"/>
            <w:vAlign w:val="bottom"/>
          </w:tcPr>
          <w:p>
            <w:pPr>
              <w:spacing w:after="0"/>
              <w:rPr>
                <w:sz w:val="9"/>
                <w:szCs w:val="9"/>
                <w:color w:val="auto"/>
              </w:rPr>
            </w:pPr>
          </w:p>
        </w:tc>
        <w:tc>
          <w:tcPr>
            <w:tcW w:w="8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3,834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40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47 Old Webster Road</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w w:val="99"/>
              </w:rPr>
              <w:t>3M S+550, 02/04/2028</w:t>
            </w: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Oxford, MA 01540</w:t>
            </w: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Ox Two, LLC</w:t>
            </w:r>
          </w:p>
        </w:tc>
        <w:tc>
          <w:tcPr>
            <w:tcW w:w="240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Construction and Building</w:t>
            </w:r>
          </w:p>
        </w:tc>
        <w:tc>
          <w:tcPr>
            <w:tcW w:w="22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7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22,736</w:t>
            </w:r>
          </w:p>
        </w:tc>
        <w:tc>
          <w:tcPr>
            <w:tcW w:w="0" w:type="dxa"/>
            <w:vAlign w:val="bottom"/>
          </w:tcPr>
          <w:p>
            <w:pPr>
              <w:spacing w:after="0"/>
              <w:rPr>
                <w:sz w:val="1"/>
                <w:szCs w:val="1"/>
                <w:color w:val="auto"/>
              </w:rPr>
            </w:pPr>
          </w:p>
        </w:tc>
      </w:tr>
      <w:tr>
        <w:trPr>
          <w:trHeight w:val="145"/>
        </w:trPr>
        <w:tc>
          <w:tcPr>
            <w:tcW w:w="40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22260 Haggerty Road #365</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w w:val="99"/>
              </w:rPr>
              <w:t>1M S+651, 05/18/2026</w:t>
            </w: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Northville, MI 48167</w:t>
            </w: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Pacific Purchaser, LLC</w:t>
            </w:r>
          </w:p>
        </w:tc>
        <w:tc>
          <w:tcPr>
            <w:tcW w:w="240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Professional Services</w:t>
            </w:r>
          </w:p>
        </w:tc>
        <w:tc>
          <w:tcPr>
            <w:tcW w:w="22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74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6,016</w:t>
            </w:r>
          </w:p>
        </w:tc>
        <w:tc>
          <w:tcPr>
            <w:tcW w:w="0" w:type="dxa"/>
            <w:vAlign w:val="bottom"/>
          </w:tcPr>
          <w:p>
            <w:pPr>
              <w:spacing w:after="0"/>
              <w:rPr>
                <w:sz w:val="1"/>
                <w:szCs w:val="1"/>
                <w:color w:val="auto"/>
              </w:rPr>
            </w:pPr>
          </w:p>
        </w:tc>
      </w:tr>
      <w:tr>
        <w:trPr>
          <w:trHeight w:val="145"/>
        </w:trPr>
        <w:tc>
          <w:tcPr>
            <w:tcW w:w="40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(Consello Pacific Aggregator, LLC)</w:t>
            </w:r>
            <w:r>
              <w:rPr>
                <w:rFonts w:ascii="Times New Roman" w:cs="Times New Roman" w:eastAsia="Times New Roman" w:hAnsi="Times New Roman"/>
                <w:sz w:val="8"/>
                <w:szCs w:val="8"/>
                <w:color w:val="auto"/>
              </w:rPr>
              <w:t>(5)</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w w:val="99"/>
              </w:rPr>
              <w:t>3M S+625, 09/30/2028</w:t>
            </w: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3250 Wilshire Blvd # 900</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Los Angeles, CA 90010</w:t>
            </w: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PCS Midco, Inc.</w:t>
            </w:r>
          </w:p>
        </w:tc>
        <w:tc>
          <w:tcPr>
            <w:tcW w:w="240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Professional Services</w:t>
            </w:r>
          </w:p>
        </w:tc>
        <w:tc>
          <w:tcPr>
            <w:tcW w:w="22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74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11,706</w:t>
            </w:r>
          </w:p>
        </w:tc>
        <w:tc>
          <w:tcPr>
            <w:tcW w:w="0" w:type="dxa"/>
            <w:vAlign w:val="bottom"/>
          </w:tcPr>
          <w:p>
            <w:pPr>
              <w:spacing w:after="0"/>
              <w:rPr>
                <w:sz w:val="1"/>
                <w:szCs w:val="1"/>
                <w:color w:val="auto"/>
              </w:rPr>
            </w:pPr>
          </w:p>
        </w:tc>
      </w:tr>
      <w:tr>
        <w:trPr>
          <w:trHeight w:val="145"/>
        </w:trPr>
        <w:tc>
          <w:tcPr>
            <w:tcW w:w="40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(PCS Parent, LP)</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w w:val="99"/>
              </w:rPr>
              <w:t>3M S+575, 03/01/2030</w:t>
            </w: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9450 SW Gemini Dr</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Beaverton, OR 97008</w:t>
            </w: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PennantPark-TSO Senior Loan Fund, LP</w:t>
            </w:r>
            <w:r>
              <w:rPr>
                <w:rFonts w:ascii="Times New Roman" w:cs="Times New Roman" w:eastAsia="Times New Roman" w:hAnsi="Times New Roman"/>
                <w:sz w:val="8"/>
                <w:szCs w:val="8"/>
                <w:color w:val="auto"/>
              </w:rPr>
              <w:t>(6)</w:t>
            </w:r>
          </w:p>
        </w:tc>
        <w:tc>
          <w:tcPr>
            <w:tcW w:w="240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rPr>
              <w:t>Financial Services</w:t>
            </w:r>
          </w:p>
        </w:tc>
        <w:tc>
          <w:tcPr>
            <w:tcW w:w="22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rPr>
              <w:t>Common Equity</w:t>
            </w:r>
          </w:p>
        </w:tc>
        <w:tc>
          <w:tcPr>
            <w:tcW w:w="174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color w:val="auto"/>
              </w:rPr>
              <w:t>4.99%</w:t>
            </w:r>
            <w:r>
              <w:rPr>
                <w:rFonts w:ascii="Times New Roman" w:cs="Times New Roman" w:eastAsia="Times New Roman" w:hAnsi="Times New Roman"/>
                <w:sz w:val="8"/>
                <w:szCs w:val="8"/>
                <w:color w:val="auto"/>
              </w:rPr>
              <w:t>(3)</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9,705</w:t>
            </w:r>
          </w:p>
        </w:tc>
        <w:tc>
          <w:tcPr>
            <w:tcW w:w="0" w:type="dxa"/>
            <w:vAlign w:val="bottom"/>
          </w:tcPr>
          <w:p>
            <w:pPr>
              <w:spacing w:after="0"/>
              <w:rPr>
                <w:sz w:val="1"/>
                <w:szCs w:val="1"/>
                <w:color w:val="auto"/>
              </w:rPr>
            </w:pPr>
          </w:p>
        </w:tc>
      </w:tr>
      <w:tr>
        <w:trPr>
          <w:trHeight w:val="145"/>
        </w:trPr>
        <w:tc>
          <w:tcPr>
            <w:tcW w:w="40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1691 Michigan Avenue</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Miami, FL 33139</w:t>
            </w: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 Acquisitionco, LLC</w:t>
            </w:r>
          </w:p>
        </w:tc>
        <w:tc>
          <w:tcPr>
            <w:tcW w:w="240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8"/>
              </w:rPr>
              <w:t>Textiles, Apparel and Luxury</w:t>
            </w:r>
          </w:p>
        </w:tc>
        <w:tc>
          <w:tcPr>
            <w:tcW w:w="22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74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4,879</w:t>
            </w:r>
          </w:p>
        </w:tc>
        <w:tc>
          <w:tcPr>
            <w:tcW w:w="0" w:type="dxa"/>
            <w:vAlign w:val="bottom"/>
          </w:tcPr>
          <w:p>
            <w:pPr>
              <w:spacing w:after="0"/>
              <w:rPr>
                <w:sz w:val="1"/>
                <w:szCs w:val="1"/>
                <w:color w:val="auto"/>
              </w:rPr>
            </w:pPr>
          </w:p>
        </w:tc>
      </w:tr>
      <w:tr>
        <w:trPr>
          <w:trHeight w:val="145"/>
        </w:trPr>
        <w:tc>
          <w:tcPr>
            <w:tcW w:w="40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(Pink Lily Holdco, LLC)</w:t>
            </w:r>
            <w:r>
              <w:rPr>
                <w:rFonts w:ascii="Times New Roman" w:cs="Times New Roman" w:eastAsia="Times New Roman" w:hAnsi="Times New Roman"/>
                <w:sz w:val="8"/>
                <w:szCs w:val="8"/>
                <w:color w:val="auto"/>
              </w:rPr>
              <w:t>(5)</w:t>
            </w:r>
          </w:p>
        </w:tc>
        <w:tc>
          <w:tcPr>
            <w:tcW w:w="240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w w:val="98"/>
              </w:rPr>
              <w:t>Goods</w:t>
            </w: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w w:val="99"/>
              </w:rPr>
              <w:t>3M S+710 (PIK 3.50%),</w:t>
            </w: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323 Mitch McConnell Way</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w w:val="97"/>
              </w:rPr>
              <w:t>11/09/2027</w:t>
            </w: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Bowling Green KY 42101</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rPr>
              <w:t>Preferred Equity</w:t>
            </w: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6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rPr>
              <w:t>Common Equity</w:t>
            </w: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PlayPower, Inc.</w:t>
            </w:r>
          </w:p>
        </w:tc>
        <w:tc>
          <w:tcPr>
            <w:tcW w:w="240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rPr>
              <w:t>Leisure Products</w:t>
            </w:r>
          </w:p>
        </w:tc>
        <w:tc>
          <w:tcPr>
            <w:tcW w:w="22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rPr>
              <w:t>First Lien Secured Debt,</w:t>
            </w:r>
          </w:p>
        </w:tc>
        <w:tc>
          <w:tcPr>
            <w:tcW w:w="17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3,314</w:t>
            </w:r>
          </w:p>
        </w:tc>
        <w:tc>
          <w:tcPr>
            <w:tcW w:w="0" w:type="dxa"/>
            <w:vAlign w:val="bottom"/>
          </w:tcPr>
          <w:p>
            <w:pPr>
              <w:spacing w:after="0"/>
              <w:rPr>
                <w:sz w:val="1"/>
                <w:szCs w:val="1"/>
                <w:color w:val="auto"/>
              </w:rPr>
            </w:pPr>
          </w:p>
        </w:tc>
      </w:tr>
      <w:tr>
        <w:trPr>
          <w:trHeight w:val="145"/>
        </w:trPr>
        <w:tc>
          <w:tcPr>
            <w:tcW w:w="40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13310 James E. Casey Ave.</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w w:val="99"/>
              </w:rPr>
              <w:t>1M S+565, 05/08/2026</w:t>
            </w: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Englewood, CO 80112</w:t>
            </w: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Pragmatic Institute, LLC</w:t>
            </w:r>
          </w:p>
        </w:tc>
        <w:tc>
          <w:tcPr>
            <w:tcW w:w="240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Professional Services</w:t>
            </w:r>
          </w:p>
        </w:tc>
        <w:tc>
          <w:tcPr>
            <w:tcW w:w="22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7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0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8910 East Raintree Drive</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w w:val="99"/>
              </w:rPr>
              <w:t>3M S+575, 07/06/2028</w:t>
            </w: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Scottsdale, AZ 85620</w:t>
            </w: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rPr>
              <w:t>Common Equity</w:t>
            </w: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Quad (U.S.) Co-Invest, L.P.</w:t>
            </w:r>
          </w:p>
        </w:tc>
        <w:tc>
          <w:tcPr>
            <w:tcW w:w="240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Professional Services</w:t>
            </w:r>
          </w:p>
        </w:tc>
        <w:tc>
          <w:tcPr>
            <w:tcW w:w="22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rPr>
              <w:t>Common Equity</w:t>
            </w:r>
          </w:p>
        </w:tc>
        <w:tc>
          <w:tcPr>
            <w:tcW w:w="17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0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330 Old Country Rd</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Suite 300</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Mineola, NY 11501</w:t>
            </w: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Quantic Electronics, LLC</w:t>
            </w:r>
          </w:p>
        </w:tc>
        <w:tc>
          <w:tcPr>
            <w:tcW w:w="240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rPr>
              <w:t>Electronic Equipment,</w:t>
            </w:r>
          </w:p>
        </w:tc>
        <w:tc>
          <w:tcPr>
            <w:tcW w:w="22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7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6,467</w:t>
            </w:r>
          </w:p>
        </w:tc>
        <w:tc>
          <w:tcPr>
            <w:tcW w:w="0" w:type="dxa"/>
            <w:vAlign w:val="bottom"/>
          </w:tcPr>
          <w:p>
            <w:pPr>
              <w:spacing w:after="0"/>
              <w:rPr>
                <w:sz w:val="1"/>
                <w:szCs w:val="1"/>
                <w:color w:val="auto"/>
              </w:rPr>
            </w:pPr>
          </w:p>
        </w:tc>
      </w:tr>
      <w:tr>
        <w:trPr>
          <w:trHeight w:val="145"/>
        </w:trPr>
        <w:tc>
          <w:tcPr>
            <w:tcW w:w="40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Four Embarcadero Center, Suite 3460</w:t>
            </w:r>
          </w:p>
        </w:tc>
        <w:tc>
          <w:tcPr>
            <w:tcW w:w="240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rPr>
              <w:t>Instruments, and Components</w:t>
            </w: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w w:val="99"/>
              </w:rPr>
              <w:t>1M S+635, 11/19/2026</w:t>
            </w: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San Francisco, CA 94111</w:t>
            </w: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QuantiTech LLC</w:t>
            </w:r>
          </w:p>
        </w:tc>
        <w:tc>
          <w:tcPr>
            <w:tcW w:w="240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Aerospace and Defense</w:t>
            </w:r>
          </w:p>
        </w:tc>
        <w:tc>
          <w:tcPr>
            <w:tcW w:w="22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rPr>
              <w:t>Second Lien Secured Debt,</w:t>
            </w:r>
          </w:p>
        </w:tc>
        <w:tc>
          <w:tcPr>
            <w:tcW w:w="174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0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(QuantiTech Investco LP)</w:t>
            </w:r>
            <w:r>
              <w:rPr>
                <w:rFonts w:ascii="Times New Roman" w:cs="Times New Roman" w:eastAsia="Times New Roman" w:hAnsi="Times New Roman"/>
                <w:sz w:val="8"/>
                <w:szCs w:val="8"/>
                <w:color w:val="auto"/>
              </w:rPr>
              <w:t>(5)</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rPr>
              <w:t>3M S+1010, 02/04/2027</w:t>
            </w: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(QuantiTech InvestCo II LP)</w:t>
            </w:r>
            <w:r>
              <w:rPr>
                <w:rFonts w:ascii="Times New Roman" w:cs="Times New Roman" w:eastAsia="Times New Roman" w:hAnsi="Times New Roman"/>
                <w:sz w:val="8"/>
                <w:szCs w:val="8"/>
                <w:color w:val="auto"/>
              </w:rPr>
              <w:t>(5)</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rPr>
              <w:t>Common Equity(4)</w:t>
            </w: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360A-360D Quality Circle, Suite 100/430</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Huntsville, AL 35806</w:t>
            </w: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Questex, LLC</w:t>
            </w:r>
          </w:p>
        </w:tc>
        <w:tc>
          <w:tcPr>
            <w:tcW w:w="240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rPr>
              <w:t>Media: Diversified and</w:t>
            </w:r>
          </w:p>
        </w:tc>
        <w:tc>
          <w:tcPr>
            <w:tcW w:w="22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7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6,731</w:t>
            </w:r>
          </w:p>
        </w:tc>
        <w:tc>
          <w:tcPr>
            <w:tcW w:w="0" w:type="dxa"/>
            <w:vAlign w:val="bottom"/>
          </w:tcPr>
          <w:p>
            <w:pPr>
              <w:spacing w:after="0"/>
              <w:rPr>
                <w:sz w:val="1"/>
                <w:szCs w:val="1"/>
                <w:color w:val="auto"/>
              </w:rPr>
            </w:pPr>
          </w:p>
        </w:tc>
      </w:tr>
      <w:tr>
        <w:trPr>
          <w:trHeight w:val="145"/>
        </w:trPr>
        <w:tc>
          <w:tcPr>
            <w:tcW w:w="40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275 Grove Street, Suite 2-130</w:t>
            </w:r>
          </w:p>
        </w:tc>
        <w:tc>
          <w:tcPr>
            <w:tcW w:w="240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w w:val="97"/>
              </w:rPr>
              <w:t>Production</w:t>
            </w: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w w:val="99"/>
              </w:rPr>
              <w:t>3M S+440, 09/09/2024</w:t>
            </w: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Newton, MA 02466</w:t>
            </w: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Rancho Health MSO, Inc.</w:t>
            </w:r>
          </w:p>
        </w:tc>
        <w:tc>
          <w:tcPr>
            <w:tcW w:w="240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Healthcare Equipment and</w:t>
            </w:r>
          </w:p>
        </w:tc>
        <w:tc>
          <w:tcPr>
            <w:tcW w:w="22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74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1,481</w:t>
            </w:r>
          </w:p>
        </w:tc>
        <w:tc>
          <w:tcPr>
            <w:tcW w:w="0" w:type="dxa"/>
            <w:vAlign w:val="bottom"/>
          </w:tcPr>
          <w:p>
            <w:pPr>
              <w:spacing w:after="0"/>
              <w:rPr>
                <w:sz w:val="1"/>
                <w:szCs w:val="1"/>
                <w:color w:val="auto"/>
              </w:rPr>
            </w:pPr>
          </w:p>
        </w:tc>
      </w:tr>
      <w:tr>
        <w:trPr>
          <w:trHeight w:val="145"/>
        </w:trPr>
        <w:tc>
          <w:tcPr>
            <w:tcW w:w="40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(RFMG Parent, LP)</w:t>
            </w:r>
          </w:p>
        </w:tc>
        <w:tc>
          <w:tcPr>
            <w:tcW w:w="240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w w:val="99"/>
              </w:rPr>
              <w:t>Supplies</w:t>
            </w: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w w:val="99"/>
              </w:rPr>
              <w:t>3M S+440, 12/18/2025</w:t>
            </w: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31720 Temecula Pkwy Suite 100</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Temecula, CA 92592</w:t>
            </w: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Recteq, LLC</w:t>
            </w:r>
          </w:p>
        </w:tc>
        <w:tc>
          <w:tcPr>
            <w:tcW w:w="240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rPr>
              <w:t>Leisure Products</w:t>
            </w:r>
          </w:p>
        </w:tc>
        <w:tc>
          <w:tcPr>
            <w:tcW w:w="22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74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1,758</w:t>
            </w:r>
          </w:p>
        </w:tc>
        <w:tc>
          <w:tcPr>
            <w:tcW w:w="0" w:type="dxa"/>
            <w:vAlign w:val="bottom"/>
          </w:tcPr>
          <w:p>
            <w:pPr>
              <w:spacing w:after="0"/>
              <w:rPr>
                <w:sz w:val="1"/>
                <w:szCs w:val="1"/>
                <w:color w:val="auto"/>
              </w:rPr>
            </w:pPr>
          </w:p>
        </w:tc>
      </w:tr>
      <w:tr>
        <w:trPr>
          <w:trHeight w:val="145"/>
        </w:trPr>
        <w:tc>
          <w:tcPr>
            <w:tcW w:w="40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(NEPRT Parent Holdings, LLC )</w:t>
            </w:r>
            <w:r>
              <w:rPr>
                <w:rFonts w:ascii="Times New Roman" w:cs="Times New Roman" w:eastAsia="Times New Roman" w:hAnsi="Times New Roman"/>
                <w:sz w:val="8"/>
                <w:szCs w:val="8"/>
                <w:color w:val="auto"/>
              </w:rPr>
              <w:t>(5)</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w w:val="99"/>
              </w:rPr>
              <w:t>3M S+715, 01/29/2026</w:t>
            </w: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1061 Triad Ct., Ste. 3</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Marietta, GA 30062</w:t>
            </w: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78040" cy="5461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00"/>
          </w:cols>
          <w:pgMar w:left="320" w:top="284" w:right="37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38"/>
        </w:trPr>
        <w:tc>
          <w:tcPr>
            <w:tcW w:w="41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20" w:type="dxa"/>
            <w:vAlign w:val="bottom"/>
            <w:gridSpan w:val="2"/>
          </w:tcPr>
          <w:p>
            <w:pPr>
              <w:jc w:val="center"/>
              <w:ind w:right="840"/>
              <w:spacing w:after="0"/>
              <w:rPr>
                <w:sz w:val="20"/>
                <w:szCs w:val="20"/>
                <w:color w:val="auto"/>
              </w:rPr>
            </w:pPr>
            <w:r>
              <w:rPr>
                <w:rFonts w:ascii="Times New Roman" w:cs="Times New Roman" w:eastAsia="Times New Roman" w:hAnsi="Times New Roman"/>
                <w:sz w:val="12"/>
                <w:szCs w:val="12"/>
                <w:b w:val="1"/>
                <w:bCs w:val="1"/>
                <w:color w:val="auto"/>
                <w:w w:val="97"/>
              </w:rPr>
              <w:t>Voting</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160" w:type="dxa"/>
            <w:vAlign w:val="bottom"/>
            <w:gridSpan w:val="2"/>
            <w:vMerge w:val="continue"/>
          </w:tcPr>
          <w:p>
            <w:pPr>
              <w:spacing w:after="0"/>
              <w:rPr>
                <w:sz w:val="10"/>
                <w:szCs w:val="10"/>
                <w:color w:val="auto"/>
              </w:rPr>
            </w:pPr>
          </w:p>
        </w:tc>
        <w:tc>
          <w:tcPr>
            <w:tcW w:w="1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20" w:type="dxa"/>
            <w:vAlign w:val="bottom"/>
            <w:gridSpan w:val="2"/>
          </w:tcPr>
          <w:p>
            <w:pPr>
              <w:jc w:val="center"/>
              <w:ind w:right="700"/>
              <w:spacing w:after="0" w:line="126" w:lineRule="exact"/>
              <w:rPr>
                <w:sz w:val="20"/>
                <w:szCs w:val="20"/>
                <w:color w:val="auto"/>
              </w:rPr>
            </w:pPr>
            <w:r>
              <w:rPr>
                <w:rFonts w:ascii="Times New Roman" w:cs="Times New Roman" w:eastAsia="Times New Roman" w:hAnsi="Times New Roman"/>
                <w:sz w:val="12"/>
                <w:szCs w:val="12"/>
                <w:b w:val="1"/>
                <w:bCs w:val="1"/>
                <w:color w:val="auto"/>
              </w:rPr>
              <w:t>Type of Investment,</w:t>
            </w:r>
          </w:p>
        </w:tc>
        <w:tc>
          <w:tcPr>
            <w:tcW w:w="1620" w:type="dxa"/>
            <w:vAlign w:val="bottom"/>
            <w:gridSpan w:val="2"/>
          </w:tcPr>
          <w:p>
            <w:pPr>
              <w:jc w:val="center"/>
              <w:ind w:right="840"/>
              <w:spacing w:after="0" w:line="126"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80" w:type="dxa"/>
            <w:vAlign w:val="bottom"/>
          </w:tcPr>
          <w:p>
            <w:pPr>
              <w:spacing w:after="0"/>
              <w:rPr>
                <w:sz w:val="10"/>
                <w:szCs w:val="10"/>
                <w:color w:val="auto"/>
              </w:rPr>
            </w:pPr>
          </w:p>
        </w:tc>
        <w:tc>
          <w:tcPr>
            <w:tcW w:w="68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0" w:type="dxa"/>
            <w:vAlign w:val="bottom"/>
          </w:tcPr>
          <w:p>
            <w:pPr>
              <w:spacing w:after="0"/>
              <w:rPr>
                <w:sz w:val="1"/>
                <w:szCs w:val="1"/>
                <w:color w:val="auto"/>
              </w:rPr>
            </w:pPr>
          </w:p>
        </w:tc>
      </w:tr>
      <w:tr>
        <w:trPr>
          <w:trHeight w:val="165"/>
        </w:trPr>
        <w:tc>
          <w:tcPr>
            <w:tcW w:w="41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Address of Portfolio Company</w:t>
            </w:r>
          </w:p>
        </w:tc>
        <w:tc>
          <w:tcPr>
            <w:tcW w:w="2460" w:type="dxa"/>
            <w:vAlign w:val="bottom"/>
            <w:gridSpan w:val="2"/>
          </w:tcPr>
          <w:p>
            <w:pPr>
              <w:jc w:val="center"/>
              <w:ind w:right="680"/>
              <w:spacing w:after="0"/>
              <w:rPr>
                <w:sz w:val="20"/>
                <w:szCs w:val="20"/>
                <w:color w:val="auto"/>
              </w:rPr>
            </w:pPr>
            <w:r>
              <w:rPr>
                <w:rFonts w:ascii="Times New Roman" w:cs="Times New Roman" w:eastAsia="Times New Roman" w:hAnsi="Times New Roman"/>
                <w:sz w:val="12"/>
                <w:szCs w:val="12"/>
                <w:b w:val="1"/>
                <w:bCs w:val="1"/>
                <w:color w:val="auto"/>
              </w:rPr>
              <w:t>Nature of Business</w:t>
            </w:r>
          </w:p>
        </w:tc>
        <w:tc>
          <w:tcPr>
            <w:tcW w:w="2220" w:type="dxa"/>
            <w:vAlign w:val="bottom"/>
            <w:gridSpan w:val="2"/>
          </w:tcPr>
          <w:p>
            <w:pPr>
              <w:jc w:val="center"/>
              <w:ind w:right="700"/>
              <w:spacing w:after="0"/>
              <w:rPr>
                <w:sz w:val="20"/>
                <w:szCs w:val="20"/>
                <w:color w:val="auto"/>
              </w:rPr>
            </w:pPr>
            <w:r>
              <w:rPr>
                <w:rFonts w:ascii="Times New Roman" w:cs="Times New Roman" w:eastAsia="Times New Roman" w:hAnsi="Times New Roman"/>
                <w:sz w:val="12"/>
                <w:szCs w:val="12"/>
                <w:b w:val="1"/>
                <w:bCs w:val="1"/>
                <w:color w:val="auto"/>
              </w:rPr>
              <w:t>Interest (1), Maturity</w:t>
            </w:r>
          </w:p>
        </w:tc>
        <w:tc>
          <w:tcPr>
            <w:tcW w:w="1620" w:type="dxa"/>
            <w:vAlign w:val="bottom"/>
            <w:gridSpan w:val="2"/>
          </w:tcPr>
          <w:p>
            <w:pPr>
              <w:jc w:val="center"/>
              <w:ind w:right="840"/>
              <w:spacing w:after="0"/>
              <w:rPr>
                <w:sz w:val="20"/>
                <w:szCs w:val="20"/>
                <w:color w:val="auto"/>
              </w:rPr>
            </w:pPr>
            <w:r>
              <w:rPr>
                <w:rFonts w:ascii="Times New Roman" w:cs="Times New Roman" w:eastAsia="Times New Roman" w:hAnsi="Times New Roman"/>
                <w:sz w:val="12"/>
                <w:szCs w:val="12"/>
                <w:b w:val="1"/>
                <w:bCs w:val="1"/>
                <w:color w:val="auto"/>
              </w:rPr>
              <w:t>Ownership (2)</w:t>
            </w:r>
          </w:p>
        </w:tc>
        <w:tc>
          <w:tcPr>
            <w:tcW w:w="7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0" w:type="dxa"/>
            <w:vAlign w:val="bottom"/>
          </w:tcPr>
          <w:p>
            <w:pPr>
              <w:spacing w:after="0"/>
              <w:rPr>
                <w:sz w:val="1"/>
                <w:szCs w:val="1"/>
                <w:color w:val="auto"/>
              </w:rPr>
            </w:pPr>
          </w:p>
        </w:tc>
      </w:tr>
      <w:tr>
        <w:trPr>
          <w:trHeight w:val="109"/>
        </w:trPr>
        <w:tc>
          <w:tcPr>
            <w:tcW w:w="162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2"/>
                <w:szCs w:val="12"/>
                <w:color w:val="auto"/>
              </w:rPr>
              <w:t>Research Now Group, LLC</w:t>
            </w:r>
          </w:p>
        </w:tc>
        <w:tc>
          <w:tcPr>
            <w:tcW w:w="2540" w:type="dxa"/>
            <w:vAlign w:val="bottom"/>
          </w:tcPr>
          <w:p>
            <w:pPr>
              <w:spacing w:after="0" w:line="109" w:lineRule="exact"/>
              <w:rPr>
                <w:sz w:val="20"/>
                <w:szCs w:val="20"/>
                <w:color w:val="auto"/>
              </w:rPr>
            </w:pPr>
            <w:r>
              <w:rPr>
                <w:rFonts w:ascii="Times New Roman" w:cs="Times New Roman" w:eastAsia="Times New Roman" w:hAnsi="Times New Roman"/>
                <w:sz w:val="12"/>
                <w:szCs w:val="12"/>
                <w:color w:val="auto"/>
              </w:rPr>
              <w:t>and Dynata, LLC</w:t>
            </w:r>
          </w:p>
        </w:tc>
        <w:tc>
          <w:tcPr>
            <w:tcW w:w="178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Business Services</w:t>
            </w:r>
          </w:p>
        </w:tc>
        <w:tc>
          <w:tcPr>
            <w:tcW w:w="680" w:type="dxa"/>
            <w:vAlign w:val="bottom"/>
          </w:tcPr>
          <w:p>
            <w:pPr>
              <w:spacing w:after="0"/>
              <w:rPr>
                <w:sz w:val="9"/>
                <w:szCs w:val="9"/>
                <w:color w:val="auto"/>
              </w:rPr>
            </w:pPr>
          </w:p>
        </w:tc>
        <w:tc>
          <w:tcPr>
            <w:tcW w:w="154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First Lien Secured Debt,</w:t>
            </w:r>
          </w:p>
        </w:tc>
        <w:tc>
          <w:tcPr>
            <w:tcW w:w="680" w:type="dxa"/>
            <w:vAlign w:val="bottom"/>
          </w:tcPr>
          <w:p>
            <w:pPr>
              <w:spacing w:after="0"/>
              <w:rPr>
                <w:sz w:val="9"/>
                <w:szCs w:val="9"/>
                <w:color w:val="auto"/>
              </w:rPr>
            </w:pPr>
          </w:p>
        </w:tc>
        <w:tc>
          <w:tcPr>
            <w:tcW w:w="780" w:type="dxa"/>
            <w:vAlign w:val="bottom"/>
            <w:tcBorders>
              <w:top w:val="single" w:sz="8" w:color="auto"/>
            </w:tcBorders>
          </w:tcPr>
          <w:p>
            <w:pPr>
              <w:ind w:left="560"/>
              <w:spacing w:after="0" w:line="109" w:lineRule="exact"/>
              <w:rPr>
                <w:sz w:val="20"/>
                <w:szCs w:val="20"/>
                <w:color w:val="auto"/>
              </w:rPr>
            </w:pPr>
            <w:r>
              <w:rPr>
                <w:rFonts w:ascii="Times New Roman" w:cs="Times New Roman" w:eastAsia="Times New Roman" w:hAnsi="Times New Roman"/>
                <w:sz w:val="12"/>
                <w:szCs w:val="12"/>
                <w:color w:val="auto"/>
              </w:rPr>
              <w:t>— </w:t>
            </w:r>
          </w:p>
        </w:tc>
        <w:tc>
          <w:tcPr>
            <w:tcW w:w="840" w:type="dxa"/>
            <w:vAlign w:val="bottom"/>
          </w:tcPr>
          <w:p>
            <w:pPr>
              <w:spacing w:after="0"/>
              <w:rPr>
                <w:sz w:val="9"/>
                <w:szCs w:val="9"/>
                <w:color w:val="auto"/>
              </w:rPr>
            </w:pPr>
          </w:p>
        </w:tc>
        <w:tc>
          <w:tcPr>
            <w:tcW w:w="8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14,341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5800 Tennyson Parkway, Suite 600</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3M S+576, 12/20/2024</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Plano, TX 75024</w:t>
            </w: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Riverpoint Medical, LLC</w:t>
            </w:r>
          </w:p>
        </w:tc>
        <w:tc>
          <w:tcPr>
            <w:tcW w:w="24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Healthcare Equipment and</w:t>
            </w: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10,122</w:t>
            </w: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825 NE 25th Avenue</w:t>
            </w:r>
          </w:p>
        </w:tc>
        <w:tc>
          <w:tcPr>
            <w:tcW w:w="2460" w:type="dxa"/>
            <w:vAlign w:val="bottom"/>
            <w:gridSpan w:val="2"/>
          </w:tcPr>
          <w:p>
            <w:pPr>
              <w:jc w:val="center"/>
              <w:ind w:right="660"/>
              <w:spacing w:after="0" w:line="145" w:lineRule="exact"/>
              <w:rPr>
                <w:sz w:val="20"/>
                <w:szCs w:val="20"/>
                <w:color w:val="auto"/>
              </w:rPr>
            </w:pPr>
            <w:r>
              <w:rPr>
                <w:rFonts w:ascii="Times New Roman" w:cs="Times New Roman" w:eastAsia="Times New Roman" w:hAnsi="Times New Roman"/>
                <w:sz w:val="14"/>
                <w:szCs w:val="14"/>
                <w:color w:val="auto"/>
                <w:w w:val="99"/>
              </w:rPr>
              <w:t>Supplies</w:t>
            </w: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3M S+515, 06/20/2025</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Portland, OR 97232</w:t>
            </w: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Rural Sourcing Holdings, Inc.</w:t>
            </w:r>
          </w:p>
        </w:tc>
        <w:tc>
          <w:tcPr>
            <w:tcW w:w="246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color w:val="auto"/>
                <w:w w:val="99"/>
              </w:rPr>
              <w:t>Professional Services</w:t>
            </w: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1,015</w:t>
            </w: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(HPA SPQ Aggregator LP)</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3M S+625, 06/15/2029</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817 West Peachtree St. Suite M100</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Atlanta, GA 30308</w:t>
            </w: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S101 Holdings, Inc.</w:t>
            </w:r>
          </w:p>
        </w:tc>
        <w:tc>
          <w:tcPr>
            <w:tcW w:w="24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Electronic Equipment,</w:t>
            </w: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12,377</w:t>
            </w: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1450 Centrepark Blvd.</w:t>
            </w:r>
          </w:p>
        </w:tc>
        <w:tc>
          <w:tcPr>
            <w:tcW w:w="2460" w:type="dxa"/>
            <w:vAlign w:val="bottom"/>
            <w:gridSpan w:val="2"/>
          </w:tcPr>
          <w:p>
            <w:pPr>
              <w:jc w:val="center"/>
              <w:ind w:right="660"/>
              <w:spacing w:after="0" w:line="145" w:lineRule="exact"/>
              <w:rPr>
                <w:sz w:val="20"/>
                <w:szCs w:val="20"/>
                <w:color w:val="auto"/>
              </w:rPr>
            </w:pPr>
            <w:r>
              <w:rPr>
                <w:rFonts w:ascii="Times New Roman" w:cs="Times New Roman" w:eastAsia="Times New Roman" w:hAnsi="Times New Roman"/>
                <w:sz w:val="14"/>
                <w:szCs w:val="14"/>
                <w:color w:val="auto"/>
              </w:rPr>
              <w:t>Instruments, and Components</w:t>
            </w: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3M S+615, 12/29/2026</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Suite 210</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West Palm Beach, FL 33401</w:t>
            </w: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Sales Benchmark Index LLC</w:t>
            </w:r>
          </w:p>
        </w:tc>
        <w:tc>
          <w:tcPr>
            <w:tcW w:w="246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color w:val="auto"/>
                <w:w w:val="99"/>
              </w:rPr>
              <w:t>Professional Services</w:t>
            </w: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3,117</w:t>
            </w: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(SBI Holdings Investments LLC)</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3M S+620, 01/03/2025</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2021 McKinney Avenue Suite 550</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Dallas, TX 75201</w:t>
            </w: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Sargent &amp; Greenleaf Inc.</w:t>
            </w:r>
          </w:p>
        </w:tc>
        <w:tc>
          <w:tcPr>
            <w:tcW w:w="24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Electronic Equipment,</w:t>
            </w: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4,112</w:t>
            </w: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One Security Drive</w:t>
            </w:r>
          </w:p>
        </w:tc>
        <w:tc>
          <w:tcPr>
            <w:tcW w:w="2460" w:type="dxa"/>
            <w:vAlign w:val="bottom"/>
            <w:gridSpan w:val="2"/>
          </w:tcPr>
          <w:p>
            <w:pPr>
              <w:jc w:val="center"/>
              <w:ind w:right="660"/>
              <w:spacing w:after="0" w:line="145" w:lineRule="exact"/>
              <w:rPr>
                <w:sz w:val="20"/>
                <w:szCs w:val="20"/>
                <w:color w:val="auto"/>
              </w:rPr>
            </w:pPr>
            <w:r>
              <w:rPr>
                <w:rFonts w:ascii="Times New Roman" w:cs="Times New Roman" w:eastAsia="Times New Roman" w:hAnsi="Times New Roman"/>
                <w:sz w:val="14"/>
                <w:szCs w:val="14"/>
                <w:color w:val="auto"/>
              </w:rPr>
              <w:t>Instruments, and Components</w:t>
            </w: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1M S+760 (PIK 1.00%),</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Nicholasville, KY 40356</w:t>
            </w: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12/20/2024</w:t>
            </w: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Schlesinger Global, Inc.</w:t>
            </w:r>
          </w:p>
        </w:tc>
        <w:tc>
          <w:tcPr>
            <w:tcW w:w="246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color w:val="auto"/>
                <w:w w:val="99"/>
              </w:rPr>
              <w:t>Professional Services</w:t>
            </w: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16,420</w:t>
            </w: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(Gauge Schlesinger Coinvest, LLC)</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3M S+825 (PIK 5.60%),</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101 Wood Avenue South, Suite 501</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07/14/2025</w:t>
            </w: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Iselin, NJ 08830</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Subordinate Debt</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3M S+700, 07/26/2024</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rPr>
              <w:t>Preferred Equity</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6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Common Equity</w:t>
            </w: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Seaway Buyer, LLC</w:t>
            </w:r>
          </w:p>
        </w:tc>
        <w:tc>
          <w:tcPr>
            <w:tcW w:w="24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Chemicals, Plastics and Rubber</w:t>
            </w: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First Lien Secured Debt,</w:t>
            </w:r>
          </w:p>
        </w:tc>
        <w:tc>
          <w:tcPr>
            <w:tcW w:w="16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2,078</w:t>
            </w: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(Seaway Topco, LP)</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3M S+615, 06/13/2029</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6006 Siesta Lane</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Port Richey, FL 34668</w:t>
            </w: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Sigma Defense Systems, LLC</w:t>
            </w:r>
          </w:p>
        </w:tc>
        <w:tc>
          <w:tcPr>
            <w:tcW w:w="246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color w:val="auto"/>
                <w:w w:val="99"/>
              </w:rPr>
              <w:t>IT Services</w:t>
            </w: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23,587</w:t>
            </w: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(Delta InvestCo LP)</w:t>
            </w:r>
            <w:r>
              <w:rPr>
                <w:rFonts w:ascii="Times New Roman" w:cs="Times New Roman" w:eastAsia="Times New Roman" w:hAnsi="Times New Roman"/>
                <w:sz w:val="8"/>
                <w:szCs w:val="8"/>
                <w:color w:val="auto"/>
              </w:rPr>
              <w:t>(5)</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3M S+715, 12/18/2027</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1812 Macon Rd</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rPr>
              <w:t>Common Equity(4)</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Perry, GA 31069</w:t>
            </w: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Simplicity Financial Marketing Group Holdings Inc.</w:t>
            </w:r>
          </w:p>
        </w:tc>
        <w:tc>
          <w:tcPr>
            <w:tcW w:w="24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Diversified Financial Services</w:t>
            </w: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4,331</w:t>
            </w:r>
          </w:p>
        </w:tc>
        <w:tc>
          <w:tcPr>
            <w:tcW w:w="0" w:type="dxa"/>
            <w:vAlign w:val="bottom"/>
          </w:tcPr>
          <w:p>
            <w:pPr>
              <w:spacing w:after="0"/>
              <w:rPr>
                <w:sz w:val="1"/>
                <w:szCs w:val="1"/>
                <w:color w:val="auto"/>
              </w:rPr>
            </w:pPr>
          </w:p>
        </w:tc>
      </w:tr>
      <w:tr>
        <w:trPr>
          <w:trHeight w:val="183"/>
        </w:trPr>
        <w:tc>
          <w:tcPr>
            <w:tcW w:w="4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86 Summit Avenue Suite 303</w:t>
            </w: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3M S+640, 12/02/2026</w:t>
            </w: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4160" w:type="dxa"/>
            <w:vAlign w:val="bottom"/>
            <w:gridSpan w:val="2"/>
            <w:vMerge w:val="continue"/>
          </w:tcPr>
          <w:p>
            <w:pPr>
              <w:spacing w:after="0"/>
              <w:rPr>
                <w:sz w:val="10"/>
                <w:szCs w:val="10"/>
                <w:color w:val="auto"/>
              </w:rPr>
            </w:pPr>
          </w:p>
        </w:tc>
        <w:tc>
          <w:tcPr>
            <w:tcW w:w="1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Summit, NJ 07901</w:t>
            </w: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Skopima Consilio Parent, LLC</w:t>
            </w:r>
          </w:p>
        </w:tc>
        <w:tc>
          <w:tcPr>
            <w:tcW w:w="24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Business Services</w:t>
            </w: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First Lien Secured Debt,</w:t>
            </w:r>
          </w:p>
        </w:tc>
        <w:tc>
          <w:tcPr>
            <w:tcW w:w="162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1828 L Street NW Suite 1070</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1M S+450, 05/17/2028</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Washington, DC 20036</w:t>
            </w: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Smartronix, LLC</w:t>
            </w:r>
          </w:p>
        </w:tc>
        <w:tc>
          <w:tcPr>
            <w:tcW w:w="24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Aerospace and Defense</w:t>
            </w: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15,326</w:t>
            </w: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(OceanSound Discovery Equity, LP)</w:t>
            </w:r>
            <w:r>
              <w:rPr>
                <w:rFonts w:ascii="Times New Roman" w:cs="Times New Roman" w:eastAsia="Times New Roman" w:hAnsi="Times New Roman"/>
                <w:sz w:val="8"/>
                <w:szCs w:val="8"/>
                <w:color w:val="auto"/>
              </w:rPr>
              <w:t>(5)</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1M S+635, 11/23/2028</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310 The Bridge Street, Suite 350</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Huntsville, AL 35806</w:t>
            </w: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Smile Brands Inc.</w:t>
            </w:r>
          </w:p>
        </w:tc>
        <w:tc>
          <w:tcPr>
            <w:tcW w:w="24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Healthcare and</w:t>
            </w: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2,576</w:t>
            </w: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100 Spectrum Center Drive, Suite 100</w:t>
            </w:r>
          </w:p>
        </w:tc>
        <w:tc>
          <w:tcPr>
            <w:tcW w:w="2460" w:type="dxa"/>
            <w:vAlign w:val="bottom"/>
            <w:gridSpan w:val="2"/>
          </w:tcPr>
          <w:p>
            <w:pPr>
              <w:jc w:val="center"/>
              <w:ind w:right="660"/>
              <w:spacing w:after="0" w:line="145" w:lineRule="exact"/>
              <w:rPr>
                <w:sz w:val="20"/>
                <w:szCs w:val="20"/>
                <w:color w:val="auto"/>
              </w:rPr>
            </w:pPr>
            <w:r>
              <w:rPr>
                <w:rFonts w:ascii="Times New Roman" w:cs="Times New Roman" w:eastAsia="Times New Roman" w:hAnsi="Times New Roman"/>
                <w:sz w:val="14"/>
                <w:szCs w:val="14"/>
                <w:color w:val="auto"/>
              </w:rPr>
              <w:t>Pharmaceuticals</w:t>
            </w: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1M S+450, 10/14/2025</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Irvine, CA 92618</w:t>
            </w: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178040" cy="5461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00"/>
          </w:cols>
          <w:pgMar w:left="320" w:top="284" w:right="37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38"/>
        </w:trPr>
        <w:tc>
          <w:tcPr>
            <w:tcW w:w="47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80" w:type="dxa"/>
            <w:vAlign w:val="bottom"/>
            <w:gridSpan w:val="2"/>
          </w:tcPr>
          <w:p>
            <w:pPr>
              <w:jc w:val="center"/>
              <w:ind w:right="600"/>
              <w:spacing w:after="0"/>
              <w:rPr>
                <w:sz w:val="20"/>
                <w:szCs w:val="20"/>
                <w:color w:val="auto"/>
              </w:rPr>
            </w:pPr>
            <w:r>
              <w:rPr>
                <w:rFonts w:ascii="Times New Roman" w:cs="Times New Roman" w:eastAsia="Times New Roman" w:hAnsi="Times New Roman"/>
                <w:sz w:val="12"/>
                <w:szCs w:val="12"/>
                <w:b w:val="1"/>
                <w:bCs w:val="1"/>
                <w:color w:val="auto"/>
                <w:w w:val="97"/>
              </w:rPr>
              <w:t>Voting</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700" w:type="dxa"/>
            <w:vAlign w:val="bottom"/>
            <w:gridSpan w:val="2"/>
            <w:vMerge w:val="continue"/>
          </w:tcPr>
          <w:p>
            <w:pPr>
              <w:spacing w:after="0"/>
              <w:rPr>
                <w:sz w:val="10"/>
                <w:szCs w:val="10"/>
                <w:color w:val="auto"/>
              </w:rPr>
            </w:pPr>
          </w:p>
        </w:tc>
        <w:tc>
          <w:tcPr>
            <w:tcW w:w="19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0" w:type="dxa"/>
            <w:vAlign w:val="bottom"/>
            <w:gridSpan w:val="2"/>
          </w:tcPr>
          <w:p>
            <w:pPr>
              <w:jc w:val="center"/>
              <w:ind w:right="440"/>
              <w:spacing w:after="0" w:line="126" w:lineRule="exact"/>
              <w:rPr>
                <w:sz w:val="20"/>
                <w:szCs w:val="20"/>
                <w:color w:val="auto"/>
              </w:rPr>
            </w:pPr>
            <w:r>
              <w:rPr>
                <w:rFonts w:ascii="Times New Roman" w:cs="Times New Roman" w:eastAsia="Times New Roman" w:hAnsi="Times New Roman"/>
                <w:sz w:val="12"/>
                <w:szCs w:val="12"/>
                <w:b w:val="1"/>
                <w:bCs w:val="1"/>
                <w:color w:val="auto"/>
              </w:rPr>
              <w:t>Type of Investment,</w:t>
            </w:r>
          </w:p>
        </w:tc>
        <w:tc>
          <w:tcPr>
            <w:tcW w:w="1380" w:type="dxa"/>
            <w:vAlign w:val="bottom"/>
            <w:gridSpan w:val="2"/>
          </w:tcPr>
          <w:p>
            <w:pPr>
              <w:jc w:val="center"/>
              <w:ind w:right="600"/>
              <w:spacing w:after="0" w:line="126"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80" w:type="dxa"/>
            <w:vAlign w:val="bottom"/>
          </w:tcPr>
          <w:p>
            <w:pPr>
              <w:spacing w:after="0"/>
              <w:rPr>
                <w:sz w:val="10"/>
                <w:szCs w:val="10"/>
                <w:color w:val="auto"/>
              </w:rPr>
            </w:pPr>
          </w:p>
        </w:tc>
        <w:tc>
          <w:tcPr>
            <w:tcW w:w="68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0" w:type="dxa"/>
            <w:vAlign w:val="bottom"/>
          </w:tcPr>
          <w:p>
            <w:pPr>
              <w:spacing w:after="0"/>
              <w:rPr>
                <w:sz w:val="1"/>
                <w:szCs w:val="1"/>
                <w:color w:val="auto"/>
              </w:rPr>
            </w:pPr>
          </w:p>
        </w:tc>
      </w:tr>
      <w:tr>
        <w:trPr>
          <w:trHeight w:val="165"/>
        </w:trPr>
        <w:tc>
          <w:tcPr>
            <w:tcW w:w="47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Address of Portfolio Company</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rPr>
              <w:t>Nature of Business</w:t>
            </w:r>
          </w:p>
        </w:tc>
        <w:tc>
          <w:tcPr>
            <w:tcW w:w="2000" w:type="dxa"/>
            <w:vAlign w:val="bottom"/>
            <w:gridSpan w:val="2"/>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rPr>
              <w:t>Interest (1), Maturity</w:t>
            </w:r>
          </w:p>
        </w:tc>
        <w:tc>
          <w:tcPr>
            <w:tcW w:w="1380" w:type="dxa"/>
            <w:vAlign w:val="bottom"/>
            <w:gridSpan w:val="2"/>
          </w:tcPr>
          <w:p>
            <w:pPr>
              <w:jc w:val="center"/>
              <w:ind w:right="620"/>
              <w:spacing w:after="0"/>
              <w:rPr>
                <w:sz w:val="20"/>
                <w:szCs w:val="20"/>
                <w:color w:val="auto"/>
              </w:rPr>
            </w:pPr>
            <w:r>
              <w:rPr>
                <w:rFonts w:ascii="Times New Roman" w:cs="Times New Roman" w:eastAsia="Times New Roman" w:hAnsi="Times New Roman"/>
                <w:sz w:val="12"/>
                <w:szCs w:val="12"/>
                <w:b w:val="1"/>
                <w:bCs w:val="1"/>
                <w:color w:val="auto"/>
              </w:rPr>
              <w:t>Ownership (2)</w:t>
            </w:r>
          </w:p>
        </w:tc>
        <w:tc>
          <w:tcPr>
            <w:tcW w:w="7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0" w:type="dxa"/>
            <w:vAlign w:val="bottom"/>
          </w:tcPr>
          <w:p>
            <w:pPr>
              <w:spacing w:after="0"/>
              <w:rPr>
                <w:sz w:val="1"/>
                <w:szCs w:val="1"/>
                <w:color w:val="auto"/>
              </w:rPr>
            </w:pPr>
          </w:p>
        </w:tc>
      </w:tr>
      <w:tr>
        <w:trPr>
          <w:trHeight w:val="109"/>
        </w:trPr>
        <w:tc>
          <w:tcPr>
            <w:tcW w:w="162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2"/>
                <w:szCs w:val="12"/>
                <w:color w:val="auto"/>
              </w:rPr>
              <w:t>Solutionreach, Inc.</w:t>
            </w:r>
          </w:p>
        </w:tc>
        <w:tc>
          <w:tcPr>
            <w:tcW w:w="3080" w:type="dxa"/>
            <w:vAlign w:val="bottom"/>
          </w:tcPr>
          <w:p>
            <w:pPr>
              <w:spacing w:after="0"/>
              <w:rPr>
                <w:sz w:val="9"/>
                <w:szCs w:val="9"/>
                <w:color w:val="auto"/>
              </w:rPr>
            </w:pPr>
          </w:p>
        </w:tc>
        <w:tc>
          <w:tcPr>
            <w:tcW w:w="194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Healthcare Technology</w:t>
            </w:r>
          </w:p>
        </w:tc>
        <w:tc>
          <w:tcPr>
            <w:tcW w:w="440" w:type="dxa"/>
            <w:vAlign w:val="bottom"/>
          </w:tcPr>
          <w:p>
            <w:pPr>
              <w:spacing w:after="0"/>
              <w:rPr>
                <w:sz w:val="9"/>
                <w:szCs w:val="9"/>
                <w:color w:val="auto"/>
              </w:rPr>
            </w:pPr>
          </w:p>
        </w:tc>
        <w:tc>
          <w:tcPr>
            <w:tcW w:w="156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First Lien Secured Debt(4),</w:t>
            </w:r>
          </w:p>
        </w:tc>
        <w:tc>
          <w:tcPr>
            <w:tcW w:w="440" w:type="dxa"/>
            <w:vAlign w:val="bottom"/>
          </w:tcPr>
          <w:p>
            <w:pPr>
              <w:spacing w:after="0"/>
              <w:rPr>
                <w:sz w:val="9"/>
                <w:szCs w:val="9"/>
                <w:color w:val="auto"/>
              </w:rPr>
            </w:pPr>
          </w:p>
        </w:tc>
        <w:tc>
          <w:tcPr>
            <w:tcW w:w="760" w:type="dxa"/>
            <w:vAlign w:val="bottom"/>
            <w:tcBorders>
              <w:top w:val="single" w:sz="8" w:color="auto"/>
            </w:tcBorders>
          </w:tcPr>
          <w:p>
            <w:pPr>
              <w:ind w:left="560"/>
              <w:spacing w:after="0" w:line="109" w:lineRule="exact"/>
              <w:rPr>
                <w:sz w:val="20"/>
                <w:szCs w:val="20"/>
                <w:color w:val="auto"/>
              </w:rPr>
            </w:pPr>
            <w:r>
              <w:rPr>
                <w:rFonts w:ascii="Times New Roman" w:cs="Times New Roman" w:eastAsia="Times New Roman" w:hAnsi="Times New Roman"/>
                <w:sz w:val="12"/>
                <w:szCs w:val="12"/>
                <w:color w:val="auto"/>
                <w:w w:val="99"/>
              </w:rPr>
              <w:t>— </w:t>
            </w:r>
          </w:p>
        </w:tc>
        <w:tc>
          <w:tcPr>
            <w:tcW w:w="620" w:type="dxa"/>
            <w:vAlign w:val="bottom"/>
          </w:tcPr>
          <w:p>
            <w:pPr>
              <w:spacing w:after="0"/>
              <w:rPr>
                <w:sz w:val="9"/>
                <w:szCs w:val="9"/>
                <w:color w:val="auto"/>
              </w:rPr>
            </w:pPr>
          </w:p>
        </w:tc>
        <w:tc>
          <w:tcPr>
            <w:tcW w:w="8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4,652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2600 N. Ashton Blvd.</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rPr>
              <w:t>3M S+700, 07/17/2025</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Lehi, UT 84043</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Spendmend Holdings LLC</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w w:val="99"/>
              </w:rPr>
              <w:t>Healthcare Technology</w:t>
            </w:r>
          </w:p>
        </w:tc>
        <w:tc>
          <w:tcPr>
            <w:tcW w:w="2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2,804</w:t>
            </w: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(North Haven Saints Equity Holdings, LP)</w:t>
            </w:r>
            <w:r>
              <w:rPr>
                <w:rFonts w:ascii="Times New Roman" w:cs="Times New Roman" w:eastAsia="Times New Roman" w:hAnsi="Times New Roman"/>
                <w:sz w:val="8"/>
                <w:szCs w:val="8"/>
                <w:color w:val="auto"/>
              </w:rPr>
              <w:t>(5)</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20"/>
              <w:spacing w:after="0" w:line="145" w:lineRule="exact"/>
              <w:rPr>
                <w:sz w:val="20"/>
                <w:szCs w:val="20"/>
                <w:color w:val="auto"/>
              </w:rPr>
            </w:pPr>
            <w:r>
              <w:rPr>
                <w:rFonts w:ascii="Times New Roman" w:cs="Times New Roman" w:eastAsia="Times New Roman" w:hAnsi="Times New Roman"/>
                <w:sz w:val="14"/>
                <w:szCs w:val="14"/>
                <w:color w:val="auto"/>
              </w:rPr>
              <w:t>3M S+565, 03/01/2028,</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2680 Horizon Dr SE,</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Grand Rapids, MI 49546</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SSC Dominion Holdings, LLC</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Capital Equipment</w:t>
            </w:r>
          </w:p>
        </w:tc>
        <w:tc>
          <w:tcPr>
            <w:tcW w:w="20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w w:val="98"/>
              </w:rPr>
              <w:t>Common Equity</w:t>
            </w: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1,001</w:t>
            </w: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(US Dominion, Inc.)</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700" w:type="dxa"/>
            <w:vAlign w:val="bottom"/>
            <w:gridSpan w:val="2"/>
          </w:tcPr>
          <w:p>
            <w:pPr>
              <w:spacing w:after="0" w:line="158" w:lineRule="exact"/>
              <w:rPr>
                <w:sz w:val="20"/>
                <w:szCs w:val="20"/>
                <w:color w:val="auto"/>
              </w:rPr>
            </w:pPr>
            <w:r>
              <w:rPr>
                <w:rFonts w:ascii="Times New Roman" w:cs="Times New Roman" w:eastAsia="Times New Roman" w:hAnsi="Times New Roman"/>
                <w:sz w:val="14"/>
                <w:szCs w:val="14"/>
                <w:color w:val="auto"/>
              </w:rPr>
              <w:t>215 Spadina Avenue, Suite 200</w:t>
            </w:r>
          </w:p>
        </w:tc>
        <w:tc>
          <w:tcPr>
            <w:tcW w:w="1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Toronto, ON MST 2C7</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Summit Behavioral Healthcare, LLC</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Healthcare Providers and Services</w:t>
            </w:r>
          </w:p>
        </w:tc>
        <w:tc>
          <w:tcPr>
            <w:tcW w:w="2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rPr>
              <w:t>First Lien Secured Debt,</w:t>
            </w:r>
          </w:p>
        </w:tc>
        <w:tc>
          <w:tcPr>
            <w:tcW w:w="13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1,990</w:t>
            </w: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501 Corporate Centre Dr. #600</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20"/>
              <w:spacing w:after="0" w:line="145" w:lineRule="exact"/>
              <w:rPr>
                <w:sz w:val="20"/>
                <w:szCs w:val="20"/>
                <w:color w:val="auto"/>
              </w:rPr>
            </w:pPr>
            <w:r>
              <w:rPr>
                <w:rFonts w:ascii="Times New Roman" w:cs="Times New Roman" w:eastAsia="Times New Roman" w:hAnsi="Times New Roman"/>
                <w:sz w:val="14"/>
                <w:szCs w:val="14"/>
                <w:color w:val="auto"/>
                <w:w w:val="99"/>
              </w:rPr>
              <w:t>1M S+501, 11/24/2028</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Franklin, TN 37067</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System Planning and Analysis, Inc. (f/k/a Management Consulting &amp;</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Aerospace and Defense</w:t>
            </w:r>
          </w:p>
        </w:tc>
        <w:tc>
          <w:tcPr>
            <w:tcW w:w="2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20,622</w:t>
            </w: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Research, LLC)</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rPr>
              <w:t>3M S+590, 08/16/2027</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1220 12th Street SE</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Washington DC, 20003</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TAC LifePort Purchaser, LLC</w:t>
            </w:r>
            <w:r>
              <w:rPr>
                <w:rFonts w:ascii="Times New Roman" w:cs="Times New Roman" w:eastAsia="Times New Roman" w:hAnsi="Times New Roman"/>
                <w:sz w:val="8"/>
                <w:szCs w:val="8"/>
                <w:color w:val="auto"/>
              </w:rPr>
              <w:t>(5)</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Aerospace and Defense</w:t>
            </w:r>
          </w:p>
        </w:tc>
        <w:tc>
          <w:tcPr>
            <w:tcW w:w="20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w w:val="98"/>
              </w:rPr>
              <w:t>Common Equity</w:t>
            </w: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1610 Heritage St</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Woodland, WA 98674</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TCG 3.0 Jogger Acquisitionco, Inc.</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w w:val="94"/>
              </w:rPr>
              <w:t>Media</w:t>
            </w:r>
          </w:p>
        </w:tc>
        <w:tc>
          <w:tcPr>
            <w:tcW w:w="2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27,893</w:t>
            </w: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(TCG 3.0 Jogger Co-Invest, LP)</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rPr>
              <w:t>3M S+650, 01/26/2029</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3344 Walnut Street</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Denver, CO 80205</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Team Services Group, LLC</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Healthcare Providers and Services</w:t>
            </w:r>
          </w:p>
        </w:tc>
        <w:tc>
          <w:tcPr>
            <w:tcW w:w="2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1,990</w:t>
            </w: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131 Camino Del Rio N, Suite 650</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rPr>
              <w:t>3M S+543, 12/20/2027</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San Diego, CA 92108</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Bluebird Group LLC</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Professional Services</w:t>
            </w:r>
          </w:p>
        </w:tc>
        <w:tc>
          <w:tcPr>
            <w:tcW w:w="2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2,576</w:t>
            </w: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81 South Ninth Street, Suite 420,</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rPr>
              <w:t>3M S+665, 07/28/2026</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Minneapolis, MN, 55402</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Vertex Companies, LLC</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w w:val="99"/>
              </w:rPr>
              <w:t>Construction &amp; Engineering</w:t>
            </w:r>
          </w:p>
        </w:tc>
        <w:tc>
          <w:tcPr>
            <w:tcW w:w="2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3,856</w:t>
            </w: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(TWD Parent Holdings, LLC)</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rPr>
              <w:t>1M S+610, 08/30/2027</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398 Libbey Industrial Pkwy,</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w w:val="98"/>
              </w:rPr>
              <w:t>Preferred Equity</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Weymouth, MA 02189</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TPC US Parent, LLC</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Food Products</w:t>
            </w:r>
          </w:p>
        </w:tc>
        <w:tc>
          <w:tcPr>
            <w:tcW w:w="2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12,853</w:t>
            </w: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(TPC Holding Company, LP)</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20"/>
              <w:spacing w:after="0" w:line="145" w:lineRule="exact"/>
              <w:rPr>
                <w:sz w:val="20"/>
                <w:szCs w:val="20"/>
                <w:color w:val="auto"/>
              </w:rPr>
            </w:pPr>
            <w:r>
              <w:rPr>
                <w:rFonts w:ascii="Times New Roman" w:cs="Times New Roman" w:eastAsia="Times New Roman" w:hAnsi="Times New Roman"/>
                <w:sz w:val="14"/>
                <w:szCs w:val="14"/>
                <w:color w:val="auto"/>
                <w:w w:val="99"/>
              </w:rPr>
              <w:t>3M S+565, 11/24/2025</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151 Struthers Street</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w w:val="98"/>
              </w:rPr>
              <w:t>Preferred Equity</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Warren, PA 16365</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TransGo, LLC</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w w:val="99"/>
              </w:rPr>
              <w:t>Auto Components</w:t>
            </w:r>
          </w:p>
        </w:tc>
        <w:tc>
          <w:tcPr>
            <w:tcW w:w="2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15,569</w:t>
            </w: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(Aftermarket Drivetrain Products Holdings, LLC)</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rPr>
              <w:t>3M S+600, 12/29/2028</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2621 Merced Avenue</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4700" w:type="dxa"/>
            <w:vAlign w:val="bottom"/>
            <w:gridSpan w:val="2"/>
            <w:vMerge w:val="continue"/>
          </w:tcPr>
          <w:p>
            <w:pPr>
              <w:spacing w:after="0"/>
              <w:rPr>
                <w:sz w:val="10"/>
                <w:szCs w:val="10"/>
                <w:color w:val="auto"/>
              </w:rPr>
            </w:pPr>
          </w:p>
        </w:tc>
        <w:tc>
          <w:tcPr>
            <w:tcW w:w="19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El Monte, CA, 91733</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TWS Acquisition Corporation</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w w:val="99"/>
              </w:rPr>
              <w:t>Diversified Consumer Services</w:t>
            </w:r>
          </w:p>
        </w:tc>
        <w:tc>
          <w:tcPr>
            <w:tcW w:w="2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3,657</w:t>
            </w: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120 N. 44th Street #230</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rPr>
              <w:t>1M S+640, 06/16/2025</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Phoenix, AZ 85034</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Tyto Athene, LLC</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IT Services</w:t>
            </w:r>
          </w:p>
        </w:tc>
        <w:tc>
          <w:tcPr>
            <w:tcW w:w="2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12,692</w:t>
            </w: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(NXOF Holdings, Inc)</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rPr>
              <w:t>1M S+565, 04/01/2028</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510 Spring Street, Suite 200</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w w:val="98"/>
              </w:rPr>
              <w:t>Preferred Equity</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Herndon, VA 20170</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78040" cy="5461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00"/>
          </w:cols>
          <w:pgMar w:left="320" w:top="284" w:right="37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38"/>
        </w:trPr>
        <w:tc>
          <w:tcPr>
            <w:tcW w:w="43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40" w:type="dxa"/>
            <w:vAlign w:val="bottom"/>
            <w:gridSpan w:val="2"/>
          </w:tcPr>
          <w:p>
            <w:pPr>
              <w:jc w:val="center"/>
              <w:ind w:right="760"/>
              <w:spacing w:after="0"/>
              <w:rPr>
                <w:sz w:val="20"/>
                <w:szCs w:val="20"/>
                <w:color w:val="auto"/>
              </w:rPr>
            </w:pPr>
            <w:r>
              <w:rPr>
                <w:rFonts w:ascii="Times New Roman" w:cs="Times New Roman" w:eastAsia="Times New Roman" w:hAnsi="Times New Roman"/>
                <w:sz w:val="12"/>
                <w:szCs w:val="12"/>
                <w:b w:val="1"/>
                <w:bCs w:val="1"/>
                <w:color w:val="auto"/>
                <w:w w:val="97"/>
              </w:rPr>
              <w:t>Voting</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300" w:type="dxa"/>
            <w:vAlign w:val="bottom"/>
            <w:gridSpan w:val="2"/>
            <w:vMerge w:val="continue"/>
          </w:tcPr>
          <w:p>
            <w:pPr>
              <w:spacing w:after="0"/>
              <w:rPr>
                <w:sz w:val="10"/>
                <w:szCs w:val="10"/>
                <w:color w:val="auto"/>
              </w:rPr>
            </w:pPr>
          </w:p>
        </w:tc>
        <w:tc>
          <w:tcPr>
            <w:tcW w:w="20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120" w:type="dxa"/>
            <w:vAlign w:val="bottom"/>
            <w:gridSpan w:val="2"/>
          </w:tcPr>
          <w:p>
            <w:pPr>
              <w:jc w:val="center"/>
              <w:ind w:right="520"/>
              <w:spacing w:after="0" w:line="126" w:lineRule="exact"/>
              <w:rPr>
                <w:sz w:val="20"/>
                <w:szCs w:val="20"/>
                <w:color w:val="auto"/>
              </w:rPr>
            </w:pPr>
            <w:r>
              <w:rPr>
                <w:rFonts w:ascii="Times New Roman" w:cs="Times New Roman" w:eastAsia="Times New Roman" w:hAnsi="Times New Roman"/>
                <w:sz w:val="12"/>
                <w:szCs w:val="12"/>
                <w:b w:val="1"/>
                <w:bCs w:val="1"/>
                <w:color w:val="auto"/>
              </w:rPr>
              <w:t>Type of Investment,</w:t>
            </w:r>
          </w:p>
        </w:tc>
        <w:tc>
          <w:tcPr>
            <w:tcW w:w="1540" w:type="dxa"/>
            <w:vAlign w:val="bottom"/>
            <w:gridSpan w:val="2"/>
          </w:tcPr>
          <w:p>
            <w:pPr>
              <w:jc w:val="center"/>
              <w:ind w:right="760"/>
              <w:spacing w:after="0" w:line="126"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0" w:type="dxa"/>
            <w:vAlign w:val="bottom"/>
          </w:tcPr>
          <w:p>
            <w:pPr>
              <w:spacing w:after="0"/>
              <w:rPr>
                <w:sz w:val="1"/>
                <w:szCs w:val="1"/>
                <w:color w:val="auto"/>
              </w:rPr>
            </w:pPr>
          </w:p>
        </w:tc>
      </w:tr>
      <w:tr>
        <w:trPr>
          <w:trHeight w:val="165"/>
        </w:trPr>
        <w:tc>
          <w:tcPr>
            <w:tcW w:w="43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Address of Portfolio Company</w:t>
            </w:r>
          </w:p>
        </w:tc>
        <w:tc>
          <w:tcPr>
            <w:tcW w:w="2500" w:type="dxa"/>
            <w:vAlign w:val="bottom"/>
            <w:gridSpan w:val="2"/>
          </w:tcPr>
          <w:p>
            <w:pPr>
              <w:jc w:val="center"/>
              <w:ind w:right="520"/>
              <w:spacing w:after="0"/>
              <w:rPr>
                <w:sz w:val="20"/>
                <w:szCs w:val="20"/>
                <w:color w:val="auto"/>
              </w:rPr>
            </w:pPr>
            <w:r>
              <w:rPr>
                <w:rFonts w:ascii="Times New Roman" w:cs="Times New Roman" w:eastAsia="Times New Roman" w:hAnsi="Times New Roman"/>
                <w:sz w:val="12"/>
                <w:szCs w:val="12"/>
                <w:b w:val="1"/>
                <w:bCs w:val="1"/>
                <w:color w:val="auto"/>
              </w:rPr>
              <w:t>Nature of Business</w:t>
            </w:r>
          </w:p>
        </w:tc>
        <w:tc>
          <w:tcPr>
            <w:tcW w:w="2120" w:type="dxa"/>
            <w:vAlign w:val="bottom"/>
            <w:gridSpan w:val="2"/>
          </w:tcPr>
          <w:p>
            <w:pPr>
              <w:jc w:val="center"/>
              <w:ind w:right="520"/>
              <w:spacing w:after="0"/>
              <w:rPr>
                <w:sz w:val="20"/>
                <w:szCs w:val="20"/>
                <w:color w:val="auto"/>
              </w:rPr>
            </w:pPr>
            <w:r>
              <w:rPr>
                <w:rFonts w:ascii="Times New Roman" w:cs="Times New Roman" w:eastAsia="Times New Roman" w:hAnsi="Times New Roman"/>
                <w:sz w:val="12"/>
                <w:szCs w:val="12"/>
                <w:b w:val="1"/>
                <w:bCs w:val="1"/>
                <w:color w:val="auto"/>
              </w:rPr>
              <w:t>Interest (1), Maturity</w:t>
            </w:r>
          </w:p>
        </w:tc>
        <w:tc>
          <w:tcPr>
            <w:tcW w:w="1540" w:type="dxa"/>
            <w:vAlign w:val="bottom"/>
            <w:gridSpan w:val="2"/>
          </w:tcPr>
          <w:p>
            <w:pPr>
              <w:jc w:val="center"/>
              <w:ind w:right="760"/>
              <w:spacing w:after="0"/>
              <w:rPr>
                <w:sz w:val="20"/>
                <w:szCs w:val="20"/>
                <w:color w:val="auto"/>
              </w:rPr>
            </w:pPr>
            <w:r>
              <w:rPr>
                <w:rFonts w:ascii="Times New Roman" w:cs="Times New Roman" w:eastAsia="Times New Roman" w:hAnsi="Times New Roman"/>
                <w:sz w:val="12"/>
                <w:szCs w:val="12"/>
                <w:b w:val="1"/>
                <w:bCs w:val="1"/>
                <w:color w:val="auto"/>
              </w:rPr>
              <w:t>Ownership (2)</w:t>
            </w:r>
          </w:p>
        </w:tc>
        <w:tc>
          <w:tcPr>
            <w:tcW w:w="2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w w:val="98"/>
              </w:rPr>
              <w:t>(in thousands)</w:t>
            </w:r>
          </w:p>
        </w:tc>
        <w:tc>
          <w:tcPr>
            <w:tcW w:w="0" w:type="dxa"/>
            <w:vAlign w:val="bottom"/>
          </w:tcPr>
          <w:p>
            <w:pPr>
              <w:spacing w:after="0"/>
              <w:rPr>
                <w:sz w:val="1"/>
                <w:szCs w:val="1"/>
                <w:color w:val="auto"/>
              </w:rPr>
            </w:pPr>
          </w:p>
        </w:tc>
      </w:tr>
      <w:tr>
        <w:trPr>
          <w:trHeight w:val="109"/>
        </w:trPr>
        <w:tc>
          <w:tcPr>
            <w:tcW w:w="162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2"/>
                <w:szCs w:val="12"/>
                <w:color w:val="auto"/>
              </w:rPr>
              <w:t>UniTek Global Services Inc.</w:t>
            </w:r>
          </w:p>
        </w:tc>
        <w:tc>
          <w:tcPr>
            <w:tcW w:w="2680" w:type="dxa"/>
            <w:vAlign w:val="bottom"/>
          </w:tcPr>
          <w:p>
            <w:pPr>
              <w:spacing w:after="0"/>
              <w:rPr>
                <w:sz w:val="9"/>
                <w:szCs w:val="9"/>
                <w:color w:val="auto"/>
              </w:rPr>
            </w:pPr>
          </w:p>
        </w:tc>
        <w:tc>
          <w:tcPr>
            <w:tcW w:w="200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Telecommunications</w:t>
            </w:r>
          </w:p>
        </w:tc>
        <w:tc>
          <w:tcPr>
            <w:tcW w:w="500" w:type="dxa"/>
            <w:vAlign w:val="bottom"/>
          </w:tcPr>
          <w:p>
            <w:pPr>
              <w:spacing w:after="0"/>
              <w:rPr>
                <w:sz w:val="9"/>
                <w:szCs w:val="9"/>
                <w:color w:val="auto"/>
              </w:rPr>
            </w:pPr>
          </w:p>
        </w:tc>
        <w:tc>
          <w:tcPr>
            <w:tcW w:w="158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Preferred Equity</w:t>
            </w:r>
          </w:p>
        </w:tc>
        <w:tc>
          <w:tcPr>
            <w:tcW w:w="540" w:type="dxa"/>
            <w:vAlign w:val="bottom"/>
          </w:tcPr>
          <w:p>
            <w:pPr>
              <w:spacing w:after="0"/>
              <w:rPr>
                <w:sz w:val="9"/>
                <w:szCs w:val="9"/>
                <w:color w:val="auto"/>
              </w:rPr>
            </w:pPr>
          </w:p>
        </w:tc>
        <w:tc>
          <w:tcPr>
            <w:tcW w:w="780" w:type="dxa"/>
            <w:vAlign w:val="bottom"/>
            <w:tcBorders>
              <w:top w:val="single" w:sz="8" w:color="auto"/>
            </w:tcBorders>
          </w:tcPr>
          <w:p>
            <w:pPr>
              <w:ind w:left="560"/>
              <w:spacing w:after="0" w:line="109" w:lineRule="exact"/>
              <w:rPr>
                <w:sz w:val="20"/>
                <w:szCs w:val="20"/>
                <w:color w:val="auto"/>
              </w:rPr>
            </w:pPr>
            <w:r>
              <w:rPr>
                <w:rFonts w:ascii="Times New Roman" w:cs="Times New Roman" w:eastAsia="Times New Roman" w:hAnsi="Times New Roman"/>
                <w:sz w:val="12"/>
                <w:szCs w:val="12"/>
                <w:color w:val="auto"/>
              </w:rPr>
              <w:t>— </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43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1817 Crane Ridge Drive, Suite 500</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20" w:type="dxa"/>
            <w:vAlign w:val="bottom"/>
            <w:gridSpan w:val="2"/>
          </w:tcPr>
          <w:p>
            <w:pPr>
              <w:jc w:val="center"/>
              <w:ind w:right="50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Jackson, MS 39216</w:t>
            </w:r>
          </w:p>
        </w:tc>
        <w:tc>
          <w:tcPr>
            <w:tcW w:w="2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w w:val="97"/>
              </w:rPr>
              <w:t>Warrants</w:t>
            </w: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UniVista Insurance</w:t>
            </w:r>
            <w:r>
              <w:rPr>
                <w:rFonts w:ascii="Times New Roman" w:cs="Times New Roman" w:eastAsia="Times New Roman" w:hAnsi="Times New Roman"/>
                <w:sz w:val="8"/>
                <w:szCs w:val="8"/>
                <w:color w:val="auto"/>
              </w:rPr>
              <w:t>(5)</w:t>
            </w:r>
          </w:p>
        </w:tc>
        <w:tc>
          <w:tcPr>
            <w:tcW w:w="25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w w:val="99"/>
              </w:rPr>
              <w:t>Insurance</w:t>
            </w:r>
          </w:p>
        </w:tc>
        <w:tc>
          <w:tcPr>
            <w:tcW w:w="21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rPr>
              <w:t>Common Equity</w:t>
            </w:r>
          </w:p>
        </w:tc>
        <w:tc>
          <w:tcPr>
            <w:tcW w:w="15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color w:val="auto"/>
              </w:rPr>
              <w:t>0.2%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3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1817 Crane Ridge Drive, Suite 500</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Jackson, MS 39216</w:t>
            </w:r>
          </w:p>
        </w:tc>
        <w:tc>
          <w:tcPr>
            <w:tcW w:w="2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Urology Partners Co., LP</w:t>
            </w:r>
          </w:p>
        </w:tc>
        <w:tc>
          <w:tcPr>
            <w:tcW w:w="25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w w:val="99"/>
              </w:rPr>
              <w:t>Healthcare Providers and Services</w:t>
            </w:r>
          </w:p>
        </w:tc>
        <w:tc>
          <w:tcPr>
            <w:tcW w:w="21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rPr>
              <w:t>Common Equity</w:t>
            </w:r>
          </w:p>
        </w:tc>
        <w:tc>
          <w:tcPr>
            <w:tcW w:w="15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color w:val="auto"/>
              </w:rPr>
              <w:t>0.2%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3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500 East Broward Blvd, Suite 2150</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Fort Lauderdale, FL 33394</w:t>
            </w:r>
          </w:p>
        </w:tc>
        <w:tc>
          <w:tcPr>
            <w:tcW w:w="2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Walker Edison Furniture Company LLC</w:t>
            </w:r>
          </w:p>
        </w:tc>
        <w:tc>
          <w:tcPr>
            <w:tcW w:w="25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rPr>
              <w:t>Wholesale</w:t>
            </w:r>
          </w:p>
        </w:tc>
        <w:tc>
          <w:tcPr>
            <w:tcW w:w="21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color w:val="auto"/>
              </w:rPr>
              <w:t>2.5%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4,947</w:t>
            </w:r>
          </w:p>
        </w:tc>
        <w:tc>
          <w:tcPr>
            <w:tcW w:w="0" w:type="dxa"/>
            <w:vAlign w:val="bottom"/>
          </w:tcPr>
          <w:p>
            <w:pPr>
              <w:spacing w:after="0"/>
              <w:rPr>
                <w:sz w:val="1"/>
                <w:szCs w:val="1"/>
                <w:color w:val="auto"/>
              </w:rPr>
            </w:pPr>
          </w:p>
        </w:tc>
      </w:tr>
      <w:tr>
        <w:trPr>
          <w:trHeight w:val="145"/>
        </w:trPr>
        <w:tc>
          <w:tcPr>
            <w:tcW w:w="43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(Walker Edison Holdco LLC)</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20" w:type="dxa"/>
            <w:vAlign w:val="bottom"/>
            <w:gridSpan w:val="2"/>
          </w:tcPr>
          <w:p>
            <w:pPr>
              <w:jc w:val="center"/>
              <w:ind w:right="500"/>
              <w:spacing w:after="0" w:line="145" w:lineRule="exact"/>
              <w:rPr>
                <w:sz w:val="20"/>
                <w:szCs w:val="20"/>
                <w:color w:val="auto"/>
              </w:rPr>
            </w:pPr>
            <w:r>
              <w:rPr>
                <w:rFonts w:ascii="Times New Roman" w:cs="Times New Roman" w:eastAsia="Times New Roman" w:hAnsi="Times New Roman"/>
                <w:sz w:val="14"/>
                <w:szCs w:val="14"/>
                <w:color w:val="auto"/>
              </w:rPr>
              <w:t>—, 03/01/2029</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3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1553 W 9000 S</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20" w:type="dxa"/>
            <w:vAlign w:val="bottom"/>
            <w:gridSpan w:val="2"/>
          </w:tcPr>
          <w:p>
            <w:pPr>
              <w:jc w:val="center"/>
              <w:ind w:right="50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West Jordan, UT 84088</w:t>
            </w:r>
          </w:p>
        </w:tc>
        <w:tc>
          <w:tcPr>
            <w:tcW w:w="2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Watchtower Intermediate, LLC</w:t>
            </w:r>
          </w:p>
        </w:tc>
        <w:tc>
          <w:tcPr>
            <w:tcW w:w="25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rPr>
              <w:t>Electronic Equipment, Instruments,</w:t>
            </w:r>
          </w:p>
        </w:tc>
        <w:tc>
          <w:tcPr>
            <w:tcW w:w="21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color w:val="auto"/>
              </w:rPr>
              <w:t>2.5%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11,530</w:t>
            </w:r>
          </w:p>
        </w:tc>
        <w:tc>
          <w:tcPr>
            <w:tcW w:w="0" w:type="dxa"/>
            <w:vAlign w:val="bottom"/>
          </w:tcPr>
          <w:p>
            <w:pPr>
              <w:spacing w:after="0"/>
              <w:rPr>
                <w:sz w:val="1"/>
                <w:szCs w:val="1"/>
                <w:color w:val="auto"/>
              </w:rPr>
            </w:pPr>
          </w:p>
        </w:tc>
      </w:tr>
      <w:tr>
        <w:trPr>
          <w:trHeight w:val="145"/>
        </w:trPr>
        <w:tc>
          <w:tcPr>
            <w:tcW w:w="43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(Watchtower Holdings, LLC)</w:t>
            </w:r>
            <w:r>
              <w:rPr>
                <w:rFonts w:ascii="Times New Roman" w:cs="Times New Roman" w:eastAsia="Times New Roman" w:hAnsi="Times New Roman"/>
                <w:sz w:val="8"/>
                <w:szCs w:val="8"/>
                <w:color w:val="auto"/>
              </w:rPr>
              <w:t>(5)</w:t>
            </w:r>
          </w:p>
        </w:tc>
        <w:tc>
          <w:tcPr>
            <w:tcW w:w="2500" w:type="dxa"/>
            <w:vAlign w:val="bottom"/>
            <w:gridSpan w:val="2"/>
          </w:tcPr>
          <w:p>
            <w:pPr>
              <w:jc w:val="center"/>
              <w:ind w:right="520"/>
              <w:spacing w:after="0" w:line="145" w:lineRule="exact"/>
              <w:rPr>
                <w:sz w:val="20"/>
                <w:szCs w:val="20"/>
                <w:color w:val="auto"/>
              </w:rPr>
            </w:pPr>
            <w:r>
              <w:rPr>
                <w:rFonts w:ascii="Times New Roman" w:cs="Times New Roman" w:eastAsia="Times New Roman" w:hAnsi="Times New Roman"/>
                <w:sz w:val="14"/>
                <w:szCs w:val="14"/>
                <w:color w:val="auto"/>
                <w:w w:val="99"/>
              </w:rPr>
              <w:t>and Components</w:t>
            </w:r>
          </w:p>
        </w:tc>
        <w:tc>
          <w:tcPr>
            <w:tcW w:w="2120" w:type="dxa"/>
            <w:vAlign w:val="bottom"/>
            <w:gridSpan w:val="2"/>
          </w:tcPr>
          <w:p>
            <w:pPr>
              <w:jc w:val="center"/>
              <w:ind w:right="500"/>
              <w:spacing w:after="0" w:line="145" w:lineRule="exact"/>
              <w:rPr>
                <w:sz w:val="20"/>
                <w:szCs w:val="20"/>
                <w:color w:val="auto"/>
              </w:rPr>
            </w:pPr>
            <w:r>
              <w:rPr>
                <w:rFonts w:ascii="Times New Roman" w:cs="Times New Roman" w:eastAsia="Times New Roman" w:hAnsi="Times New Roman"/>
                <w:sz w:val="14"/>
                <w:szCs w:val="14"/>
                <w:color w:val="auto"/>
              </w:rPr>
              <w:t>3M S+600 , 12/01/2029</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3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127 Weldon Parkway</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20" w:type="dxa"/>
            <w:vAlign w:val="bottom"/>
            <w:gridSpan w:val="2"/>
          </w:tcPr>
          <w:p>
            <w:pPr>
              <w:jc w:val="center"/>
              <w:ind w:right="50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Maryland Heights, MO 63043</w:t>
            </w:r>
          </w:p>
        </w:tc>
        <w:tc>
          <w:tcPr>
            <w:tcW w:w="2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WCP IvyRehab QP CF Feeder, LP</w:t>
            </w:r>
            <w:r>
              <w:rPr>
                <w:rFonts w:ascii="Times New Roman" w:cs="Times New Roman" w:eastAsia="Times New Roman" w:hAnsi="Times New Roman"/>
                <w:sz w:val="8"/>
                <w:szCs w:val="8"/>
                <w:color w:val="auto"/>
              </w:rPr>
              <w:t>(5)</w:t>
            </w:r>
          </w:p>
        </w:tc>
        <w:tc>
          <w:tcPr>
            <w:tcW w:w="25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w w:val="99"/>
              </w:rPr>
              <w:t>Healthcare Providers and Services</w:t>
            </w:r>
          </w:p>
        </w:tc>
        <w:tc>
          <w:tcPr>
            <w:tcW w:w="21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rPr>
              <w:t>Common Equity</w:t>
            </w:r>
          </w:p>
        </w:tc>
        <w:tc>
          <w:tcPr>
            <w:tcW w:w="15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color w:val="auto"/>
              </w:rPr>
              <w:t>0.2%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4,173</w:t>
            </w:r>
          </w:p>
        </w:tc>
        <w:tc>
          <w:tcPr>
            <w:tcW w:w="0" w:type="dxa"/>
            <w:vAlign w:val="bottom"/>
          </w:tcPr>
          <w:p>
            <w:pPr>
              <w:spacing w:after="0"/>
              <w:rPr>
                <w:sz w:val="1"/>
                <w:szCs w:val="1"/>
                <w:color w:val="auto"/>
              </w:rPr>
            </w:pPr>
          </w:p>
        </w:tc>
      </w:tr>
      <w:tr>
        <w:trPr>
          <w:trHeight w:val="145"/>
        </w:trPr>
        <w:tc>
          <w:tcPr>
            <w:tcW w:w="43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 xml:space="preserve">(WCP IvyRehab Coinvestment, LP) </w:t>
            </w:r>
            <w:r>
              <w:rPr>
                <w:rFonts w:ascii="Times New Roman" w:cs="Times New Roman" w:eastAsia="Times New Roman" w:hAnsi="Times New Roman"/>
                <w:sz w:val="8"/>
                <w:szCs w:val="8"/>
                <w:color w:val="auto"/>
              </w:rPr>
              <w:t>(5)</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300" w:type="dxa"/>
            <w:vAlign w:val="bottom"/>
            <w:gridSpan w:val="2"/>
          </w:tcPr>
          <w:p>
            <w:pPr>
              <w:spacing w:after="0" w:line="158" w:lineRule="exact"/>
              <w:rPr>
                <w:sz w:val="20"/>
                <w:szCs w:val="20"/>
                <w:color w:val="auto"/>
              </w:rPr>
            </w:pPr>
            <w:r>
              <w:rPr>
                <w:rFonts w:ascii="Times New Roman" w:cs="Times New Roman" w:eastAsia="Times New Roman" w:hAnsi="Times New Roman"/>
                <w:sz w:val="14"/>
                <w:szCs w:val="14"/>
                <w:color w:val="auto"/>
              </w:rPr>
              <w:t>1311 Mamaroneck Avenue, Suite 140</w:t>
            </w:r>
          </w:p>
        </w:tc>
        <w:tc>
          <w:tcPr>
            <w:tcW w:w="2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White Plains, NY 10605</w:t>
            </w:r>
          </w:p>
        </w:tc>
        <w:tc>
          <w:tcPr>
            <w:tcW w:w="2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Wildcat Buyerco, Inc.</w:t>
            </w:r>
          </w:p>
        </w:tc>
        <w:tc>
          <w:tcPr>
            <w:tcW w:w="25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rPr>
              <w:t>Electronic Equipment, Instruments,</w:t>
            </w:r>
          </w:p>
        </w:tc>
        <w:tc>
          <w:tcPr>
            <w:tcW w:w="21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13,378</w:t>
            </w:r>
          </w:p>
        </w:tc>
        <w:tc>
          <w:tcPr>
            <w:tcW w:w="0" w:type="dxa"/>
            <w:vAlign w:val="bottom"/>
          </w:tcPr>
          <w:p>
            <w:pPr>
              <w:spacing w:after="0"/>
              <w:rPr>
                <w:sz w:val="1"/>
                <w:szCs w:val="1"/>
                <w:color w:val="auto"/>
              </w:rPr>
            </w:pPr>
          </w:p>
        </w:tc>
      </w:tr>
      <w:tr>
        <w:trPr>
          <w:trHeight w:val="145"/>
        </w:trPr>
        <w:tc>
          <w:tcPr>
            <w:tcW w:w="43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(Wildcat Parent, LP)</w:t>
            </w:r>
          </w:p>
        </w:tc>
        <w:tc>
          <w:tcPr>
            <w:tcW w:w="2500" w:type="dxa"/>
            <w:vAlign w:val="bottom"/>
            <w:gridSpan w:val="2"/>
          </w:tcPr>
          <w:p>
            <w:pPr>
              <w:jc w:val="center"/>
              <w:ind w:right="520"/>
              <w:spacing w:after="0" w:line="145" w:lineRule="exact"/>
              <w:rPr>
                <w:sz w:val="20"/>
                <w:szCs w:val="20"/>
                <w:color w:val="auto"/>
              </w:rPr>
            </w:pPr>
            <w:r>
              <w:rPr>
                <w:rFonts w:ascii="Times New Roman" w:cs="Times New Roman" w:eastAsia="Times New Roman" w:hAnsi="Times New Roman"/>
                <w:sz w:val="14"/>
                <w:szCs w:val="14"/>
                <w:color w:val="auto"/>
                <w:w w:val="99"/>
              </w:rPr>
              <w:t>and Components</w:t>
            </w:r>
          </w:p>
        </w:tc>
        <w:tc>
          <w:tcPr>
            <w:tcW w:w="2120" w:type="dxa"/>
            <w:vAlign w:val="bottom"/>
            <w:gridSpan w:val="2"/>
          </w:tcPr>
          <w:p>
            <w:pPr>
              <w:jc w:val="center"/>
              <w:ind w:right="500"/>
              <w:spacing w:after="0" w:line="145" w:lineRule="exact"/>
              <w:rPr>
                <w:sz w:val="20"/>
                <w:szCs w:val="20"/>
                <w:color w:val="auto"/>
              </w:rPr>
            </w:pPr>
            <w:r>
              <w:rPr>
                <w:rFonts w:ascii="Times New Roman" w:cs="Times New Roman" w:eastAsia="Times New Roman" w:hAnsi="Times New Roman"/>
                <w:sz w:val="14"/>
                <w:szCs w:val="14"/>
                <w:color w:val="auto"/>
                <w:w w:val="99"/>
              </w:rPr>
              <w:t>3M S+575, 02/26/2027</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3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9730 Northcross Center Court</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20" w:type="dxa"/>
            <w:vAlign w:val="bottom"/>
            <w:gridSpan w:val="2"/>
          </w:tcPr>
          <w:p>
            <w:pPr>
              <w:jc w:val="center"/>
              <w:ind w:right="50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Huntersville, NC 28078</w:t>
            </w:r>
          </w:p>
        </w:tc>
        <w:tc>
          <w:tcPr>
            <w:tcW w:w="2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Wrench Group, LLC</w:t>
            </w:r>
          </w:p>
        </w:tc>
        <w:tc>
          <w:tcPr>
            <w:tcW w:w="25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w w:val="99"/>
              </w:rPr>
              <w:t>Commercial Services &amp; Supplies</w:t>
            </w:r>
          </w:p>
        </w:tc>
        <w:tc>
          <w:tcPr>
            <w:tcW w:w="21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rPr>
              <w:t>First Lien Secured Debt,</w:t>
            </w:r>
          </w:p>
        </w:tc>
        <w:tc>
          <w:tcPr>
            <w:tcW w:w="15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3,509</w:t>
            </w:r>
          </w:p>
        </w:tc>
        <w:tc>
          <w:tcPr>
            <w:tcW w:w="0" w:type="dxa"/>
            <w:vAlign w:val="bottom"/>
          </w:tcPr>
          <w:p>
            <w:pPr>
              <w:spacing w:after="0"/>
              <w:rPr>
                <w:sz w:val="1"/>
                <w:szCs w:val="1"/>
                <w:color w:val="auto"/>
              </w:rPr>
            </w:pPr>
          </w:p>
        </w:tc>
      </w:tr>
      <w:tr>
        <w:trPr>
          <w:trHeight w:val="145"/>
        </w:trPr>
        <w:tc>
          <w:tcPr>
            <w:tcW w:w="43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1819 Main Street Suite 1300</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20" w:type="dxa"/>
            <w:vAlign w:val="bottom"/>
            <w:gridSpan w:val="2"/>
          </w:tcPr>
          <w:p>
            <w:pPr>
              <w:jc w:val="center"/>
              <w:ind w:right="500"/>
              <w:spacing w:after="0" w:line="145" w:lineRule="exact"/>
              <w:rPr>
                <w:sz w:val="20"/>
                <w:szCs w:val="20"/>
                <w:color w:val="auto"/>
              </w:rPr>
            </w:pPr>
            <w:r>
              <w:rPr>
                <w:rFonts w:ascii="Times New Roman" w:cs="Times New Roman" w:eastAsia="Times New Roman" w:hAnsi="Times New Roman"/>
                <w:sz w:val="14"/>
                <w:szCs w:val="14"/>
                <w:color w:val="auto"/>
                <w:w w:val="99"/>
              </w:rPr>
              <w:t>3M S+426, 10/30/2028</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Sarasota, FL 34236</w:t>
            </w:r>
          </w:p>
        </w:tc>
        <w:tc>
          <w:tcPr>
            <w:tcW w:w="2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Zips Car Wash, LLC</w:t>
            </w:r>
          </w:p>
        </w:tc>
        <w:tc>
          <w:tcPr>
            <w:tcW w:w="25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w w:val="99"/>
              </w:rPr>
              <w:t>Automobiles</w:t>
            </w:r>
          </w:p>
        </w:tc>
        <w:tc>
          <w:tcPr>
            <w:tcW w:w="21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rPr>
              <w:t>First Lien Secured Debt,</w:t>
            </w:r>
          </w:p>
        </w:tc>
        <w:tc>
          <w:tcPr>
            <w:tcW w:w="15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12,960</w:t>
            </w:r>
          </w:p>
        </w:tc>
        <w:tc>
          <w:tcPr>
            <w:tcW w:w="0" w:type="dxa"/>
            <w:vAlign w:val="bottom"/>
          </w:tcPr>
          <w:p>
            <w:pPr>
              <w:spacing w:after="0"/>
              <w:rPr>
                <w:sz w:val="1"/>
                <w:szCs w:val="1"/>
                <w:color w:val="auto"/>
              </w:rPr>
            </w:pPr>
          </w:p>
        </w:tc>
      </w:tr>
      <w:tr>
        <w:trPr>
          <w:trHeight w:val="145"/>
        </w:trPr>
        <w:tc>
          <w:tcPr>
            <w:tcW w:w="43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1809 East Parker Road</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20" w:type="dxa"/>
            <w:vAlign w:val="bottom"/>
            <w:gridSpan w:val="2"/>
          </w:tcPr>
          <w:p>
            <w:pPr>
              <w:jc w:val="center"/>
              <w:ind w:right="500"/>
              <w:spacing w:after="0" w:line="145" w:lineRule="exact"/>
              <w:rPr>
                <w:sz w:val="20"/>
                <w:szCs w:val="20"/>
                <w:color w:val="auto"/>
              </w:rPr>
            </w:pPr>
            <w:r>
              <w:rPr>
                <w:rFonts w:ascii="Times New Roman" w:cs="Times New Roman" w:eastAsia="Times New Roman" w:hAnsi="Times New Roman"/>
                <w:sz w:val="14"/>
                <w:szCs w:val="14"/>
                <w:color w:val="auto"/>
                <w:w w:val="99"/>
              </w:rPr>
              <w:t>3M S+735 (PIK 1.50%),</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300" w:type="dxa"/>
            <w:vAlign w:val="bottom"/>
            <w:gridSpan w:val="2"/>
          </w:tcPr>
          <w:p>
            <w:pPr>
              <w:spacing w:after="0" w:line="156" w:lineRule="exact"/>
              <w:rPr>
                <w:sz w:val="20"/>
                <w:szCs w:val="20"/>
                <w:color w:val="auto"/>
              </w:rPr>
            </w:pPr>
            <w:r>
              <w:rPr>
                <w:rFonts w:ascii="Times New Roman" w:cs="Times New Roman" w:eastAsia="Times New Roman" w:hAnsi="Times New Roman"/>
                <w:sz w:val="14"/>
                <w:szCs w:val="14"/>
                <w:color w:val="auto"/>
              </w:rPr>
              <w:t>Jonesboro, AR 72404</w:t>
            </w:r>
          </w:p>
        </w:tc>
        <w:tc>
          <w:tcPr>
            <w:tcW w:w="2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8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color w:val="auto"/>
              </w:rPr>
              <w:t>12/31/2024</w:t>
            </w: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Companies 25% or More Owned</w:t>
            </w:r>
          </w:p>
        </w:tc>
        <w:tc>
          <w:tcPr>
            <w:tcW w:w="2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Marketplace Events LLC</w:t>
            </w:r>
          </w:p>
        </w:tc>
        <w:tc>
          <w:tcPr>
            <w:tcW w:w="25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rPr>
              <w:t>Media: Diversified and Production</w:t>
            </w:r>
          </w:p>
        </w:tc>
        <w:tc>
          <w:tcPr>
            <w:tcW w:w="21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32.6%</w:t>
            </w:r>
            <w:r>
              <w:rPr>
                <w:rFonts w:ascii="Times New Roman" w:cs="Times New Roman" w:eastAsia="Times New Roman" w:hAnsi="Times New Roman"/>
                <w:sz w:val="8"/>
                <w:szCs w:val="8"/>
                <w:color w:val="auto"/>
              </w:rPr>
              <w:t>(3)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38,004</w:t>
            </w:r>
          </w:p>
        </w:tc>
        <w:tc>
          <w:tcPr>
            <w:tcW w:w="0" w:type="dxa"/>
            <w:vAlign w:val="bottom"/>
          </w:tcPr>
          <w:p>
            <w:pPr>
              <w:spacing w:after="0"/>
              <w:rPr>
                <w:sz w:val="1"/>
                <w:szCs w:val="1"/>
                <w:color w:val="auto"/>
              </w:rPr>
            </w:pPr>
          </w:p>
        </w:tc>
      </w:tr>
      <w:tr>
        <w:trPr>
          <w:trHeight w:val="145"/>
        </w:trPr>
        <w:tc>
          <w:tcPr>
            <w:tcW w:w="43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(New MPE Holdings, LLC)</w:t>
            </w:r>
            <w:r>
              <w:rPr>
                <w:rFonts w:ascii="Times New Roman" w:cs="Times New Roman" w:eastAsia="Times New Roman" w:hAnsi="Times New Roman"/>
                <w:sz w:val="8"/>
                <w:szCs w:val="8"/>
                <w:color w:val="auto"/>
              </w:rPr>
              <w:t>(5)</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20" w:type="dxa"/>
            <w:vAlign w:val="bottom"/>
            <w:gridSpan w:val="2"/>
          </w:tcPr>
          <w:p>
            <w:pPr>
              <w:jc w:val="center"/>
              <w:ind w:right="500"/>
              <w:spacing w:after="0" w:line="145" w:lineRule="exact"/>
              <w:rPr>
                <w:sz w:val="20"/>
                <w:szCs w:val="20"/>
                <w:color w:val="auto"/>
              </w:rPr>
            </w:pPr>
            <w:r>
              <w:rPr>
                <w:rFonts w:ascii="Times New Roman" w:cs="Times New Roman" w:eastAsia="Times New Roman" w:hAnsi="Times New Roman"/>
                <w:sz w:val="14"/>
                <w:szCs w:val="14"/>
                <w:color w:val="auto"/>
                <w:w w:val="99"/>
              </w:rPr>
              <w:t>3M S+550, 09/30/2026</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3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31105 Bainbridge Road, Suite 3</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Solon, OH 44139</w:t>
            </w:r>
          </w:p>
        </w:tc>
        <w:tc>
          <w:tcPr>
            <w:tcW w:w="2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PennantPark Senior Secured Loan Fund I LLC</w:t>
            </w:r>
            <w:r>
              <w:rPr>
                <w:rFonts w:ascii="Times New Roman" w:cs="Times New Roman" w:eastAsia="Times New Roman" w:hAnsi="Times New Roman"/>
                <w:sz w:val="8"/>
                <w:szCs w:val="8"/>
                <w:color w:val="auto"/>
              </w:rPr>
              <w:t>(6)</w:t>
            </w:r>
          </w:p>
        </w:tc>
        <w:tc>
          <w:tcPr>
            <w:tcW w:w="25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rPr>
              <w:t>Financial Services</w:t>
            </w:r>
          </w:p>
        </w:tc>
        <w:tc>
          <w:tcPr>
            <w:tcW w:w="21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rPr>
              <w:t>First Lien Secured Debt,</w:t>
            </w:r>
          </w:p>
        </w:tc>
        <w:tc>
          <w:tcPr>
            <w:tcW w:w="15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50.0%</w:t>
            </w:r>
            <w:r>
              <w:rPr>
                <w:rFonts w:ascii="Times New Roman" w:cs="Times New Roman" w:eastAsia="Times New Roman" w:hAnsi="Times New Roman"/>
                <w:sz w:val="8"/>
                <w:szCs w:val="8"/>
                <w:color w:val="auto"/>
              </w:rPr>
              <w:t>(3)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263,199</w:t>
            </w:r>
          </w:p>
        </w:tc>
        <w:tc>
          <w:tcPr>
            <w:tcW w:w="0" w:type="dxa"/>
            <w:vAlign w:val="bottom"/>
          </w:tcPr>
          <w:p>
            <w:pPr>
              <w:spacing w:after="0"/>
              <w:rPr>
                <w:sz w:val="1"/>
                <w:szCs w:val="1"/>
                <w:color w:val="auto"/>
              </w:rPr>
            </w:pPr>
          </w:p>
        </w:tc>
      </w:tr>
      <w:tr>
        <w:trPr>
          <w:trHeight w:val="145"/>
        </w:trPr>
        <w:tc>
          <w:tcPr>
            <w:tcW w:w="43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1691 Michigan Avenue</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20" w:type="dxa"/>
            <w:vAlign w:val="bottom"/>
            <w:gridSpan w:val="2"/>
          </w:tcPr>
          <w:p>
            <w:pPr>
              <w:jc w:val="center"/>
              <w:ind w:right="500"/>
              <w:spacing w:after="0" w:line="145" w:lineRule="exact"/>
              <w:rPr>
                <w:sz w:val="20"/>
                <w:szCs w:val="20"/>
                <w:color w:val="auto"/>
              </w:rPr>
            </w:pPr>
            <w:r>
              <w:rPr>
                <w:rFonts w:ascii="Times New Roman" w:cs="Times New Roman" w:eastAsia="Times New Roman" w:hAnsi="Times New Roman"/>
                <w:sz w:val="14"/>
                <w:szCs w:val="14"/>
                <w:color w:val="auto"/>
                <w:w w:val="99"/>
              </w:rPr>
              <w:t>3M S+800, 05/06/2024</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Miami, FL 33139</w:t>
            </w:r>
          </w:p>
        </w:tc>
        <w:tc>
          <w:tcPr>
            <w:tcW w:w="2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rPr>
              <w:t>Common Equity</w:t>
            </w: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430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color w:val="auto"/>
              </w:rPr>
              <w:t>Total Investments</w:t>
            </w:r>
          </w:p>
        </w:tc>
        <w:tc>
          <w:tcPr>
            <w:tcW w:w="2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1,477,883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178040" cy="54610"/>
                    </a:xfrm>
                    <a:prstGeom prst="rect">
                      <a:avLst/>
                    </a:prstGeom>
                    <a:noFill/>
                  </pic:spPr>
                </pic:pic>
              </a:graphicData>
            </a:graphic>
          </wp:anchor>
        </w:drawing>
      </w:r>
    </w:p>
    <w:p>
      <w:pPr>
        <w:ind w:left="460" w:hanging="455"/>
        <w:spacing w:after="0" w:line="249"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floating rate instruments that accrue interest at a predetermined spread relative to an index, typically the applicable Secured Overnight Financing Rate, or “S” or “SOFR”, or Prime rate, or “P”, or Sterling Overnight Index Average, or “SONIA.” The spread may change based on the type of rate used. The terms in the Schedule of Investments disclose the actual interest rate in effect as of the reporting period. SOFR loans are typically indexed to a 30-day, 90-day or 180-day SOFR rates (1M S, 3M S, or 6M S, respectively) at the borrower’s option. SONIA loans are typically indexed daily for GBP loans with a quarterly frequency payment. All securities are subject to a SOFR or Prime rate floor where a spread is provided, unless noted. The spread provided includes PIK interest and other fee rates, if any.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284" w:right="339" w:bottom="1440" w:gutter="0" w:footer="0" w:header="0"/>
        </w:sectPr>
      </w:pPr>
    </w:p>
    <w:bookmarkStart w:id="36" w:name="page37"/>
    <w:bookmarkEnd w:id="36"/>
    <w:p>
      <w:pPr>
        <w:ind w:left="460" w:hanging="455"/>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7178040" cy="54610"/>
                    </a:xfrm>
                    <a:prstGeom prst="rect">
                      <a:avLst/>
                    </a:prstGeom>
                    <a:noFill/>
                  </pic:spPr>
                </pic:pic>
              </a:graphicData>
            </a:graphic>
          </wp:anchor>
        </w:drawing>
        <w:t>Voting ownership percentage refers only to common equity, preferred equity and warrants held, if any, were we to have voting rights.</w:t>
      </w:r>
    </w:p>
    <w:p>
      <w:pPr>
        <w:spacing w:after="0" w:line="21"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hold one or more voting seats on the portfolio company’s board of directors/managers.</w:t>
      </w:r>
    </w:p>
    <w:p>
      <w:pPr>
        <w:spacing w:after="0" w:line="3" w:lineRule="exact"/>
        <w:rPr>
          <w:rFonts w:ascii="Times New Roman" w:cs="Times New Roman" w:eastAsia="Times New Roman" w:hAnsi="Times New Roman"/>
          <w:sz w:val="18"/>
          <w:szCs w:val="18"/>
          <w:color w:val="auto"/>
        </w:rPr>
      </w:pPr>
    </w:p>
    <w:p>
      <w:pPr>
        <w:ind w:left="460" w:right="260" w:hanging="455"/>
        <w:spacing w:after="0" w:line="244"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purchase of a security with delayed settlement or a revolving line of credit that is currently an unfunded investment, that does not earn a basis point spread above an index while it is unfunded.</w:t>
      </w:r>
    </w:p>
    <w:p>
      <w:pPr>
        <w:ind w:left="460" w:hanging="455"/>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is held through our Taxable Subsidiary.</w:t>
      </w:r>
    </w:p>
    <w:p>
      <w:pPr>
        <w:spacing w:after="0" w:line="3" w:lineRule="exact"/>
        <w:rPr>
          <w:rFonts w:ascii="Times New Roman" w:cs="Times New Roman" w:eastAsia="Times New Roman" w:hAnsi="Times New Roman"/>
          <w:sz w:val="18"/>
          <w:szCs w:val="18"/>
          <w:color w:val="auto"/>
        </w:rPr>
      </w:pPr>
    </w:p>
    <w:p>
      <w:pPr>
        <w:ind w:left="460" w:right="240" w:hanging="455"/>
        <w:spacing w:after="0" w:line="246"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March 31, 2024, qualifying assets represent 83% of our total assets and non-qualifying assets represent 17% of our total assets.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Set forth below is a brief description of each portfolio company in which we have made an investment that represents greater than 5% of our total assets as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PennantPark Senior Secured Loan Fund I LLC (Financial Services)</w:t>
      </w:r>
    </w:p>
    <w:p>
      <w:pPr>
        <w:spacing w:after="0" w:line="10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PennantPark Senior Secured Loan Fund I LLC is an unconsolidated joint venture between the Company and certain entities of Kemper Insurance Corporation, or Kemper, which invests primarily in floating rate loans, with an emphasis on senior secured loans, in middle-market leveraged companies.</w:t>
      </w:r>
    </w:p>
    <w:p>
      <w:pPr>
        <w:spacing w:after="0" w:line="169" w:lineRule="exact"/>
        <w:rPr>
          <w:sz w:val="20"/>
          <w:szCs w:val="20"/>
          <w:color w:val="auto"/>
        </w:rPr>
      </w:pPr>
    </w:p>
    <w:p>
      <w:pPr>
        <w:ind w:right="240" w:firstLine="450"/>
        <w:spacing w:after="0" w:line="268" w:lineRule="auto"/>
        <w:rPr>
          <w:sz w:val="20"/>
          <w:szCs w:val="20"/>
          <w:color w:val="auto"/>
        </w:rPr>
      </w:pPr>
      <w:r>
        <w:rPr>
          <w:rFonts w:ascii="Times New Roman" w:cs="Times New Roman" w:eastAsia="Times New Roman" w:hAnsi="Times New Roman"/>
          <w:sz w:val="18"/>
          <w:szCs w:val="18"/>
          <w:color w:val="auto"/>
        </w:rPr>
        <w:t>The table below describes investments by industry classification and enumerates the percentage, by fair value, of the total portfolio assets (excluding cash and cash equivalents) in such industries:</w:t>
      </w:r>
    </w:p>
    <w:p>
      <w:pPr>
        <w:spacing w:after="0" w:line="189" w:lineRule="exact"/>
        <w:rPr>
          <w:sz w:val="20"/>
          <w:szCs w:val="20"/>
          <w:color w:val="auto"/>
        </w:rPr>
      </w:pPr>
    </w:p>
    <w:tbl>
      <w:tblPr>
        <w:tblLayout w:type="fixed"/>
        <w:tblInd w:w="1360" w:type="dxa"/>
        <w:tblCellMar>
          <w:top w:w="0" w:type="dxa"/>
          <w:left w:w="0" w:type="dxa"/>
          <w:bottom w:w="0" w:type="dxa"/>
          <w:right w:w="0" w:type="dxa"/>
        </w:tblCellMar>
      </w:tblPr>
      <w:tr>
        <w:trPr>
          <w:trHeight w:val="169"/>
        </w:trPr>
        <w:tc>
          <w:tcPr>
            <w:tcW w:w="3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Industry Classification</w:t>
            </w:r>
          </w:p>
        </w:tc>
        <w:tc>
          <w:tcPr>
            <w:tcW w:w="3020" w:type="dxa"/>
            <w:vAlign w:val="bottom"/>
            <w:gridSpan w:val="3"/>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March 31, 2024 (1)</w:t>
            </w:r>
          </w:p>
        </w:tc>
        <w:tc>
          <w:tcPr>
            <w:tcW w:w="20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 2023 (1)</w:t>
            </w:r>
          </w:p>
        </w:tc>
      </w:tr>
      <w:tr>
        <w:trPr>
          <w:trHeight w:val="20"/>
        </w:trPr>
        <w:tc>
          <w:tcPr>
            <w:tcW w:w="1360" w:type="dxa"/>
            <w:vAlign w:val="bottom"/>
            <w:tcBorders>
              <w:bottom w:val="single" w:sz="8" w:color="CCEEFF"/>
            </w:tcBorders>
            <w:shd w:val="clear" w:color="auto" w:fill="000000"/>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197"/>
        </w:trPr>
        <w:tc>
          <w:tcPr>
            <w:tcW w:w="3480" w:type="dxa"/>
            <w:vAlign w:val="bottom"/>
            <w:gridSpan w:val="2"/>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Professional Services</w:t>
            </w:r>
          </w:p>
        </w:tc>
        <w:tc>
          <w:tcPr>
            <w:tcW w:w="116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600"/>
              <w:spacing w:after="0" w:line="197" w:lineRule="exact"/>
              <w:rPr>
                <w:sz w:val="20"/>
                <w:szCs w:val="20"/>
                <w:color w:val="auto"/>
              </w:rPr>
            </w:pPr>
            <w:r>
              <w:rPr>
                <w:rFonts w:ascii="Times New Roman" w:cs="Times New Roman" w:eastAsia="Times New Roman" w:hAnsi="Times New Roman"/>
                <w:sz w:val="18"/>
                <w:szCs w:val="18"/>
                <w:color w:val="auto"/>
              </w:rPr>
              <w:t>10%</w:t>
            </w:r>
          </w:p>
        </w:tc>
        <w:tc>
          <w:tcPr>
            <w:tcW w:w="6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197" w:lineRule="exact"/>
              <w:rPr>
                <w:sz w:val="20"/>
                <w:szCs w:val="20"/>
                <w:color w:val="auto"/>
              </w:rPr>
            </w:pPr>
            <w:r>
              <w:rPr>
                <w:rFonts w:ascii="Times New Roman" w:cs="Times New Roman" w:eastAsia="Times New Roman" w:hAnsi="Times New Roman"/>
                <w:sz w:val="18"/>
                <w:szCs w:val="18"/>
                <w:color w:val="auto"/>
              </w:rPr>
              <w:t>7</w:t>
            </w:r>
          </w:p>
        </w:tc>
        <w:tc>
          <w:tcPr>
            <w:tcW w:w="60" w:type="dxa"/>
            <w:vAlign w:val="bottom"/>
            <w:shd w:val="clear" w:color="auto" w:fill="CCEEFF"/>
          </w:tcPr>
          <w:p>
            <w:pPr>
              <w:spacing w:after="0"/>
              <w:rPr>
                <w:sz w:val="17"/>
                <w:szCs w:val="17"/>
                <w:color w:val="auto"/>
              </w:rPr>
            </w:pPr>
          </w:p>
        </w:tc>
      </w:tr>
      <w:tr>
        <w:trPr>
          <w:trHeight w:val="21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Aerospace and Defense</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74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8"/>
                <w:szCs w:val="18"/>
                <w:color w:val="auto"/>
              </w:rPr>
            </w:pPr>
          </w:p>
        </w:tc>
      </w:tr>
      <w:tr>
        <w:trPr>
          <w:trHeight w:val="211"/>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Media</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7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shd w:val="clear" w:color="auto" w:fill="CCEEFF"/>
          </w:tcPr>
          <w:p>
            <w:pPr>
              <w:spacing w:after="0"/>
              <w:rPr>
                <w:sz w:val="18"/>
                <w:szCs w:val="18"/>
                <w:color w:val="auto"/>
              </w:rPr>
            </w:pPr>
          </w:p>
        </w:tc>
      </w:tr>
      <w:tr>
        <w:trPr>
          <w:trHeight w:val="21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Healthcare Providers and Services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74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18"/>
                <w:szCs w:val="18"/>
                <w:color w:val="auto"/>
              </w:rPr>
            </w:pPr>
          </w:p>
        </w:tc>
      </w:tr>
      <w:tr>
        <w:trPr>
          <w:trHeight w:val="192"/>
        </w:trPr>
        <w:tc>
          <w:tcPr>
            <w:tcW w:w="348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Electronic Equipment, Instruments, and</w:t>
            </w:r>
          </w:p>
        </w:tc>
        <w:tc>
          <w:tcPr>
            <w:tcW w:w="1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29"/>
        </w:trPr>
        <w:tc>
          <w:tcPr>
            <w:tcW w:w="3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Components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74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19"/>
                <w:szCs w:val="19"/>
                <w:color w:val="auto"/>
              </w:rPr>
            </w:pPr>
          </w:p>
        </w:tc>
      </w:tr>
      <w:tr>
        <w:trPr>
          <w:trHeight w:val="21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&amp; Engineering</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74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r>
      <w:tr>
        <w:trPr>
          <w:trHeight w:val="211"/>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Personal Products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7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shd w:val="clear" w:color="auto" w:fill="CCEEFF"/>
          </w:tcPr>
          <w:p>
            <w:pPr>
              <w:spacing w:after="0"/>
              <w:rPr>
                <w:sz w:val="18"/>
                <w:szCs w:val="18"/>
                <w:color w:val="auto"/>
              </w:rPr>
            </w:pPr>
          </w:p>
        </w:tc>
      </w:tr>
      <w:tr>
        <w:trPr>
          <w:trHeight w:val="21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 Services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74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8"/>
                <w:szCs w:val="18"/>
                <w:color w:val="auto"/>
              </w:rPr>
            </w:pPr>
          </w:p>
        </w:tc>
      </w:tr>
      <w:tr>
        <w:trPr>
          <w:trHeight w:val="211"/>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Distributors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7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18"/>
                <w:szCs w:val="18"/>
                <w:color w:val="auto"/>
              </w:rPr>
            </w:pPr>
          </w:p>
        </w:tc>
      </w:tr>
      <w:tr>
        <w:trPr>
          <w:trHeight w:val="21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Media: Diversified and Production</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74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8"/>
                <w:szCs w:val="18"/>
                <w:color w:val="auto"/>
              </w:rPr>
            </w:pPr>
          </w:p>
        </w:tc>
      </w:tr>
      <w:tr>
        <w:trPr>
          <w:trHeight w:val="211"/>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Healthcare Technology</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CEEFF"/>
          </w:tcPr>
          <w:p>
            <w:pPr>
              <w:spacing w:after="0"/>
              <w:rPr>
                <w:sz w:val="18"/>
                <w:szCs w:val="18"/>
                <w:color w:val="auto"/>
              </w:rPr>
            </w:pPr>
          </w:p>
        </w:tc>
      </w:tr>
      <w:tr>
        <w:trPr>
          <w:trHeight w:val="21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High Tech Industries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4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8"/>
                <w:szCs w:val="18"/>
                <w:color w:val="auto"/>
              </w:rPr>
            </w:pPr>
          </w:p>
        </w:tc>
      </w:tr>
      <w:tr>
        <w:trPr>
          <w:trHeight w:val="211"/>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Services &amp; Supplies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CEEFF"/>
          </w:tcPr>
          <w:p>
            <w:pPr>
              <w:spacing w:after="0"/>
              <w:rPr>
                <w:sz w:val="18"/>
                <w:szCs w:val="18"/>
                <w:color w:val="auto"/>
              </w:rPr>
            </w:pPr>
          </w:p>
        </w:tc>
      </w:tr>
      <w:tr>
        <w:trPr>
          <w:trHeight w:val="21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and Building</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8"/>
                <w:szCs w:val="18"/>
                <w:color w:val="auto"/>
              </w:rPr>
            </w:pPr>
          </w:p>
        </w:tc>
      </w:tr>
      <w:tr>
        <w:trPr>
          <w:trHeight w:val="211"/>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18"/>
                <w:szCs w:val="18"/>
                <w:color w:val="auto"/>
              </w:rPr>
            </w:pPr>
          </w:p>
        </w:tc>
      </w:tr>
      <w:tr>
        <w:trPr>
          <w:trHeight w:val="21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Equipment</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r>
      <w:tr>
        <w:trPr>
          <w:trHeight w:val="211"/>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Air Freight and Logistics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8"/>
                <w:szCs w:val="18"/>
                <w:color w:val="auto"/>
              </w:rPr>
            </w:pPr>
          </w:p>
        </w:tc>
      </w:tr>
      <w:tr>
        <w:trPr>
          <w:trHeight w:val="21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Auto Components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r>
      <w:tr>
        <w:trPr>
          <w:trHeight w:val="211"/>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Automobiles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18"/>
                <w:szCs w:val="18"/>
                <w:color w:val="auto"/>
              </w:rPr>
            </w:pPr>
          </w:p>
        </w:tc>
      </w:tr>
      <w:tr>
        <w:trPr>
          <w:trHeight w:val="21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Services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r>
      <w:tr>
        <w:trPr>
          <w:trHeight w:val="211"/>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Chemicals, Plastics and Rubber</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18"/>
                <w:szCs w:val="18"/>
                <w:color w:val="auto"/>
              </w:rPr>
            </w:pPr>
          </w:p>
        </w:tc>
      </w:tr>
      <w:tr>
        <w:trPr>
          <w:trHeight w:val="21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 Services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r>
      <w:tr>
        <w:trPr>
          <w:trHeight w:val="211"/>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Diversified Consumer Services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18"/>
                <w:szCs w:val="18"/>
                <w:color w:val="auto"/>
              </w:rPr>
            </w:pPr>
          </w:p>
        </w:tc>
      </w:tr>
      <w:tr>
        <w:trPr>
          <w:trHeight w:val="21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Diversified Financial Services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r>
      <w:tr>
        <w:trPr>
          <w:trHeight w:val="211"/>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Equipment and Services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8"/>
                <w:szCs w:val="18"/>
                <w:color w:val="auto"/>
              </w:rPr>
            </w:pPr>
          </w:p>
        </w:tc>
      </w:tr>
      <w:tr>
        <w:trPr>
          <w:trHeight w:val="21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Services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r>
      <w:tr>
        <w:trPr>
          <w:trHeight w:val="211"/>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Products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8"/>
                <w:szCs w:val="18"/>
                <w:color w:val="auto"/>
              </w:rPr>
            </w:pPr>
          </w:p>
        </w:tc>
      </w:tr>
      <w:tr>
        <w:trPr>
          <w:trHeight w:val="355"/>
        </w:trPr>
        <w:tc>
          <w:tcPr>
            <w:tcW w:w="13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1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34</w:t>
            </w: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292" w:right="439" w:bottom="1440" w:gutter="0" w:footer="0" w:header="0"/>
        </w:sectPr>
      </w:pPr>
    </w:p>
    <w:bookmarkStart w:id="37" w:name="page38"/>
    <w:bookmarkEnd w:id="3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178040" cy="54610"/>
                    </a:xfrm>
                    <a:prstGeom prst="rect">
                      <a:avLst/>
                    </a:prstGeom>
                    <a:noFill/>
                  </pic:spPr>
                </pic:pic>
              </a:graphicData>
            </a:graphic>
          </wp:anchor>
        </w:drawing>
      </w:r>
    </w:p>
    <w:tbl>
      <w:tblPr>
        <w:tblLayout w:type="fixed"/>
        <w:tblInd w:w="1360" w:type="dxa"/>
        <w:tblCellMar>
          <w:top w:w="0" w:type="dxa"/>
          <w:left w:w="0" w:type="dxa"/>
          <w:bottom w:w="0" w:type="dxa"/>
          <w:right w:w="0" w:type="dxa"/>
        </w:tblCellMar>
      </w:tblPr>
      <w:tr>
        <w:trPr>
          <w:trHeight w:val="169"/>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Industry Classification</w:t>
            </w:r>
          </w:p>
        </w:tc>
        <w:tc>
          <w:tcPr>
            <w:tcW w:w="2840" w:type="dxa"/>
            <w:vAlign w:val="bottom"/>
            <w:gridSpan w:val="3"/>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March 31, 2024 (1)</w:t>
            </w:r>
          </w:p>
        </w:tc>
        <w:tc>
          <w:tcPr>
            <w:tcW w:w="21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September 30, 2023 (1)</w:t>
            </w:r>
          </w:p>
        </w:tc>
      </w:tr>
      <w:tr>
        <w:trPr>
          <w:trHeight w:val="20"/>
        </w:trPr>
        <w:tc>
          <w:tcPr>
            <w:tcW w:w="1360" w:type="dxa"/>
            <w:vAlign w:val="bottom"/>
            <w:tcBorders>
              <w:bottom w:val="single" w:sz="8" w:color="CCEEFF"/>
            </w:tcBorders>
            <w:shd w:val="clear" w:color="auto" w:fill="000000"/>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197"/>
        </w:trPr>
        <w:tc>
          <w:tcPr>
            <w:tcW w:w="3520" w:type="dxa"/>
            <w:vAlign w:val="bottom"/>
            <w:gridSpan w:val="2"/>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Healthcare Equipment and Supplies</w:t>
            </w:r>
          </w:p>
        </w:tc>
        <w:tc>
          <w:tcPr>
            <w:tcW w:w="9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197" w:lineRule="exact"/>
              <w:rPr>
                <w:sz w:val="20"/>
                <w:szCs w:val="20"/>
                <w:color w:val="auto"/>
              </w:rPr>
            </w:pPr>
            <w:r>
              <w:rPr>
                <w:rFonts w:ascii="Times New Roman" w:cs="Times New Roman" w:eastAsia="Times New Roman" w:hAnsi="Times New Roman"/>
                <w:sz w:val="18"/>
                <w:szCs w:val="18"/>
                <w:color w:val="auto"/>
              </w:rPr>
              <w:t>1</w:t>
            </w:r>
          </w:p>
        </w:tc>
        <w:tc>
          <w:tcPr>
            <w:tcW w:w="7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197" w:lineRule="exact"/>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7"/>
                <w:szCs w:val="17"/>
                <w:color w:val="auto"/>
              </w:rPr>
            </w:pPr>
          </w:p>
        </w:tc>
      </w:tr>
      <w:tr>
        <w:trPr>
          <w:trHeight w:val="211"/>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Hotels, Restaurants and Leisure</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r>
      <w:tr>
        <w:trPr>
          <w:trHeight w:val="211"/>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Internet Software and Services</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r>
      <w:tr>
        <w:trPr>
          <w:trHeight w:val="211"/>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Leisure Products</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r>
      <w:tr>
        <w:trPr>
          <w:trHeight w:val="211"/>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Metals and Mining</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r>
      <w:tr>
        <w:trPr>
          <w:trHeight w:val="211"/>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Textiles, Apparel and Luxury Goods</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r>
      <w:tr>
        <w:trPr>
          <w:trHeight w:val="211"/>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w:t>
            </w:r>
          </w:p>
        </w:tc>
        <w:tc>
          <w:tcPr>
            <w:tcW w:w="96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r>
      <w:tr>
        <w:trPr>
          <w:trHeight w:val="217"/>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60" w:type="dxa"/>
            <w:vAlign w:val="bottom"/>
          </w:tcPr>
          <w:p>
            <w:pPr>
              <w:spacing w:after="0"/>
              <w:rPr>
                <w:sz w:val="18"/>
                <w:szCs w:val="18"/>
                <w:color w:val="auto"/>
              </w:rPr>
            </w:pPr>
          </w:p>
        </w:tc>
        <w:tc>
          <w:tcPr>
            <w:tcW w:w="18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100%</w:t>
            </w:r>
          </w:p>
        </w:tc>
        <w:tc>
          <w:tcPr>
            <w:tcW w:w="62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13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8549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0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w w:val="93"/>
              </w:rPr>
              <w:t>(1)</w:t>
            </w:r>
          </w:p>
        </w:tc>
        <w:tc>
          <w:tcPr>
            <w:tcW w:w="5420" w:type="dxa"/>
            <w:vAlign w:val="bottom"/>
            <w:vMerge w:val="restart"/>
          </w:tcPr>
          <w:p>
            <w:pPr>
              <w:jc w:val="right"/>
              <w:ind w:right="2992"/>
              <w:spacing w:after="0"/>
              <w:rPr>
                <w:sz w:val="20"/>
                <w:szCs w:val="20"/>
                <w:color w:val="auto"/>
              </w:rPr>
            </w:pPr>
            <w:r>
              <w:rPr>
                <w:rFonts w:ascii="Times New Roman" w:cs="Times New Roman" w:eastAsia="Times New Roman" w:hAnsi="Times New Roman"/>
                <w:sz w:val="18"/>
                <w:szCs w:val="18"/>
                <w:color w:val="auto"/>
              </w:rPr>
              <w:t>Excludes investments in PSSL.</w:t>
            </w:r>
          </w:p>
        </w:tc>
        <w:tc>
          <w:tcPr>
            <w:tcW w:w="0" w:type="dxa"/>
            <w:vAlign w:val="bottom"/>
          </w:tcPr>
          <w:p>
            <w:pPr>
              <w:spacing w:after="0"/>
              <w:rPr>
                <w:sz w:val="1"/>
                <w:szCs w:val="1"/>
                <w:color w:val="auto"/>
              </w:rPr>
            </w:pPr>
          </w:p>
        </w:tc>
      </w:tr>
      <w:tr>
        <w:trPr>
          <w:trHeight w:val="86"/>
        </w:trPr>
        <w:tc>
          <w:tcPr>
            <w:tcW w:w="300" w:type="dxa"/>
            <w:vAlign w:val="bottom"/>
          </w:tcPr>
          <w:p>
            <w:pPr>
              <w:spacing w:after="0"/>
              <w:rPr>
                <w:sz w:val="7"/>
                <w:szCs w:val="7"/>
                <w:color w:val="auto"/>
              </w:rPr>
            </w:pPr>
          </w:p>
        </w:tc>
        <w:tc>
          <w:tcPr>
            <w:tcW w:w="5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55"/>
        </w:trPr>
        <w:tc>
          <w:tcPr>
            <w:tcW w:w="300" w:type="dxa"/>
            <w:vAlign w:val="bottom"/>
          </w:tcPr>
          <w:p>
            <w:pPr>
              <w:spacing w:after="0"/>
              <w:rPr>
                <w:sz w:val="24"/>
                <w:szCs w:val="24"/>
                <w:color w:val="auto"/>
              </w:rPr>
            </w:pPr>
          </w:p>
        </w:tc>
        <w:tc>
          <w:tcPr>
            <w:tcW w:w="5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bl>
    <w:p>
      <w:pPr>
        <w:sectPr>
          <w:pgSz w:w="11900" w:h="16838" w:orient="portrait"/>
          <w:cols w:equalWidth="0" w:num="1">
            <w:col w:w="10139"/>
          </w:cols>
          <w:pgMar w:left="320" w:top="286" w:right="1440" w:bottom="1440" w:gutter="0" w:footer="0" w:header="0"/>
        </w:sectPr>
      </w:pPr>
    </w:p>
    <w:bookmarkStart w:id="38" w:name="page39"/>
    <w:bookmarkEnd w:id="38"/>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7178040" cy="54610"/>
                    </a:xfrm>
                    <a:prstGeom prst="rect">
                      <a:avLst/>
                    </a:prstGeom>
                    <a:noFill/>
                  </pic:spPr>
                </pic:pic>
              </a:graphicData>
            </a:graphic>
          </wp:anchor>
        </w:drawing>
        <w:t>MANAGEMENT OF THE COMPANY</w:t>
      </w:r>
    </w:p>
    <w:p>
      <w:pPr>
        <w:spacing w:after="0" w:line="216" w:lineRule="exact"/>
        <w:rPr>
          <w:sz w:val="20"/>
          <w:szCs w:val="20"/>
          <w:color w:val="auto"/>
        </w:rPr>
      </w:pPr>
    </w:p>
    <w:p>
      <w:pPr>
        <w:ind w:firstLine="45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in the sections entitled “Security Ownership of Certain Beneficial Owners and Management,” “Information About the Nominees and Directors,” “Corporate Governance,” and “Board’s Oversight Role in Management” in our most recent Definitive Proxy Statement on </w:t>
      </w:r>
      <w:hyperlink r:id="rId70">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is incorporated herein by reference.</w:t>
      </w:r>
    </w:p>
    <w:p>
      <w:pPr>
        <w:spacing w:after="0" w:line="1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60"/>
          </w:cols>
          <w:pgMar w:left="320" w:top="290" w:right="619" w:bottom="1440" w:gutter="0" w:footer="0" w:header="0"/>
        </w:sectPr>
      </w:pPr>
    </w:p>
    <w:bookmarkStart w:id="39" w:name="page40"/>
    <w:bookmarkEnd w:id="3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178040" cy="54610"/>
                    </a:xfrm>
                    <a:prstGeom prst="rect">
                      <a:avLst/>
                    </a:prstGeom>
                    <a:noFill/>
                  </pic:spPr>
                </pic:pic>
              </a:graphicData>
            </a:graphic>
          </wp:anchor>
        </w:drawing>
        <w:t>INVESTMENT MANAGEMENT AND ADMINISTRATION AGREEMENT</w:t>
      </w:r>
    </w:p>
    <w:p>
      <w:pPr>
        <w:spacing w:after="0" w:line="216" w:lineRule="exact"/>
        <w:rPr>
          <w:sz w:val="20"/>
          <w:szCs w:val="20"/>
          <w:color w:val="auto"/>
        </w:rPr>
      </w:pPr>
    </w:p>
    <w:p>
      <w:pPr>
        <w:ind w:firstLine="450"/>
        <w:spacing w:after="0" w:line="252"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information in the section entitled “Business—Investment Management Agreement,” “Business—Investment Advisory Fees,” “Business— Organization of the Investment Adviser,” “Business—Administration Agreements” in Part I, Item 1 of our most recent Annual Report on </w:t>
      </w:r>
      <w:hyperlink r:id="rId2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in the notes to our consolidated financial statements under the caption “Note 3. Agreements and Related Party Transactions” in our most recent Annual Report on </w:t>
      </w:r>
      <w:hyperlink r:id="rId3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is</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incorporated herein by reference.</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00"/>
          </w:cols>
          <w:pgMar w:left="320" w:top="290" w:right="37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7178040" cy="54610"/>
                    </a:xfrm>
                    <a:prstGeom prst="rect">
                      <a:avLst/>
                    </a:prstGeom>
                    <a:noFill/>
                  </pic:spPr>
                </pic:pic>
              </a:graphicData>
            </a:graphic>
          </wp:anchor>
        </w:drawing>
        <w:t>PORTFOLIO MANAGEMENT</w:t>
      </w:r>
    </w:p>
    <w:p>
      <w:pPr>
        <w:spacing w:after="0" w:line="216" w:lineRule="exact"/>
        <w:rPr>
          <w:sz w:val="20"/>
          <w:szCs w:val="20"/>
          <w:color w:val="auto"/>
        </w:rPr>
      </w:pPr>
    </w:p>
    <w:p>
      <w:pPr>
        <w:ind w:right="60" w:firstLine="450"/>
        <w:spacing w:after="0" w:line="247" w:lineRule="auto"/>
        <w:rPr>
          <w:sz w:val="20"/>
          <w:szCs w:val="20"/>
          <w:color w:val="auto"/>
        </w:rPr>
      </w:pPr>
      <w:r>
        <w:rPr>
          <w:rFonts w:ascii="Times New Roman" w:cs="Times New Roman" w:eastAsia="Times New Roman" w:hAnsi="Times New Roman"/>
          <w:sz w:val="18"/>
          <w:szCs w:val="18"/>
          <w:color w:val="auto"/>
        </w:rPr>
        <w:t>Our Investment Adviser, which manages our day-to-day investment activities under the supervision of our board of directors, has nine experienced portfolio managers. These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portfolio managers receive no compensation from us. The compensation of these individuals is paid by our Investment Adviser and compensation includes a base salary and a bonus contingent upon past and future performance.</w:t>
      </w:r>
    </w:p>
    <w:p>
      <w:pPr>
        <w:spacing w:after="0" w:line="191" w:lineRule="exact"/>
        <w:rPr>
          <w:sz w:val="20"/>
          <w:szCs w:val="20"/>
          <w:color w:val="auto"/>
        </w:rPr>
      </w:pPr>
    </w:p>
    <w:p>
      <w:pPr>
        <w:ind w:right="40" w:firstLine="450"/>
        <w:spacing w:after="0" w:line="246" w:lineRule="auto"/>
        <w:rPr>
          <w:sz w:val="20"/>
          <w:szCs w:val="20"/>
          <w:color w:val="auto"/>
        </w:rPr>
      </w:pPr>
      <w:r>
        <w:rPr>
          <w:rFonts w:ascii="Times New Roman" w:cs="Times New Roman" w:eastAsia="Times New Roman" w:hAnsi="Times New Roman"/>
          <w:sz w:val="18"/>
          <w:szCs w:val="18"/>
          <w:color w:val="auto"/>
        </w:rPr>
        <w:t>Arthur H. Penn became the Chief Executive Officer and a Director of PennantPark Floating Rate Capital Ltd. at its inception in 2010. Mr. Penn is the Founder, Chairman and Chief Executive Officer of the Company and Managing Member of the Adviser and the Administrator.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 Yield Capital Markets at Lehman Brothers.</w:t>
      </w:r>
    </w:p>
    <w:p>
      <w:pPr>
        <w:spacing w:after="0" w:line="194" w:lineRule="exact"/>
        <w:rPr>
          <w:sz w:val="20"/>
          <w:szCs w:val="20"/>
          <w:color w:val="auto"/>
        </w:rPr>
      </w:pPr>
    </w:p>
    <w:p>
      <w:pPr>
        <w:ind w:firstLine="450"/>
        <w:spacing w:after="0" w:line="250" w:lineRule="auto"/>
        <w:rPr>
          <w:sz w:val="20"/>
          <w:szCs w:val="20"/>
          <w:color w:val="auto"/>
        </w:rPr>
      </w:pPr>
      <w:r>
        <w:rPr>
          <w:rFonts w:ascii="Times New Roman" w:cs="Times New Roman" w:eastAsia="Times New Roman" w:hAnsi="Times New Roman"/>
          <w:sz w:val="18"/>
          <w:szCs w:val="18"/>
          <w:color w:val="auto"/>
        </w:rPr>
        <w:t>José A. Briones joined PennantPark Investment Advisers in December 2009 and became a member of the Board of Directors of PennantPark Floating Rate Capital Ltd. on May 3, 2022. Previously, Mr. Briones was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85" w:lineRule="exact"/>
        <w:rPr>
          <w:sz w:val="20"/>
          <w:szCs w:val="20"/>
          <w:color w:val="auto"/>
        </w:rPr>
      </w:pPr>
    </w:p>
    <w:p>
      <w:pPr>
        <w:ind w:right="220" w:firstLine="450"/>
        <w:spacing w:after="0" w:line="250" w:lineRule="auto"/>
        <w:rPr>
          <w:sz w:val="20"/>
          <w:szCs w:val="20"/>
          <w:color w:val="auto"/>
        </w:rPr>
      </w:pPr>
      <w:r>
        <w:rPr>
          <w:rFonts w:ascii="Times New Roman" w:cs="Times New Roman" w:eastAsia="Times New Roman" w:hAnsi="Times New Roman"/>
          <w:sz w:val="18"/>
          <w:szCs w:val="18"/>
          <w:color w:val="auto"/>
        </w:rPr>
        <w:t>Salvatore Giannetti III joined PennantPark Investment Advisers in February 2007. Previously, Mr. Giannetti was a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85" w:lineRule="exact"/>
        <w:rPr>
          <w:sz w:val="20"/>
          <w:szCs w:val="20"/>
          <w:color w:val="auto"/>
        </w:rPr>
      </w:pPr>
    </w:p>
    <w:p>
      <w:pPr>
        <w:ind w:right="380" w:firstLine="450"/>
        <w:spacing w:after="0" w:line="332" w:lineRule="auto"/>
        <w:rPr>
          <w:sz w:val="20"/>
          <w:szCs w:val="20"/>
          <w:color w:val="auto"/>
        </w:rPr>
      </w:pPr>
      <w:r>
        <w:rPr>
          <w:rFonts w:ascii="Times New Roman" w:cs="Times New Roman" w:eastAsia="Times New Roman" w:hAnsi="Times New Roman"/>
          <w:sz w:val="16"/>
          <w:szCs w:val="16"/>
          <w:color w:val="auto"/>
        </w:rPr>
        <w:t>Michael Appelbaum joined PennantPark Investment Advisers in August 2011. Previously, Mr. Appelbaum was an Analyst in the Leveraged Finance Group at Bank of America Merrill Lynch from 2010 to 2011 and an Analyst in Aerospace and Defense Finance at CIT Group from 2007 to 2010.</w:t>
      </w:r>
    </w:p>
    <w:p>
      <w:pPr>
        <w:spacing w:after="0" w:line="123" w:lineRule="exact"/>
        <w:rPr>
          <w:sz w:val="20"/>
          <w:szCs w:val="20"/>
          <w:color w:val="auto"/>
        </w:rPr>
      </w:pPr>
    </w:p>
    <w:p>
      <w:pPr>
        <w:ind w:right="20" w:firstLine="450"/>
        <w:spacing w:after="0" w:line="256" w:lineRule="auto"/>
        <w:rPr>
          <w:sz w:val="20"/>
          <w:szCs w:val="20"/>
          <w:color w:val="auto"/>
        </w:rPr>
      </w:pPr>
      <w:r>
        <w:rPr>
          <w:rFonts w:ascii="Times New Roman" w:cs="Times New Roman" w:eastAsia="Times New Roman" w:hAnsi="Times New Roman"/>
          <w:sz w:val="18"/>
          <w:szCs w:val="18"/>
          <w:color w:val="auto"/>
        </w:rPr>
        <w:t>Terence Clerkin joined PennantPark Investment Advisers in September 2012. Previously, Mr. Clerkin was an Associate in the Mezzanine Group at Crescent Capital from 2010 to 2012. Before that, he was an Analyst at Moelis &amp; Company from 2008 to 2010 and an Analyst at Bear, Stearns &amp; Co. from 2007 to 2008.</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290" w:right="339" w:bottom="1440" w:gutter="0" w:footer="0" w:header="0"/>
        </w:sectPr>
      </w:pPr>
    </w:p>
    <w:bookmarkStart w:id="41" w:name="page42"/>
    <w:bookmarkEnd w:id="41"/>
    <w:p>
      <w:pPr>
        <w:ind w:right="40" w:firstLine="45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178040" cy="54610"/>
                    </a:xfrm>
                    <a:prstGeom prst="rect">
                      <a:avLst/>
                    </a:prstGeom>
                    <a:noFill/>
                  </pic:spPr>
                </pic:pic>
              </a:graphicData>
            </a:graphic>
          </wp:anchor>
        </w:drawing>
        <w:t>Dan Horn joined PennantPark Investment Advisers in June 2015. Previously, Mr. Horn spent two and a half years at Loop Capital Markets in the Corporate Investment Banking Division based in Chicago from 2013 to 2015, two years in a similar role at boutique firm TTK Partners from 2011 to 2013, and 12 years at Deutsche Bank Securities and its predecessor firm, Bankers Trust, from 1991 to 2003. He also served as Chief Financial Officer of Unicous Marketing from 2005 to 2008, and served as Vice President of Finance at GDX Automotive in 2004.</w:t>
      </w:r>
    </w:p>
    <w:p>
      <w:pPr>
        <w:spacing w:after="0" w:line="183" w:lineRule="exact"/>
        <w:rPr>
          <w:sz w:val="20"/>
          <w:szCs w:val="20"/>
          <w:color w:val="auto"/>
        </w:rPr>
      </w:pPr>
    </w:p>
    <w:p>
      <w:pPr>
        <w:ind w:right="220" w:firstLine="450"/>
        <w:spacing w:after="0" w:line="268" w:lineRule="auto"/>
        <w:rPr>
          <w:sz w:val="20"/>
          <w:szCs w:val="20"/>
          <w:color w:val="auto"/>
        </w:rPr>
      </w:pPr>
      <w:r>
        <w:rPr>
          <w:rFonts w:ascii="Times New Roman" w:cs="Times New Roman" w:eastAsia="Times New Roman" w:hAnsi="Times New Roman"/>
          <w:sz w:val="18"/>
          <w:szCs w:val="18"/>
          <w:color w:val="auto"/>
        </w:rPr>
        <w:t>Ryan Raskopf joined PennantPark Investment Advisers in August 2007. Previously, Mr. Raskopf was an Analyst in the Financial Institutions Group at Credit Suisse Securities (USA) LLC from 2005 to 2007.</w:t>
      </w:r>
    </w:p>
    <w:p>
      <w:pPr>
        <w:spacing w:after="0" w:line="169" w:lineRule="exact"/>
        <w:rPr>
          <w:sz w:val="20"/>
          <w:szCs w:val="20"/>
          <w:color w:val="auto"/>
        </w:rPr>
      </w:pPr>
    </w:p>
    <w:p>
      <w:pPr>
        <w:ind w:right="240" w:firstLine="450"/>
        <w:spacing w:after="0" w:line="293" w:lineRule="auto"/>
        <w:rPr>
          <w:sz w:val="20"/>
          <w:szCs w:val="20"/>
          <w:color w:val="auto"/>
        </w:rPr>
      </w:pPr>
      <w:r>
        <w:rPr>
          <w:rFonts w:ascii="Times New Roman" w:cs="Times New Roman" w:eastAsia="Times New Roman" w:hAnsi="Times New Roman"/>
          <w:sz w:val="16"/>
          <w:szCs w:val="16"/>
          <w:color w:val="auto"/>
        </w:rPr>
        <w:t>James Stone joined PennantPark Investment Advisers in July 2015. Previously, Mr. Stone was a Managing Director and Head of Financial Sponsor Coverage at Cowen and Company, which he joined in 2012. He has over 20 years of leveraged finance experience, including Managing Director positions at Gleacher &amp; Company, Macquarie Capital, Imperial Capital, and Credit Suisse. Before joining Credit Suisse, he served as a Vice President in the Financial Sponsor Coverage Group at DLJ, as an Associate in the Corporate Finance Department at BT Securities, and was an Associate at BT Alex. Brown.</w:t>
      </w:r>
    </w:p>
    <w:p>
      <w:pPr>
        <w:spacing w:after="0" w:line="154"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6"/>
          <w:szCs w:val="16"/>
          <w:color w:val="auto"/>
        </w:rPr>
        <w:t>Steve Winograd joined PennantPark Investment Advisers in September 2015. Previously, Mr. Winograd spent 33 years in Investment Banking, Restructuring Advisory and Private Equity Investing. His Investment Banking experience includes 25 years originating and executing leveraged finance, M&amp;A, and public and private equity transactions for private equity firms and their portfolio companies. During this period, he held senior positions in the Financial Sponsors Groups of BMO Capital Markets from 2011 to 2015, Bank of America Merrill Lynch from 2004 to 2011, Deutsche Bank from 2000 to 2004, Bear Stearns from 1994 to 2000, and Drexel Burnham Lambert from 1984 to 1989. He was also an associate for two years in the Corporate Finance Group of Shearson/American Express from 1982 to 1984. His Restructuring Advisory experience includes four years originating, negotiating and consummating restructuring advisory assignments at The Argosy Group from 1992 to 1994 and the Mercury Financial Group from 1990 to 1992. His Private Equity experience includes two years originating and closing control private equity investments as a General Partner of The Blackstone Group from 1989 to 1990.</w:t>
      </w:r>
    </w:p>
    <w:p>
      <w:pPr>
        <w:spacing w:after="0" w:line="1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to managing our investments, as of March 31, 2024, our portfolio managers also managed investments on behalf of the following entities: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40" w:type="dxa"/>
            <w:vAlign w:val="bottom"/>
            <w:vMerge w:val="restart"/>
          </w:tcPr>
          <w:p>
            <w:pPr>
              <w:ind w:left="16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780" w:type="dxa"/>
            <w:vAlign w:val="bottom"/>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3680" w:type="dxa"/>
            <w:vAlign w:val="bottom"/>
            <w:vMerge w:val="restart"/>
          </w:tcPr>
          <w:p>
            <w:pPr>
              <w:ind w:left="1360"/>
              <w:spacing w:after="0"/>
              <w:rPr>
                <w:sz w:val="20"/>
                <w:szCs w:val="20"/>
                <w:color w:val="auto"/>
              </w:rPr>
            </w:pPr>
            <w:r>
              <w:rPr>
                <w:rFonts w:ascii="Times New Roman" w:cs="Times New Roman" w:eastAsia="Times New Roman" w:hAnsi="Times New Roman"/>
                <w:sz w:val="14"/>
                <w:szCs w:val="14"/>
                <w:b w:val="1"/>
                <w:bCs w:val="1"/>
                <w:color w:val="auto"/>
              </w:rPr>
              <w:t>Investment Focus</w:t>
            </w:r>
          </w:p>
        </w:tc>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Gross Assets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40" w:type="dxa"/>
            <w:vAlign w:val="bottom"/>
            <w:vMerge w:val="continue"/>
          </w:tcPr>
          <w:p>
            <w:pPr>
              <w:spacing w:after="0"/>
              <w:rPr>
                <w:sz w:val="14"/>
                <w:szCs w:val="14"/>
                <w:color w:val="auto"/>
              </w:rPr>
            </w:pPr>
          </w:p>
        </w:tc>
        <w:tc>
          <w:tcPr>
            <w:tcW w:w="2780" w:type="dxa"/>
            <w:vAlign w:val="bottom"/>
            <w:vMerge w:val="continue"/>
          </w:tcPr>
          <w:p>
            <w:pPr>
              <w:spacing w:after="0"/>
              <w:rPr>
                <w:sz w:val="14"/>
                <w:szCs w:val="14"/>
                <w:color w:val="auto"/>
              </w:rPr>
            </w:pPr>
          </w:p>
        </w:tc>
        <w:tc>
          <w:tcPr>
            <w:tcW w:w="3680" w:type="dxa"/>
            <w:vAlign w:val="bottom"/>
            <w:vMerge w:val="continue"/>
          </w:tcPr>
          <w:p>
            <w:pPr>
              <w:spacing w:after="0"/>
              <w:rPr>
                <w:sz w:val="14"/>
                <w:szCs w:val="14"/>
                <w:color w:val="auto"/>
              </w:rPr>
            </w:pP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PennantPark Investment Corporation</w:t>
            </w:r>
          </w:p>
        </w:tc>
        <w:tc>
          <w:tcPr>
            <w:tcW w:w="2780" w:type="dxa"/>
            <w:vAlign w:val="bottom"/>
            <w:shd w:val="clear" w:color="auto" w:fill="CCEEFF"/>
          </w:tcPr>
          <w:p>
            <w:pPr>
              <w:ind w:left="380"/>
              <w:spacing w:after="0" w:line="192" w:lineRule="exact"/>
              <w:rPr>
                <w:sz w:val="20"/>
                <w:szCs w:val="20"/>
                <w:color w:val="auto"/>
              </w:rPr>
            </w:pPr>
            <w:r>
              <w:rPr>
                <w:rFonts w:ascii="Times New Roman" w:cs="Times New Roman" w:eastAsia="Times New Roman" w:hAnsi="Times New Roman"/>
                <w:sz w:val="18"/>
                <w:szCs w:val="18"/>
                <w:color w:val="auto"/>
              </w:rPr>
              <w:t>Business development company</w:t>
            </w:r>
          </w:p>
        </w:tc>
        <w:tc>
          <w:tcPr>
            <w:tcW w:w="3680" w:type="dxa"/>
            <w:vAlign w:val="bottom"/>
            <w:shd w:val="clear" w:color="auto" w:fill="CCEEFF"/>
          </w:tcPr>
          <w:p>
            <w:pPr>
              <w:ind w:left="160"/>
              <w:spacing w:after="0" w:line="192" w:lineRule="exact"/>
              <w:rPr>
                <w:sz w:val="20"/>
                <w:szCs w:val="20"/>
                <w:color w:val="auto"/>
              </w:rPr>
            </w:pPr>
            <w:r>
              <w:rPr>
                <w:rFonts w:ascii="Times New Roman" w:cs="Times New Roman" w:eastAsia="Times New Roman" w:hAnsi="Times New Roman"/>
                <w:sz w:val="18"/>
                <w:szCs w:val="18"/>
                <w:color w:val="auto"/>
              </w:rPr>
              <w:t>Primarily in U.S. middle market companies in</w:t>
            </w:r>
          </w:p>
        </w:tc>
        <w:tc>
          <w:tcPr>
            <w:tcW w:w="500" w:type="dxa"/>
            <w:vAlign w:val="bottom"/>
            <w:shd w:val="clear" w:color="auto" w:fill="CCEEFF"/>
          </w:tcPr>
          <w:p>
            <w:pPr>
              <w:ind w:left="240"/>
              <w:spacing w:after="0" w:line="192"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1,291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3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the form of first lien secured loans, second lien</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3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secured debt, subordinated debt and equity</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shd w:val="clear" w:color="auto" w:fill="CCEEFF"/>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3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investments</w:t>
            </w:r>
          </w:p>
        </w:tc>
        <w:tc>
          <w:tcPr>
            <w:tcW w:w="5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PennantPark Senior Secured Loan Fund I LLC</w:t>
            </w:r>
          </w:p>
        </w:tc>
        <w:tc>
          <w:tcPr>
            <w:tcW w:w="2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Joint Venture</w:t>
            </w:r>
          </w:p>
        </w:tc>
        <w:tc>
          <w:tcPr>
            <w:tcW w:w="3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Primarily floating rate loans, with an emphasis</w:t>
            </w:r>
          </w:p>
        </w:tc>
        <w:tc>
          <w:tcPr>
            <w:tcW w:w="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on senior secured loans, in middle-market</w:t>
            </w: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3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leveraged companies.</w:t>
            </w: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vMerge w:val="restart"/>
          </w:tcPr>
          <w:p>
            <w:pPr>
              <w:spacing w:after="0"/>
              <w:rPr>
                <w:sz w:val="9"/>
                <w:szCs w:val="9"/>
                <w:color w:val="auto"/>
              </w:rPr>
            </w:pPr>
          </w:p>
        </w:tc>
        <w:tc>
          <w:tcPr>
            <w:tcW w:w="3640" w:type="dxa"/>
            <w:vAlign w:val="bottom"/>
          </w:tcPr>
          <w:p>
            <w:pPr>
              <w:spacing w:after="0"/>
              <w:rPr>
                <w:sz w:val="9"/>
                <w:szCs w:val="9"/>
                <w:color w:val="auto"/>
              </w:rPr>
            </w:pPr>
          </w:p>
        </w:tc>
        <w:tc>
          <w:tcPr>
            <w:tcW w:w="27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64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PennantPark Senior Loan Fund, LLC</w:t>
            </w:r>
          </w:p>
        </w:tc>
        <w:tc>
          <w:tcPr>
            <w:tcW w:w="2780" w:type="dxa"/>
            <w:vAlign w:val="bottom"/>
            <w:shd w:val="clear" w:color="auto" w:fill="CCEEFF"/>
          </w:tcPr>
          <w:p>
            <w:pPr>
              <w:ind w:left="380"/>
              <w:spacing w:after="0" w:line="192" w:lineRule="exact"/>
              <w:rPr>
                <w:sz w:val="20"/>
                <w:szCs w:val="20"/>
                <w:color w:val="auto"/>
              </w:rPr>
            </w:pPr>
            <w:r>
              <w:rPr>
                <w:rFonts w:ascii="Times New Roman" w:cs="Times New Roman" w:eastAsia="Times New Roman" w:hAnsi="Times New Roman"/>
                <w:sz w:val="18"/>
                <w:szCs w:val="18"/>
                <w:color w:val="auto"/>
              </w:rPr>
              <w:t>Joint Venture</w:t>
            </w:r>
          </w:p>
        </w:tc>
        <w:tc>
          <w:tcPr>
            <w:tcW w:w="3680" w:type="dxa"/>
            <w:vAlign w:val="bottom"/>
            <w:shd w:val="clear" w:color="auto" w:fill="CCEEFF"/>
          </w:tcPr>
          <w:p>
            <w:pPr>
              <w:ind w:left="160"/>
              <w:spacing w:after="0" w:line="192" w:lineRule="exact"/>
              <w:rPr>
                <w:sz w:val="20"/>
                <w:szCs w:val="20"/>
                <w:color w:val="auto"/>
              </w:rPr>
            </w:pPr>
            <w:r>
              <w:rPr>
                <w:rFonts w:ascii="Times New Roman" w:cs="Times New Roman" w:eastAsia="Times New Roman" w:hAnsi="Times New Roman"/>
                <w:sz w:val="18"/>
                <w:szCs w:val="18"/>
                <w:color w:val="auto"/>
              </w:rPr>
              <w:t>Primarily invests in middle-market and other</w:t>
            </w:r>
          </w:p>
        </w:tc>
        <w:tc>
          <w:tcPr>
            <w:tcW w:w="500" w:type="dxa"/>
            <w:vAlign w:val="bottom"/>
            <w:shd w:val="clear" w:color="auto" w:fill="CCEEFF"/>
          </w:tcPr>
          <w:p>
            <w:pPr>
              <w:ind w:left="240"/>
              <w:spacing w:after="0" w:line="192"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3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 debt consistent with PennantPark</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shd w:val="clear" w:color="auto" w:fill="CCEEFF"/>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3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 Corporation’s strategy.</w:t>
            </w:r>
          </w:p>
        </w:tc>
        <w:tc>
          <w:tcPr>
            <w:tcW w:w="5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75"/>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Managed Funds or Accounts</w:t>
            </w:r>
            <w:r>
              <w:rPr>
                <w:rFonts w:ascii="Times New Roman" w:cs="Times New Roman" w:eastAsia="Times New Roman" w:hAnsi="Times New Roman"/>
                <w:sz w:val="21"/>
                <w:szCs w:val="21"/>
                <w:color w:val="auto"/>
                <w:vertAlign w:val="superscript"/>
              </w:rPr>
              <w:t>(1)</w:t>
            </w:r>
          </w:p>
        </w:tc>
        <w:tc>
          <w:tcPr>
            <w:tcW w:w="2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Direct Lending Funds</w:t>
            </w:r>
          </w:p>
        </w:tc>
        <w:tc>
          <w:tcPr>
            <w:tcW w:w="3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credit opportunities</w:t>
            </w:r>
          </w:p>
        </w:tc>
        <w:tc>
          <w:tcPr>
            <w:tcW w:w="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7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39</w:t>
            </w:r>
          </w:p>
        </w:tc>
        <w:tc>
          <w:tcPr>
            <w:tcW w:w="3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92" w:right="339" w:bottom="1440" w:gutter="0" w:footer="0" w:header="0"/>
        </w:sectPr>
      </w:pPr>
    </w:p>
    <w:bookmarkStart w:id="42" w:name="page43"/>
    <w:bookmarkEnd w:id="42"/>
    <w:p>
      <w:pPr>
        <w:ind w:left="460" w:right="580" w:hanging="455"/>
        <w:spacing w:after="0" w:line="332" w:lineRule="auto"/>
        <w:tabs>
          <w:tab w:leader="none" w:pos="4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178040" cy="54610"/>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289560</wp:posOffset>
            </wp:positionV>
            <wp:extent cx="78549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785495" cy="8255"/>
                    </a:xfrm>
                    <a:prstGeom prst="rect">
                      <a:avLst/>
                    </a:prstGeom>
                    <a:noFill/>
                  </pic:spPr>
                </pic:pic>
              </a:graphicData>
            </a:graphic>
          </wp:anchor>
        </w:drawing>
        <w:t>The following table identifies, based on gross assets as of March 31, 2024, (i) the number of other registered investment companies, other pooled investment vehicles and other accounts managed by the portfolio managers; and (ii) the total assets of such companies, vehicles and accounts.</w:t>
      </w:r>
    </w:p>
    <w:p>
      <w:pPr>
        <w:spacing w:after="0" w:line="126" w:lineRule="exact"/>
        <w:rPr>
          <w:sz w:val="20"/>
          <w:szCs w:val="20"/>
          <w:color w:val="auto"/>
        </w:rPr>
      </w:pPr>
    </w:p>
    <w:tbl>
      <w:tblPr>
        <w:tblLayout w:type="fixed"/>
        <w:tblInd w:w="180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1460" w:type="dxa"/>
            <w:vAlign w:val="bottom"/>
            <w:gridSpan w:val="2"/>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Assets of</w:t>
            </w:r>
          </w:p>
        </w:tc>
        <w:tc>
          <w:tcPr>
            <w:tcW w:w="0" w:type="dxa"/>
            <w:vAlign w:val="bottom"/>
          </w:tcPr>
          <w:p>
            <w:pPr>
              <w:spacing w:after="0"/>
              <w:rPr>
                <w:sz w:val="1"/>
                <w:szCs w:val="1"/>
                <w:color w:val="auto"/>
              </w:rPr>
            </w:pPr>
          </w:p>
        </w:tc>
      </w:tr>
      <w:tr>
        <w:trPr>
          <w:trHeight w:val="145"/>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Type of Account</w:t>
            </w:r>
          </w:p>
        </w:tc>
        <w:tc>
          <w:tcPr>
            <w:tcW w:w="4480" w:type="dxa"/>
            <w:vAlign w:val="bottom"/>
            <w:vMerge w:val="restart"/>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700" w:type="dxa"/>
            <w:vAlign w:val="bottom"/>
            <w:gridSpan w:val="3"/>
          </w:tcPr>
          <w:p>
            <w:pPr>
              <w:ind w:left="40"/>
              <w:spacing w:after="0" w:line="145" w:lineRule="exact"/>
              <w:rPr>
                <w:sz w:val="20"/>
                <w:szCs w:val="20"/>
                <w:color w:val="auto"/>
              </w:rPr>
            </w:pPr>
            <w:r>
              <w:rPr>
                <w:rFonts w:ascii="Times New Roman" w:cs="Times New Roman" w:eastAsia="Times New Roman" w:hAnsi="Times New Roman"/>
                <w:sz w:val="14"/>
                <w:szCs w:val="14"/>
                <w:b w:val="1"/>
                <w:bCs w:val="1"/>
                <w:color w:val="auto"/>
              </w:rPr>
              <w:t>Accounts</w:t>
            </w:r>
          </w:p>
        </w:tc>
        <w:tc>
          <w:tcPr>
            <w:tcW w:w="0" w:type="dxa"/>
            <w:vAlign w:val="bottom"/>
          </w:tcPr>
          <w:p>
            <w:pPr>
              <w:spacing w:after="0"/>
              <w:rPr>
                <w:sz w:val="1"/>
                <w:szCs w:val="1"/>
                <w:color w:val="auto"/>
              </w:rPr>
            </w:pPr>
          </w:p>
        </w:tc>
      </w:tr>
      <w:tr>
        <w:trPr>
          <w:trHeight w:val="176"/>
        </w:trPr>
        <w:tc>
          <w:tcPr>
            <w:tcW w:w="1000" w:type="dxa"/>
            <w:vAlign w:val="bottom"/>
            <w:tcBorders>
              <w:bottom w:val="single" w:sz="8" w:color="auto"/>
            </w:tcBorders>
            <w:vMerge w:val="continue"/>
          </w:tcPr>
          <w:p>
            <w:pPr>
              <w:spacing w:after="0"/>
              <w:rPr>
                <w:sz w:val="15"/>
                <w:szCs w:val="15"/>
                <w:color w:val="auto"/>
              </w:rPr>
            </w:pPr>
          </w:p>
        </w:tc>
        <w:tc>
          <w:tcPr>
            <w:tcW w:w="4480" w:type="dxa"/>
            <w:vAlign w:val="bottom"/>
            <w:vMerge w:val="continue"/>
          </w:tcPr>
          <w:p>
            <w:pPr>
              <w:spacing w:after="0"/>
              <w:rPr>
                <w:sz w:val="15"/>
                <w:szCs w:val="15"/>
                <w:color w:val="auto"/>
              </w:rPr>
            </w:pPr>
          </w:p>
        </w:tc>
        <w:tc>
          <w:tcPr>
            <w:tcW w:w="1460" w:type="dxa"/>
            <w:vAlign w:val="bottom"/>
            <w:gridSpan w:val="2"/>
          </w:tcPr>
          <w:p>
            <w:pPr>
              <w:jc w:val="right"/>
              <w:ind w:right="860"/>
              <w:spacing w:after="0" w:line="156" w:lineRule="exact"/>
              <w:rPr>
                <w:sz w:val="20"/>
                <w:szCs w:val="20"/>
                <w:color w:val="auto"/>
              </w:rPr>
            </w:pPr>
            <w:r>
              <w:rPr>
                <w:rFonts w:ascii="Times New Roman" w:cs="Times New Roman" w:eastAsia="Times New Roman" w:hAnsi="Times New Roman"/>
                <w:sz w:val="14"/>
                <w:szCs w:val="14"/>
                <w:b w:val="1"/>
                <w:bCs w:val="1"/>
                <w:color w:val="auto"/>
              </w:rPr>
              <w:t>Accounts</w:t>
            </w:r>
          </w:p>
        </w:tc>
        <w:tc>
          <w:tcPr>
            <w:tcW w:w="700" w:type="dxa"/>
            <w:vAlign w:val="bottom"/>
            <w:gridSpan w:val="3"/>
          </w:tcPr>
          <w:p>
            <w:pPr>
              <w:spacing w:after="0" w:line="156"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millions)</w:t>
            </w:r>
          </w:p>
        </w:tc>
        <w:tc>
          <w:tcPr>
            <w:tcW w:w="0" w:type="dxa"/>
            <w:vAlign w:val="bottom"/>
          </w:tcPr>
          <w:p>
            <w:pPr>
              <w:spacing w:after="0"/>
              <w:rPr>
                <w:sz w:val="1"/>
                <w:szCs w:val="1"/>
                <w:color w:val="auto"/>
              </w:rPr>
            </w:pPr>
          </w:p>
        </w:tc>
      </w:tr>
      <w:tr>
        <w:trPr>
          <w:trHeight w:val="197"/>
        </w:trPr>
        <w:tc>
          <w:tcPr>
            <w:tcW w:w="5480" w:type="dxa"/>
            <w:vAlign w:val="bottom"/>
            <w:tcBorders>
              <w:top w:val="single" w:sz="8" w:color="CCEEFF"/>
            </w:tcBorders>
            <w:gridSpan w:val="2"/>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Registered Investment companies</w:t>
            </w:r>
          </w:p>
        </w:tc>
        <w:tc>
          <w:tcPr>
            <w:tcW w:w="660" w:type="dxa"/>
            <w:vAlign w:val="bottom"/>
            <w:tcBorders>
              <w:top w:val="single" w:sz="8" w:color="auto"/>
            </w:tcBorders>
            <w:shd w:val="clear" w:color="auto" w:fill="CCEEFF"/>
          </w:tcPr>
          <w:p>
            <w:pPr>
              <w:jc w:val="right"/>
              <w:spacing w:after="0" w:line="197" w:lineRule="exact"/>
              <w:rPr>
                <w:sz w:val="20"/>
                <w:szCs w:val="20"/>
                <w:color w:val="auto"/>
              </w:rPr>
            </w:pPr>
            <w:r>
              <w:rPr>
                <w:rFonts w:ascii="Times New Roman" w:cs="Times New Roman" w:eastAsia="Times New Roman" w:hAnsi="Times New Roman"/>
                <w:sz w:val="18"/>
                <w:szCs w:val="18"/>
                <w:color w:val="auto"/>
              </w:rPr>
              <w:t>0</w:t>
            </w:r>
          </w:p>
        </w:tc>
        <w:tc>
          <w:tcPr>
            <w:tcW w:w="8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197" w:lineRule="exact"/>
              <w:rPr>
                <w:sz w:val="20"/>
                <w:szCs w:val="20"/>
                <w:color w:val="auto"/>
              </w:rPr>
            </w:pPr>
            <w:r>
              <w:rPr>
                <w:rFonts w:ascii="Times New Roman" w:cs="Times New Roman" w:eastAsia="Times New Roman" w:hAnsi="Times New Roman"/>
                <w:sz w:val="18"/>
                <w:szCs w:val="18"/>
                <w:color w:val="auto"/>
              </w:rPr>
              <w:t>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pooled investment vehicles</w:t>
            </w:r>
          </w:p>
        </w:tc>
        <w:tc>
          <w:tcPr>
            <w:tcW w:w="14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1,703</w:t>
            </w:r>
          </w:p>
        </w:tc>
        <w:tc>
          <w:tcPr>
            <w:tcW w:w="0" w:type="dxa"/>
            <w:vAlign w:val="bottom"/>
          </w:tcPr>
          <w:p>
            <w:pPr>
              <w:spacing w:after="0"/>
              <w:rPr>
                <w:sz w:val="1"/>
                <w:szCs w:val="1"/>
                <w:color w:val="auto"/>
              </w:rPr>
            </w:pPr>
          </w:p>
        </w:tc>
      </w:tr>
      <w:tr>
        <w:trPr>
          <w:trHeight w:val="211"/>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accounts</w:t>
            </w:r>
          </w:p>
        </w:tc>
        <w:tc>
          <w:tcPr>
            <w:tcW w:w="146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firstLine="450"/>
        <w:spacing w:after="0" w:line="29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Because the professionals of the Investment Adviser and Administrator may serve as officers, directors or principals of entities that operate in the same or a related line of business as we do or of investment funds managed by affiliates of us that currently exist or may be formed in the future, we are subject to inherent conflicts of interest. See “Risk Factors—Risks Relating to our Business and Structure—There are significant potential conflicts of interest which could impact our investment returns” in our most recent Annual Report on </w:t>
      </w:r>
      <w:hyperlink r:id="rId30">
        <w:r>
          <w:rPr>
            <w:rFonts w:ascii="Times New Roman" w:cs="Times New Roman" w:eastAsia="Times New Roman" w:hAnsi="Times New Roman"/>
            <w:sz w:val="16"/>
            <w:szCs w:val="16"/>
            <w:u w:val="single" w:color="auto"/>
            <w:color w:val="0000EE"/>
          </w:rPr>
          <w:t>Form 10-K</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for more information of potential conflicts of interests.</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table sets forth the dollar range of our common stock beneficially owned by each of our senior investment professionals as of March 31,</w:t>
      </w:r>
    </w:p>
    <w:p>
      <w:pPr>
        <w:spacing w:after="0" w:line="44" w:lineRule="exact"/>
        <w:rPr>
          <w:sz w:val="20"/>
          <w:szCs w:val="20"/>
          <w:color w:val="auto"/>
        </w:rPr>
      </w:pPr>
    </w:p>
    <w:p>
      <w:pPr>
        <w:ind w:right="740"/>
        <w:spacing w:after="0" w:line="248" w:lineRule="auto"/>
        <w:rPr>
          <w:sz w:val="20"/>
          <w:szCs w:val="20"/>
          <w:color w:val="auto"/>
        </w:rPr>
      </w:pPr>
      <w:r>
        <w:rPr>
          <w:rFonts w:ascii="Times New Roman" w:cs="Times New Roman" w:eastAsia="Times New Roman" w:hAnsi="Times New Roman"/>
          <w:sz w:val="18"/>
          <w:szCs w:val="18"/>
          <w:color w:val="auto"/>
        </w:rPr>
        <w:t>2024. Information as to the beneficial ownerships is based on information furnished to us by such persons. We are not part of a “family of investment companies,” as that term is defined in the 1940 Act.</w:t>
      </w:r>
    </w:p>
    <w:p>
      <w:pPr>
        <w:spacing w:after="0" w:line="190" w:lineRule="exact"/>
        <w:rPr>
          <w:sz w:val="20"/>
          <w:szCs w:val="20"/>
          <w:color w:val="auto"/>
        </w:rPr>
      </w:pPr>
    </w:p>
    <w:tbl>
      <w:tblPr>
        <w:tblLayout w:type="fixed"/>
        <w:tblInd w:w="180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4040" w:type="dxa"/>
            <w:vAlign w:val="bottom"/>
            <w:gridSpan w:val="2"/>
          </w:tcPr>
          <w:p>
            <w:pPr>
              <w:jc w:val="center"/>
              <w:ind w:left="1518"/>
              <w:spacing w:after="0"/>
              <w:rPr>
                <w:sz w:val="20"/>
                <w:szCs w:val="20"/>
                <w:color w:val="auto"/>
              </w:rPr>
            </w:pPr>
            <w:r>
              <w:rPr>
                <w:rFonts w:ascii="Times New Roman" w:cs="Times New Roman" w:eastAsia="Times New Roman" w:hAnsi="Times New Roman"/>
                <w:sz w:val="14"/>
                <w:szCs w:val="14"/>
                <w:b w:val="1"/>
                <w:bCs w:val="1"/>
                <w:color w:val="auto"/>
                <w:w w:val="99"/>
              </w:rPr>
              <w:t>Dollar Range of the</w:t>
            </w:r>
          </w:p>
        </w:tc>
      </w:tr>
      <w:tr>
        <w:trPr>
          <w:trHeight w:val="145"/>
        </w:trPr>
        <w:tc>
          <w:tcPr>
            <w:tcW w:w="3600" w:type="dxa"/>
            <w:vAlign w:val="bottom"/>
          </w:tcPr>
          <w:p>
            <w:pPr>
              <w:spacing w:after="0"/>
              <w:rPr>
                <w:sz w:val="12"/>
                <w:szCs w:val="12"/>
                <w:color w:val="auto"/>
              </w:rPr>
            </w:pPr>
          </w:p>
        </w:tc>
        <w:tc>
          <w:tcPr>
            <w:tcW w:w="4040" w:type="dxa"/>
            <w:vAlign w:val="bottom"/>
            <w:gridSpan w:val="2"/>
          </w:tcPr>
          <w:p>
            <w:pPr>
              <w:jc w:val="center"/>
              <w:ind w:left="1518"/>
              <w:spacing w:after="0" w:line="145" w:lineRule="exact"/>
              <w:rPr>
                <w:sz w:val="20"/>
                <w:szCs w:val="20"/>
                <w:color w:val="auto"/>
              </w:rPr>
            </w:pPr>
            <w:r>
              <w:rPr>
                <w:rFonts w:ascii="Times New Roman" w:cs="Times New Roman" w:eastAsia="Times New Roman" w:hAnsi="Times New Roman"/>
                <w:sz w:val="14"/>
                <w:szCs w:val="14"/>
                <w:b w:val="1"/>
                <w:bCs w:val="1"/>
                <w:color w:val="auto"/>
              </w:rPr>
              <w:t>Common Stock of</w:t>
            </w:r>
          </w:p>
        </w:tc>
      </w:tr>
      <w:tr>
        <w:trPr>
          <w:trHeight w:val="145"/>
        </w:trPr>
        <w:tc>
          <w:tcPr>
            <w:tcW w:w="3600" w:type="dxa"/>
            <w:vAlign w:val="bottom"/>
          </w:tcPr>
          <w:p>
            <w:pPr>
              <w:spacing w:after="0"/>
              <w:rPr>
                <w:sz w:val="12"/>
                <w:szCs w:val="12"/>
                <w:color w:val="auto"/>
              </w:rPr>
            </w:pPr>
          </w:p>
        </w:tc>
        <w:tc>
          <w:tcPr>
            <w:tcW w:w="4040" w:type="dxa"/>
            <w:vAlign w:val="bottom"/>
            <w:gridSpan w:val="2"/>
          </w:tcPr>
          <w:p>
            <w:pPr>
              <w:jc w:val="center"/>
              <w:ind w:left="1518"/>
              <w:spacing w:after="0" w:line="145" w:lineRule="exact"/>
              <w:rPr>
                <w:sz w:val="20"/>
                <w:szCs w:val="20"/>
                <w:color w:val="auto"/>
              </w:rPr>
            </w:pPr>
            <w:r>
              <w:rPr>
                <w:rFonts w:ascii="Times New Roman" w:cs="Times New Roman" w:eastAsia="Times New Roman" w:hAnsi="Times New Roman"/>
                <w:sz w:val="14"/>
                <w:szCs w:val="14"/>
                <w:b w:val="1"/>
                <w:bCs w:val="1"/>
                <w:color w:val="auto"/>
                <w:w w:val="99"/>
              </w:rPr>
              <w:t>PennantPark Floating Rate</w:t>
            </w:r>
          </w:p>
        </w:tc>
      </w:tr>
      <w:tr>
        <w:trPr>
          <w:trHeight w:val="182"/>
        </w:trPr>
        <w:tc>
          <w:tcPr>
            <w:tcW w:w="3600" w:type="dxa"/>
            <w:vAlign w:val="bottom"/>
          </w:tcPr>
          <w:p>
            <w:pPr>
              <w:spacing w:after="0"/>
              <w:rPr>
                <w:sz w:val="15"/>
                <w:szCs w:val="15"/>
                <w:color w:val="auto"/>
              </w:rPr>
            </w:pPr>
          </w:p>
        </w:tc>
        <w:tc>
          <w:tcPr>
            <w:tcW w:w="4040" w:type="dxa"/>
            <w:vAlign w:val="bottom"/>
            <w:gridSpan w:val="2"/>
          </w:tcPr>
          <w:p>
            <w:pPr>
              <w:jc w:val="center"/>
              <w:ind w:left="1498"/>
              <w:spacing w:after="0"/>
              <w:rPr>
                <w:sz w:val="20"/>
                <w:szCs w:val="20"/>
                <w:color w:val="auto"/>
              </w:rPr>
            </w:pPr>
            <w:r>
              <w:rPr>
                <w:rFonts w:ascii="Times New Roman" w:cs="Times New Roman" w:eastAsia="Times New Roman" w:hAnsi="Times New Roman"/>
                <w:sz w:val="14"/>
                <w:szCs w:val="14"/>
                <w:b w:val="1"/>
                <w:bCs w:val="1"/>
                <w:color w:val="auto"/>
              </w:rPr>
              <w:t xml:space="preserve">Capital Ltd. </w:t>
            </w:r>
            <w:r>
              <w:rPr>
                <w:rFonts w:ascii="Times New Roman" w:cs="Times New Roman" w:eastAsia="Times New Roman" w:hAnsi="Times New Roman"/>
                <w:sz w:val="8"/>
                <w:szCs w:val="8"/>
                <w:b w:val="1"/>
                <w:bCs w:val="1"/>
                <w:color w:val="auto"/>
              </w:rPr>
              <w:t>(1)</w:t>
            </w:r>
          </w:p>
        </w:tc>
      </w:tr>
      <w:tr>
        <w:trPr>
          <w:trHeight w:val="211"/>
        </w:trPr>
        <w:tc>
          <w:tcPr>
            <w:tcW w:w="3600" w:type="dxa"/>
            <w:vAlign w:val="bottom"/>
            <w:shd w:val="clear" w:color="auto" w:fill="CCEEFF"/>
          </w:tcPr>
          <w:p>
            <w:pPr>
              <w:spacing w:after="0" w:line="211" w:lineRule="exact"/>
              <w:rPr>
                <w:sz w:val="20"/>
                <w:szCs w:val="20"/>
                <w:color w:val="auto"/>
              </w:rPr>
            </w:pPr>
            <w:r>
              <w:rPr>
                <w:rFonts w:ascii="Times New Roman" w:cs="Times New Roman" w:eastAsia="Times New Roman" w:hAnsi="Times New Roman"/>
                <w:sz w:val="18"/>
                <w:szCs w:val="18"/>
                <w:color w:val="auto"/>
              </w:rPr>
              <w:t>Arthur H. Penn</w:t>
            </w:r>
            <w:r>
              <w:rPr>
                <w:rFonts w:ascii="Times New Roman" w:cs="Times New Roman" w:eastAsia="Times New Roman" w:hAnsi="Times New Roman"/>
                <w:sz w:val="21"/>
                <w:szCs w:val="21"/>
                <w:color w:val="auto"/>
                <w:vertAlign w:val="superscript"/>
              </w:rPr>
              <w:t>(2)</w:t>
            </w:r>
          </w:p>
        </w:tc>
        <w:tc>
          <w:tcPr>
            <w:tcW w:w="4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Over $1,000,000</w:t>
            </w:r>
          </w:p>
        </w:tc>
      </w:tr>
      <w:tr>
        <w:trPr>
          <w:trHeight w:val="211"/>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José A. Briones</w:t>
            </w:r>
          </w:p>
        </w:tc>
        <w:tc>
          <w:tcPr>
            <w:tcW w:w="4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Over $1,000,000</w:t>
            </w:r>
          </w:p>
        </w:tc>
      </w:tr>
      <w:tr>
        <w:trPr>
          <w:trHeight w:val="211"/>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Salvatore Giannetti III</w:t>
            </w:r>
          </w:p>
        </w:tc>
        <w:tc>
          <w:tcPr>
            <w:tcW w:w="4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Over $1,000,000</w:t>
            </w:r>
          </w:p>
        </w:tc>
      </w:tr>
      <w:tr>
        <w:trPr>
          <w:trHeight w:val="211"/>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Michael Appelbaum</w:t>
            </w:r>
          </w:p>
        </w:tc>
        <w:tc>
          <w:tcPr>
            <w:tcW w:w="4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$100,001 - $500,000</w:t>
            </w:r>
          </w:p>
        </w:tc>
      </w:tr>
      <w:tr>
        <w:trPr>
          <w:trHeight w:val="211"/>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Terence Clerkin</w:t>
            </w:r>
          </w:p>
        </w:tc>
        <w:tc>
          <w:tcPr>
            <w:tcW w:w="3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$500,000</w:t>
            </w:r>
          </w:p>
        </w:tc>
      </w:tr>
      <w:tr>
        <w:trPr>
          <w:trHeight w:val="211"/>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Dan Horn</w:t>
            </w:r>
          </w:p>
        </w:tc>
        <w:tc>
          <w:tcPr>
            <w:tcW w:w="4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Over $1,000,000</w:t>
            </w:r>
          </w:p>
        </w:tc>
      </w:tr>
      <w:tr>
        <w:trPr>
          <w:trHeight w:val="211"/>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Ryan Raskopf</w:t>
            </w:r>
          </w:p>
        </w:tc>
        <w:tc>
          <w:tcPr>
            <w:tcW w:w="3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$500,000</w:t>
            </w:r>
          </w:p>
        </w:tc>
      </w:tr>
      <w:tr>
        <w:trPr>
          <w:trHeight w:val="211"/>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James Stone</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 $100,000</w:t>
            </w:r>
          </w:p>
        </w:tc>
      </w:tr>
      <w:tr>
        <w:trPr>
          <w:trHeight w:val="211"/>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 Winograd</w:t>
            </w:r>
          </w:p>
        </w:tc>
        <w:tc>
          <w:tcPr>
            <w:tcW w:w="4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$500,001 - $1,000,000</w:t>
            </w:r>
          </w:p>
        </w:tc>
      </w:tr>
    </w:tbl>
    <w:p>
      <w:pPr>
        <w:spacing w:after="0" w:line="140" w:lineRule="exact"/>
        <w:rPr>
          <w:sz w:val="20"/>
          <w:szCs w:val="20"/>
          <w:color w:val="auto"/>
        </w:rPr>
      </w:pPr>
    </w:p>
    <w:p>
      <w:pPr>
        <w:ind w:left="460" w:right="220" w:hanging="455"/>
        <w:spacing w:after="0" w:line="254"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 ranges are as follows: None; $1-$10,000; $10,001-$50,000; $50,001-$100,000; $100,001-$500,000; $500,001-$1,000,000; or over $1,000,000. Beneficial ownership has been determined in accordance with Rule 16a-1(a)(2) promulgated under the Exchange Act.</w:t>
      </w:r>
    </w:p>
    <w:p>
      <w:pPr>
        <w:ind w:left="460" w:hanging="455"/>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reflects holdings of PennantPark Investment Advisers,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-406400</wp:posOffset>
            </wp:positionV>
            <wp:extent cx="78549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20"/>
          </w:cols>
          <w:pgMar w:left="320" w:top="476" w:right="35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7178040" cy="54610"/>
                    </a:xfrm>
                    <a:prstGeom prst="rect">
                      <a:avLst/>
                    </a:prstGeom>
                    <a:noFill/>
                  </pic:spPr>
                </pic:pic>
              </a:graphicData>
            </a:graphic>
          </wp:anchor>
        </w:drawing>
        <w:t>DETERMINATION OF NET ASSET VALUE</w:t>
      </w:r>
    </w:p>
    <w:p>
      <w:pPr>
        <w:spacing w:after="0" w:line="216" w:lineRule="exact"/>
        <w:rPr>
          <w:sz w:val="20"/>
          <w:szCs w:val="20"/>
          <w:color w:val="auto"/>
        </w:rPr>
      </w:pPr>
    </w:p>
    <w:p>
      <w:pPr>
        <w:ind w:right="160" w:firstLine="450"/>
        <w:spacing w:after="0" w:line="268" w:lineRule="auto"/>
        <w:rPr>
          <w:sz w:val="20"/>
          <w:szCs w:val="20"/>
          <w:color w:val="auto"/>
        </w:rPr>
      </w:pPr>
      <w:r>
        <w:rPr>
          <w:rFonts w:ascii="Times New Roman" w:cs="Times New Roman" w:eastAsia="Times New Roman" w:hAnsi="Times New Roman"/>
          <w:sz w:val="18"/>
          <w:szCs w:val="18"/>
          <w:color w:val="auto"/>
        </w:rPr>
        <w:t>The NAV per share of our outstanding shares of common stock is determined quarterly by dividing the value of total assets minus liabilities by the total number of shares outstanding.</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a BDC, we generally invest in illiquid securities including debt and equity investments of middle-market companies.</w:t>
      </w:r>
    </w:p>
    <w:p>
      <w:pPr>
        <w:spacing w:after="0" w:line="214" w:lineRule="exact"/>
        <w:rPr>
          <w:sz w:val="20"/>
          <w:szCs w:val="20"/>
          <w:color w:val="auto"/>
        </w:rPr>
      </w:pPr>
    </w:p>
    <w:p>
      <w:pPr>
        <w:ind w:firstLine="450"/>
        <w:spacing w:after="0" w:line="246" w:lineRule="auto"/>
        <w:rPr>
          <w:sz w:val="20"/>
          <w:szCs w:val="20"/>
          <w:color w:val="auto"/>
        </w:rPr>
      </w:pPr>
      <w:r>
        <w:rPr>
          <w:rFonts w:ascii="Times New Roman" w:cs="Times New Roman" w:eastAsia="Times New Roman" w:hAnsi="Times New Roman"/>
          <w:sz w:val="18"/>
          <w:szCs w:val="18"/>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herein.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01" w:lineRule="exact"/>
        <w:rPr>
          <w:sz w:val="20"/>
          <w:szCs w:val="20"/>
          <w:color w:val="auto"/>
        </w:rPr>
      </w:pPr>
    </w:p>
    <w:p>
      <w:pPr>
        <w:ind w:left="1000" w:right="180" w:hanging="547"/>
        <w:spacing w:after="0" w:line="268"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valuation conclusions are then documented and discussed with the management of our Investment Adviser;</w:t>
      </w:r>
    </w:p>
    <w:p>
      <w:pPr>
        <w:spacing w:after="0" w:line="121" w:lineRule="exact"/>
        <w:rPr>
          <w:rFonts w:ascii="Times New Roman" w:cs="Times New Roman" w:eastAsia="Times New Roman" w:hAnsi="Times New Roman"/>
          <w:sz w:val="18"/>
          <w:szCs w:val="18"/>
          <w:color w:val="auto"/>
        </w:rPr>
      </w:pPr>
    </w:p>
    <w:p>
      <w:pPr>
        <w:ind w:left="1000" w:right="600" w:hanging="547"/>
        <w:spacing w:after="0" w:line="25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91" w:lineRule="exact"/>
        <w:rPr>
          <w:rFonts w:ascii="Times New Roman" w:cs="Times New Roman" w:eastAsia="Times New Roman" w:hAnsi="Times New Roman"/>
          <w:sz w:val="18"/>
          <w:szCs w:val="18"/>
          <w:color w:val="auto"/>
        </w:rPr>
      </w:pPr>
    </w:p>
    <w:p>
      <w:pPr>
        <w:ind w:left="1000" w:right="240" w:hanging="547"/>
        <w:spacing w:after="0" w:line="25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87" w:lineRule="exact"/>
        <w:rPr>
          <w:rFonts w:ascii="Times New Roman" w:cs="Times New Roman" w:eastAsia="Times New Roman" w:hAnsi="Times New Roman"/>
          <w:sz w:val="18"/>
          <w:szCs w:val="18"/>
          <w:color w:val="auto"/>
        </w:rPr>
      </w:pPr>
    </w:p>
    <w:p>
      <w:pPr>
        <w:ind w:left="1000" w:right="340" w:hanging="547"/>
        <w:spacing w:after="0" w:line="268"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69" w:lineRule="exact"/>
        <w:rPr>
          <w:sz w:val="20"/>
          <w:szCs w:val="20"/>
          <w:color w:val="auto"/>
        </w:rPr>
      </w:pPr>
    </w:p>
    <w:p>
      <w:pPr>
        <w:ind w:right="80" w:firstLine="450"/>
        <w:spacing w:after="0" w:line="250" w:lineRule="auto"/>
        <w:rPr>
          <w:sz w:val="20"/>
          <w:szCs w:val="20"/>
          <w:color w:val="auto"/>
        </w:rPr>
      </w:pPr>
      <w:r>
        <w:rPr>
          <w:rFonts w:ascii="Times New Roman" w:cs="Times New Roman" w:eastAsia="Times New Roman" w:hAnsi="Times New Roman"/>
          <w:sz w:val="18"/>
          <w:szCs w:val="18"/>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290" w:right="339" w:bottom="1440" w:gutter="0" w:footer="0" w:header="0"/>
        </w:sectPr>
      </w:pPr>
    </w:p>
    <w:bookmarkStart w:id="44" w:name="page45"/>
    <w:bookmarkEnd w:id="44"/>
    <w:p>
      <w:pPr>
        <w:ind w:right="60" w:firstLine="450"/>
        <w:spacing w:after="0" w:line="24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7178040" cy="54610"/>
                    </a:xfrm>
                    <a:prstGeom prst="rect">
                      <a:avLst/>
                    </a:prstGeom>
                    <a:noFill/>
                  </pic:spPr>
                </pic:pic>
              </a:graphicData>
            </a:graphic>
          </wp:anchor>
        </w:drawing>
        <w:t>Fair value, as defined under the Financial Accounting Standards Board’s Accounting Standards Codification, Topic 820, Fair Value Measurements and Disclosures, or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ASC 820 classifies the inputs used to measure these fair values into the following hierarchies:</w:t>
      </w:r>
    </w:p>
    <w:p>
      <w:pPr>
        <w:sectPr>
          <w:pgSz w:w="11900" w:h="16838" w:orient="portrait"/>
          <w:cols w:equalWidth="0" w:num="1">
            <w:col w:w="11220"/>
          </w:cols>
          <w:pgMar w:left="320" w:top="292" w:right="359" w:bottom="1440" w:gutter="0" w:footer="0" w:header="0"/>
        </w:sectPr>
      </w:pP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Level 1:</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Inputs that are quoted prices (unadjusted) in active markets for identical assets or liabilities, accessible by us at the measurement date.</w:t>
      </w:r>
    </w:p>
    <w:p>
      <w:pPr>
        <w:spacing w:after="0" w:line="145" w:lineRule="exact"/>
        <w:rPr>
          <w:sz w:val="20"/>
          <w:szCs w:val="20"/>
          <w:color w:val="auto"/>
        </w:rPr>
      </w:pPr>
    </w:p>
    <w:p>
      <w:pPr>
        <w:sectPr>
          <w:pgSz w:w="11900" w:h="16838" w:orient="portrait"/>
          <w:cols w:equalWidth="0" w:num="2">
            <w:col w:w="1020" w:space="560"/>
            <w:col w:w="9640"/>
          </w:cols>
          <w:pgMar w:left="320" w:top="292" w:right="35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6"/>
          <w:szCs w:val="16"/>
          <w:color w:val="auto"/>
        </w:rPr>
        <w:t>Level 2:</w:t>
      </w:r>
    </w:p>
    <w:p>
      <w:pPr>
        <w:spacing w:after="0" w:line="20" w:lineRule="exact"/>
        <w:rPr>
          <w:sz w:val="20"/>
          <w:szCs w:val="20"/>
          <w:color w:val="auto"/>
        </w:rPr>
      </w:pPr>
      <w:r>
        <w:rPr>
          <w:sz w:val="20"/>
          <w:szCs w:val="20"/>
          <w:color w:val="auto"/>
        </w:rPr>
        <w:br w:type="column"/>
      </w:r>
    </w:p>
    <w:p>
      <w:pPr>
        <w:ind w:right="260"/>
        <w:spacing w:after="0" w:line="256" w:lineRule="auto"/>
        <w:rPr>
          <w:sz w:val="20"/>
          <w:szCs w:val="20"/>
          <w:color w:val="auto"/>
        </w:rPr>
      </w:pPr>
      <w:r>
        <w:rPr>
          <w:rFonts w:ascii="Times New Roman" w:cs="Times New Roman" w:eastAsia="Times New Roman" w:hAnsi="Times New Roman"/>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8" w:lineRule="exact"/>
        <w:rPr>
          <w:sz w:val="20"/>
          <w:szCs w:val="20"/>
          <w:color w:val="auto"/>
        </w:rPr>
      </w:pPr>
    </w:p>
    <w:p>
      <w:pPr>
        <w:sectPr>
          <w:pgSz w:w="11900" w:h="16838" w:orient="portrait"/>
          <w:cols w:equalWidth="0" w:num="2">
            <w:col w:w="1020" w:space="560"/>
            <w:col w:w="9640"/>
          </w:cols>
          <w:pgMar w:left="320" w:top="292" w:right="35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6"/>
          <w:szCs w:val="16"/>
          <w:color w:val="auto"/>
        </w:rPr>
        <w:t>Level 3:</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Times New Roman" w:cs="Times New Roman" w:eastAsia="Times New Roman" w:hAnsi="Times New Roman"/>
          <w:sz w:val="18"/>
          <w:szCs w:val="18"/>
          <w:color w:val="auto"/>
        </w:rPr>
        <w:t>Inputs that are unobservable for an asset or liability because they are based on our own assumptions about how market participants would price the asset or liability.</w:t>
      </w:r>
    </w:p>
    <w:p>
      <w:pPr>
        <w:spacing w:after="0" w:line="169" w:lineRule="exact"/>
        <w:rPr>
          <w:sz w:val="20"/>
          <w:szCs w:val="20"/>
          <w:color w:val="auto"/>
        </w:rPr>
      </w:pPr>
    </w:p>
    <w:p>
      <w:pPr>
        <w:sectPr>
          <w:pgSz w:w="11900" w:h="16838" w:orient="portrait"/>
          <w:cols w:equalWidth="0" w:num="2">
            <w:col w:w="1020" w:space="560"/>
            <w:col w:w="9640"/>
          </w:cols>
          <w:pgMar w:left="320" w:top="292" w:right="359" w:bottom="1440" w:gutter="0" w:footer="0" w:header="0"/>
          <w:type w:val="continuous"/>
        </w:sectPr>
      </w:pPr>
    </w:p>
    <w:p>
      <w:pPr>
        <w:ind w:right="40" w:firstLine="450"/>
        <w:spacing w:after="0" w:line="250" w:lineRule="auto"/>
        <w:rPr>
          <w:sz w:val="20"/>
          <w:szCs w:val="20"/>
          <w:color w:val="auto"/>
        </w:rPr>
      </w:pPr>
      <w:r>
        <w:rPr>
          <w:rFonts w:ascii="Times New Roman" w:cs="Times New Roman" w:eastAsia="Times New Roman" w:hAnsi="Times New Roman"/>
          <w:sz w:val="18"/>
          <w:szCs w:val="18"/>
          <w:color w:val="auto"/>
        </w:rPr>
        <w:t>A financial instrument’s categorization within the valuation hierarchy is based upon the lowest level of input that is significant to the fair value measurement. Generally, most of our investments, our 2031 Asset-Backed Debt, 2036 Asset-Backed Debt and our Credit Facility are classified as Level 3. Our 2026 Notes are classified as Level 2 as they are financial instruments with readily observable market inputs.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85" w:lineRule="exact"/>
        <w:rPr>
          <w:sz w:val="20"/>
          <w:szCs w:val="20"/>
          <w:color w:val="auto"/>
        </w:rPr>
      </w:pPr>
    </w:p>
    <w:p>
      <w:pPr>
        <w:ind w:right="60" w:firstLine="450"/>
        <w:spacing w:after="0" w:line="248" w:lineRule="auto"/>
        <w:rPr>
          <w:sz w:val="20"/>
          <w:szCs w:val="20"/>
          <w:color w:val="auto"/>
        </w:rPr>
      </w:pPr>
      <w:r>
        <w:rPr>
          <w:rFonts w:ascii="Times New Roman" w:cs="Times New Roman" w:eastAsia="Times New Roman" w:hAnsi="Times New Roman"/>
          <w:sz w:val="18"/>
          <w:szCs w:val="18"/>
          <w:color w:val="auto"/>
        </w:rPr>
        <w:t>On December 3, 2020, the SEC adopted Rule 2a-5 under the 1940 Act, which establishes an updated regulatory framework for determining fair value in good faith for purposes of the 1940 Act. The new rule clarifies how fund boards of directors can satisfy their valuation obligations and requires, among other things, the board of directors to periodically assess material valuation risks and take steps to manage those risks. The rule also permit boards of directors, subject to board oversight and certain other conditions, to designate the fund’s investment adviser to perform fair value determinations. The new rule went into effect on March 8, 2021 and had a compliance date of September 8, 2022. We came into compliance with Rule 2a-5 under the 1940 Act before the compliance date. While our board of directors has not elected to designate the Investment Adviser as the valuation designee at this time, we have adopted certain revisions to our valuation policies and procedures in order comply with the applicable requirements of Rule 2a-5 under the 1940 Act.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Determinations In Connection With Offerings</w:t>
      </w:r>
    </w:p>
    <w:p>
      <w:pPr>
        <w:spacing w:after="0" w:line="111" w:lineRule="exact"/>
        <w:rPr>
          <w:sz w:val="20"/>
          <w:szCs w:val="20"/>
          <w:color w:val="auto"/>
        </w:rPr>
      </w:pPr>
    </w:p>
    <w:p>
      <w:pPr>
        <w:ind w:right="20" w:firstLine="450"/>
        <w:spacing w:after="0" w:line="250" w:lineRule="auto"/>
        <w:rPr>
          <w:sz w:val="20"/>
          <w:szCs w:val="20"/>
          <w:color w:val="auto"/>
        </w:rPr>
      </w:pPr>
      <w:r>
        <w:rPr>
          <w:rFonts w:ascii="Times New Roman" w:cs="Times New Roman" w:eastAsia="Times New Roman" w:hAnsi="Times New Roman"/>
          <w:sz w:val="18"/>
          <w:szCs w:val="18"/>
          <w:color w:val="auto"/>
        </w:rPr>
        <w:t>In connection with each offering of shares of our common stock, our board of directors or a committee thereof is required to make the determination that we are not selling shares of our common stock at a price below the then current NAV of our common stock at the time at which the sale is made or otherwise in violation of the 1940 Act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93" w:lineRule="exact"/>
        <w:rPr>
          <w:sz w:val="20"/>
          <w:szCs w:val="20"/>
          <w:color w:val="auto"/>
        </w:rPr>
      </w:pPr>
    </w:p>
    <w:p>
      <w:pPr>
        <w:ind w:left="5540" w:right="3060" w:hanging="4982"/>
        <w:spacing w:after="0" w:line="436" w:lineRule="auto"/>
        <w:tabs>
          <w:tab w:leader="none" w:pos="99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NAV of our common stock disclosed in the most recent periodic report that we filed with the SEC; 42</w:t>
      </w:r>
    </w:p>
    <w:p>
      <w:pPr>
        <w:sectPr>
          <w:pgSz w:w="11900" w:h="16838" w:orient="portrait"/>
          <w:cols w:equalWidth="0" w:num="1">
            <w:col w:w="11220"/>
          </w:cols>
          <w:pgMar w:left="320" w:top="292" w:right="359" w:bottom="1440" w:gutter="0" w:footer="0" w:header="0"/>
          <w:type w:val="continuous"/>
        </w:sectPr>
      </w:pPr>
    </w:p>
    <w:bookmarkStart w:id="45" w:name="page46"/>
    <w:bookmarkEnd w:id="45"/>
    <w:p>
      <w:pPr>
        <w:ind w:left="1000" w:right="140" w:hanging="442"/>
        <w:spacing w:after="0" w:line="256"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7178040" cy="54610"/>
                    </a:xfrm>
                    <a:prstGeom prst="rect">
                      <a:avLst/>
                    </a:prstGeom>
                    <a:noFill/>
                  </pic:spPr>
                </pic:pic>
              </a:graphicData>
            </a:graphic>
          </wp:anchor>
        </w:drawing>
        <w:t>our management’s assessment of whether any change in the NAV of our common stock has occurred (including through the realization of gains on the sale of our portfolio securities) during the period beginning on the date of the most recent public filing with the SEC that discloses the NAV of our common stock and ending two days prior to the date of the sale of our common stock; and</w:t>
      </w:r>
    </w:p>
    <w:p>
      <w:pPr>
        <w:spacing w:after="0" w:line="87" w:lineRule="exact"/>
        <w:rPr>
          <w:rFonts w:ascii="Times New Roman" w:cs="Times New Roman" w:eastAsia="Times New Roman" w:hAnsi="Times New Roman"/>
          <w:sz w:val="18"/>
          <w:szCs w:val="18"/>
          <w:color w:val="auto"/>
        </w:rPr>
      </w:pPr>
    </w:p>
    <w:p>
      <w:pPr>
        <w:ind w:left="1000" w:right="560" w:hanging="442"/>
        <w:spacing w:after="0" w:line="268"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magnitude of the difference between the offering price of the shares of our common stock in the proposed offering and management’s assessment of any change in the NAV of our common stock during the period discussed above.</w:t>
      </w:r>
    </w:p>
    <w:p>
      <w:pPr>
        <w:spacing w:after="0" w:line="169"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18"/>
          <w:szCs w:val="18"/>
          <w:color w:val="auto"/>
        </w:rPr>
        <w:t>Whenever we do not have current stockholder approval to issue shares of our common stock at a price per share below our then current NAV per share, the offering price per share (exclusive of any distributing commission or discount) will equal or exceed our then current NAV per share, based on the value of our portfolio securities and other assets determined in good faith by our board of directors as of a time within 48 hours (excluding Sundays and holidays) of the sale. See “Sales Of Common Stock Below Net Asset Value” for more information.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we will only sell shares of our common stock at a price below NAV per share if the following conditions are met:</w:t>
      </w:r>
    </w:p>
    <w:p>
      <w:pPr>
        <w:spacing w:after="0" w:line="122" w:lineRule="exact"/>
        <w:rPr>
          <w:sz w:val="20"/>
          <w:szCs w:val="20"/>
          <w:color w:val="auto"/>
        </w:rPr>
      </w:pPr>
    </w:p>
    <w:p>
      <w:pPr>
        <w:ind w:left="1000" w:hanging="442"/>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our independent directors who have no financial interest in the sale must have approved the sale; and</w:t>
      </w:r>
    </w:p>
    <w:p>
      <w:pPr>
        <w:spacing w:after="0" w:line="121" w:lineRule="exact"/>
        <w:rPr>
          <w:rFonts w:ascii="Times New Roman" w:cs="Times New Roman" w:eastAsia="Times New Roman" w:hAnsi="Times New Roman"/>
          <w:sz w:val="18"/>
          <w:szCs w:val="18"/>
          <w:color w:val="auto"/>
        </w:rPr>
      </w:pPr>
    </w:p>
    <w:p>
      <w:pPr>
        <w:ind w:left="1000" w:right="100" w:hanging="442"/>
        <w:spacing w:after="0" w:line="25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such directors, in consultation with the underwriters of the offering if it is to be underwritten, must have determined in good faith, and as of a time immediately prior to the first solicitation by us or on our behalf of firm commitments to purchase such shares or immediately prior to the issuance of such shares, that the price at which such shares are to be sold is not less than a price which closely approximates the market value of those shares, less any underwriting commission or discount.</w:t>
      </w:r>
    </w:p>
    <w:p>
      <w:pPr>
        <w:spacing w:after="0" w:line="183" w:lineRule="exact"/>
        <w:rPr>
          <w:sz w:val="20"/>
          <w:szCs w:val="20"/>
          <w:color w:val="auto"/>
        </w:rPr>
      </w:pPr>
    </w:p>
    <w:p>
      <w:pPr>
        <w:ind w:firstLine="450"/>
        <w:spacing w:after="0" w:line="247" w:lineRule="auto"/>
        <w:rPr>
          <w:sz w:val="20"/>
          <w:szCs w:val="20"/>
          <w:color w:val="auto"/>
        </w:rPr>
      </w:pPr>
      <w:r>
        <w:rPr>
          <w:rFonts w:ascii="Times New Roman" w:cs="Times New Roman" w:eastAsia="Times New Roman" w:hAnsi="Times New Roman"/>
          <w:sz w:val="18"/>
          <w:szCs w:val="18"/>
          <w:color w:val="auto"/>
        </w:rPr>
        <w:t>We may, however, subject to the requirements of the 1940 Act, issue subscription rights to acquire our common stock at a price below the current NAV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88" w:lineRule="exact"/>
        <w:rPr>
          <w:sz w:val="20"/>
          <w:szCs w:val="20"/>
          <w:color w:val="auto"/>
        </w:rPr>
      </w:pPr>
    </w:p>
    <w:p>
      <w:pPr>
        <w:ind w:right="20" w:firstLine="450"/>
        <w:spacing w:after="0" w:line="332" w:lineRule="auto"/>
        <w:rPr>
          <w:sz w:val="20"/>
          <w:szCs w:val="20"/>
          <w:color w:val="auto"/>
        </w:rPr>
      </w:pPr>
      <w:r>
        <w:rPr>
          <w:rFonts w:ascii="Times New Roman" w:cs="Times New Roman" w:eastAsia="Times New Roman" w:hAnsi="Times New Roman"/>
          <w:sz w:val="16"/>
          <w:szCs w:val="16"/>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00"/>
          </w:cols>
          <w:pgMar w:left="320" w:top="292" w:right="379" w:bottom="1440" w:gutter="0" w:footer="0" w:header="0"/>
        </w:sectPr>
      </w:pPr>
    </w:p>
    <w:bookmarkStart w:id="46" w:name="page47"/>
    <w:bookmarkEnd w:id="4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7178040" cy="54610"/>
                    </a:xfrm>
                    <a:prstGeom prst="rect">
                      <a:avLst/>
                    </a:prstGeom>
                    <a:noFill/>
                  </pic:spPr>
                </pic:pic>
              </a:graphicData>
            </a:graphic>
          </wp:anchor>
        </w:drawing>
        <w:t>DESCRIPTION OF OUR CAPITAL STOCK</w:t>
      </w:r>
    </w:p>
    <w:p>
      <w:pPr>
        <w:spacing w:after="0" w:line="216" w:lineRule="exact"/>
        <w:rPr>
          <w:sz w:val="20"/>
          <w:szCs w:val="20"/>
          <w:color w:val="auto"/>
        </w:rPr>
      </w:pPr>
    </w:p>
    <w:p>
      <w:pPr>
        <w:jc w:val="both"/>
        <w:ind w:right="80" w:firstLine="450"/>
        <w:spacing w:after="0" w:line="256" w:lineRule="auto"/>
        <w:rPr>
          <w:sz w:val="20"/>
          <w:szCs w:val="20"/>
          <w:color w:val="auto"/>
        </w:rPr>
      </w:pPr>
      <w:r>
        <w:rPr>
          <w:rFonts w:ascii="Times New Roman" w:cs="Times New Roman" w:eastAsia="Times New Roman" w:hAnsi="Times New Roman"/>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111"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18"/>
          <w:szCs w:val="18"/>
          <w:color w:val="auto"/>
        </w:rPr>
        <w:t>As of March 31, 2024, our authorized capital stock consisted of 100,000,000 shares of stock, par value $0.001 per share, all of which is classified as common stock. Our common stock is quoted on The New York Stock Exchange under the ticker symbol “PFLT.”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83" w:lineRule="exact"/>
        <w:rPr>
          <w:sz w:val="20"/>
          <w:szCs w:val="20"/>
          <w:color w:val="auto"/>
        </w:rPr>
      </w:pPr>
    </w:p>
    <w:p>
      <w:pPr>
        <w:ind w:right="220" w:firstLine="450"/>
        <w:spacing w:after="0" w:line="268" w:lineRule="auto"/>
        <w:rPr>
          <w:sz w:val="20"/>
          <w:szCs w:val="20"/>
          <w:color w:val="auto"/>
        </w:rPr>
      </w:pPr>
      <w:r>
        <w:rPr>
          <w:rFonts w:ascii="Times New Roman" w:cs="Times New Roman" w:eastAsia="Times New Roman" w:hAnsi="Times New Roman"/>
          <w:sz w:val="18"/>
          <w:szCs w:val="18"/>
          <w:color w:val="auto"/>
        </w:rPr>
        <w:t>The last reported closing market price of our common stock on May 23, 2024 was $11.26 per share. As of March 31, 2024, we had 32 stockholders of record.</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are our outstanding classes of securities as of March 31, 2024:</w:t>
      </w:r>
    </w:p>
    <w:p>
      <w:pPr>
        <w:spacing w:after="0" w:line="218"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b w:val="1"/>
                <w:bCs w:val="1"/>
                <w:color w:val="auto"/>
                <w:w w:val="97"/>
              </w:rPr>
              <w:t>Held by</w:t>
            </w: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4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b w:val="1"/>
                <w:bCs w:val="1"/>
                <w:color w:val="auto"/>
              </w:rPr>
              <w:t>Us or</w:t>
            </w:r>
          </w:p>
        </w:tc>
        <w:tc>
          <w:tcPr>
            <w:tcW w:w="10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0" w:type="dxa"/>
            <w:vAlign w:val="bottom"/>
          </w:tcPr>
          <w:p>
            <w:pPr>
              <w:spacing w:after="0"/>
              <w:rPr>
                <w:sz w:val="1"/>
                <w:szCs w:val="1"/>
                <w:color w:val="auto"/>
              </w:rPr>
            </w:pPr>
          </w:p>
        </w:tc>
      </w:tr>
      <w:tr>
        <w:trPr>
          <w:trHeight w:val="145"/>
        </w:trPr>
        <w:tc>
          <w:tcPr>
            <w:tcW w:w="5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1480" w:type="dxa"/>
            <w:vAlign w:val="bottom"/>
            <w:gridSpan w:val="2"/>
            <w:vMerge w:val="continue"/>
          </w:tcPr>
          <w:p>
            <w:pPr>
              <w:spacing w:after="0"/>
              <w:rPr>
                <w:sz w:val="12"/>
                <w:szCs w:val="12"/>
                <w:color w:val="auto"/>
              </w:rPr>
            </w:pPr>
          </w:p>
        </w:tc>
        <w:tc>
          <w:tcPr>
            <w:tcW w:w="98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b w:val="1"/>
                <w:bCs w:val="1"/>
                <w:color w:val="auto"/>
                <w:w w:val="99"/>
              </w:rPr>
              <w:t>for Our</w:t>
            </w: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940" w:type="dxa"/>
            <w:vAlign w:val="bottom"/>
            <w:gridSpan w:val="3"/>
            <w:vMerge w:val="continue"/>
          </w:tcPr>
          <w:p>
            <w:pPr>
              <w:spacing w:after="0"/>
              <w:rPr>
                <w:sz w:val="13"/>
                <w:szCs w:val="13"/>
                <w:color w:val="auto"/>
              </w:rPr>
            </w:pPr>
          </w:p>
        </w:tc>
        <w:tc>
          <w:tcPr>
            <w:tcW w:w="1480" w:type="dxa"/>
            <w:vAlign w:val="bottom"/>
            <w:gridSpan w:val="2"/>
          </w:tcPr>
          <w:p>
            <w:pPr>
              <w:ind w:left="180"/>
              <w:spacing w:after="0" w:line="156"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980" w:type="dxa"/>
            <w:vAlign w:val="bottom"/>
            <w:gridSpan w:val="2"/>
          </w:tcPr>
          <w:p>
            <w:pPr>
              <w:jc w:val="center"/>
              <w:ind w:right="440"/>
              <w:spacing w:after="0" w:line="156" w:lineRule="exact"/>
              <w:rPr>
                <w:sz w:val="20"/>
                <w:szCs w:val="20"/>
                <w:color w:val="auto"/>
              </w:rPr>
            </w:pPr>
            <w:r>
              <w:rPr>
                <w:rFonts w:ascii="Times New Roman" w:cs="Times New Roman" w:eastAsia="Times New Roman" w:hAnsi="Times New Roman"/>
                <w:sz w:val="14"/>
                <w:szCs w:val="14"/>
                <w:b w:val="1"/>
                <w:bCs w:val="1"/>
                <w:color w:val="auto"/>
              </w:rPr>
              <w:t>Account</w:t>
            </w:r>
          </w:p>
        </w:tc>
        <w:tc>
          <w:tcPr>
            <w:tcW w:w="1040" w:type="dxa"/>
            <w:vAlign w:val="bottom"/>
            <w:gridSpan w:val="2"/>
          </w:tcPr>
          <w:p>
            <w:pPr>
              <w:jc w:val="center"/>
              <w:ind w:right="80"/>
              <w:spacing w:after="0" w:line="156"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920" w:type="dxa"/>
            <w:vAlign w:val="bottom"/>
            <w:gridSpan w:val="2"/>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Common Stock, par value $0.001 per share</w:t>
            </w:r>
          </w:p>
        </w:tc>
        <w:tc>
          <w:tcPr>
            <w:tcW w:w="1060" w:type="dxa"/>
            <w:vAlign w:val="bottom"/>
            <w:shd w:val="clear" w:color="auto" w:fill="CCEEFF"/>
          </w:tcPr>
          <w:p>
            <w:pPr>
              <w:ind w:left="180"/>
              <w:spacing w:after="0" w:line="197" w:lineRule="exact"/>
              <w:rPr>
                <w:sz w:val="20"/>
                <w:szCs w:val="20"/>
                <w:color w:val="auto"/>
              </w:rPr>
            </w:pPr>
            <w:r>
              <w:rPr>
                <w:rFonts w:ascii="Times New Roman" w:cs="Times New Roman" w:eastAsia="Times New Roman" w:hAnsi="Times New Roman"/>
                <w:sz w:val="18"/>
                <w:szCs w:val="18"/>
                <w:color w:val="auto"/>
                <w:w w:val="95"/>
              </w:rPr>
              <w:t>100,000,000</w:t>
            </w: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ind w:left="280"/>
              <w:spacing w:after="0" w:line="197" w:lineRule="exact"/>
              <w:rPr>
                <w:sz w:val="20"/>
                <w:szCs w:val="20"/>
                <w:color w:val="auto"/>
              </w:rPr>
            </w:pPr>
            <w:r>
              <w:rPr>
                <w:rFonts w:ascii="Times New Roman" w:cs="Times New Roman" w:eastAsia="Times New Roman" w:hAnsi="Times New Roman"/>
                <w:sz w:val="18"/>
                <w:szCs w:val="18"/>
                <w:color w:val="auto"/>
                <w:w w:val="96"/>
              </w:rPr>
              <w:t>— </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7" w:lineRule="exact"/>
              <w:rPr>
                <w:sz w:val="20"/>
                <w:szCs w:val="20"/>
                <w:color w:val="auto"/>
              </w:rPr>
            </w:pPr>
            <w:r>
              <w:rPr>
                <w:rFonts w:ascii="Times New Roman" w:cs="Times New Roman" w:eastAsia="Times New Roman" w:hAnsi="Times New Roman"/>
                <w:sz w:val="18"/>
                <w:szCs w:val="18"/>
                <w:color w:val="auto"/>
              </w:rPr>
              <w:t>63,228,138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right="20" w:firstLine="450"/>
        <w:spacing w:after="0" w:line="252" w:lineRule="auto"/>
        <w:rPr>
          <w:sz w:val="20"/>
          <w:szCs w:val="20"/>
          <w:color w:val="auto"/>
        </w:rPr>
      </w:pPr>
      <w:r>
        <w:rPr>
          <w:rFonts w:ascii="Times New Roman" w:cs="Times New Roman" w:eastAsia="Times New Roman" w:hAnsi="Times New Roman"/>
          <w:sz w:val="18"/>
          <w:szCs w:val="18"/>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1" w:lineRule="exact"/>
        <w:rPr>
          <w:sz w:val="20"/>
          <w:szCs w:val="20"/>
          <w:color w:val="auto"/>
        </w:rPr>
      </w:pPr>
    </w:p>
    <w:p>
      <w:pPr>
        <w:ind w:firstLine="450"/>
        <w:spacing w:after="0" w:line="246" w:lineRule="auto"/>
        <w:rPr>
          <w:sz w:val="20"/>
          <w:szCs w:val="20"/>
          <w:color w:val="auto"/>
        </w:rPr>
      </w:pPr>
      <w:r>
        <w:rPr>
          <w:rFonts w:ascii="Times New Roman" w:cs="Times New Roman" w:eastAsia="Times New Roman" w:hAnsi="Times New Roman"/>
          <w:sz w:val="18"/>
          <w:szCs w:val="18"/>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assets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us,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of Directors and Officers; Indemnification and Advance of Expenses</w:t>
      </w:r>
    </w:p>
    <w:p>
      <w:pPr>
        <w:spacing w:after="0" w:line="111" w:lineRule="exact"/>
        <w:rPr>
          <w:sz w:val="20"/>
          <w:szCs w:val="20"/>
          <w:color w:val="auto"/>
        </w:rPr>
      </w:pPr>
    </w:p>
    <w:p>
      <w:pPr>
        <w:ind w:right="100" w:firstLine="450"/>
        <w:spacing w:after="0" w:line="268" w:lineRule="auto"/>
        <w:rPr>
          <w:sz w:val="20"/>
          <w:szCs w:val="20"/>
          <w:color w:val="auto"/>
        </w:rPr>
      </w:pPr>
      <w:r>
        <w:rPr>
          <w:rFonts w:ascii="Times New Roman" w:cs="Times New Roman" w:eastAsia="Times New Roman" w:hAnsi="Times New Roman"/>
          <w:sz w:val="18"/>
          <w:szCs w:val="18"/>
          <w:color w:val="auto"/>
        </w:rPr>
        <w:t>Maryland law permits a Maryland corporation to include in its charter a provision eliminating the liability of its directors and officers to the corporation and its stockholders for money damages except for liability resulting</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00"/>
          </w:cols>
          <w:pgMar w:left="320" w:top="290" w:right="379" w:bottom="1440" w:gutter="0" w:footer="0" w:header="0"/>
        </w:sectPr>
      </w:pPr>
    </w:p>
    <w:bookmarkStart w:id="47" w:name="page48"/>
    <w:bookmarkEnd w:id="47"/>
    <w:p>
      <w:pPr>
        <w:ind w:right="100"/>
        <w:spacing w:after="0" w:line="29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7178040" cy="54610"/>
                    </a:xfrm>
                    <a:prstGeom prst="rect">
                      <a:avLst/>
                    </a:prstGeom>
                    <a:noFill/>
                  </pic:spPr>
                </pic:pic>
              </a:graphicData>
            </a:graphic>
          </wp:anchor>
        </w:drawing>
        <w:t>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 Nothing in our charter restricting or eliminating the liabilities of directors under Maryland law will apply to, or in any way limit, the duties or liabilities of such persons with respect to matters arising under the federal securities laws.</w:t>
      </w:r>
    </w:p>
    <w:p>
      <w:pPr>
        <w:spacing w:after="0" w:line="154" w:lineRule="exact"/>
        <w:rPr>
          <w:sz w:val="20"/>
          <w:szCs w:val="20"/>
          <w:color w:val="auto"/>
        </w:rPr>
      </w:pPr>
    </w:p>
    <w:p>
      <w:pPr>
        <w:ind w:right="40" w:firstLine="450"/>
        <w:spacing w:after="0" w:line="249" w:lineRule="auto"/>
        <w:rPr>
          <w:sz w:val="20"/>
          <w:szCs w:val="20"/>
          <w:color w:val="auto"/>
        </w:rPr>
      </w:pPr>
      <w:r>
        <w:rPr>
          <w:rFonts w:ascii="Times New Roman" w:cs="Times New Roman" w:eastAsia="Times New Roman" w:hAnsi="Times New Roman"/>
          <w:sz w:val="18"/>
          <w:szCs w:val="18"/>
          <w:color w:val="auto"/>
        </w:rPr>
        <w:t>Our charter authorizes us, to the maximum extent permitted by Maryland law and subject to the requirements of the 1940 Act, to obligate us to indemnify, and to pay or reimburse reasonable expenses in advance of final disposition of a proceeding to,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185" w:lineRule="exact"/>
        <w:rPr>
          <w:sz w:val="20"/>
          <w:szCs w:val="20"/>
          <w:color w:val="auto"/>
        </w:rPr>
      </w:pPr>
    </w:p>
    <w:p>
      <w:pPr>
        <w:ind w:firstLine="450"/>
        <w:spacing w:after="0" w:line="246" w:lineRule="auto"/>
        <w:rPr>
          <w:sz w:val="20"/>
          <w:szCs w:val="20"/>
          <w:color w:val="auto"/>
        </w:rPr>
      </w:pPr>
      <w:r>
        <w:rPr>
          <w:rFonts w:ascii="Times New Roman" w:cs="Times New Roman" w:eastAsia="Times New Roman" w:hAnsi="Times New Roman"/>
          <w:sz w:val="18"/>
          <w:szCs w:val="18"/>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without requiring a preliminary determination of the ultimate entitlement to indemnification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94" w:lineRule="exact"/>
        <w:rPr>
          <w:sz w:val="20"/>
          <w:szCs w:val="20"/>
          <w:color w:val="auto"/>
        </w:rPr>
      </w:pPr>
    </w:p>
    <w:p>
      <w:pPr>
        <w:ind w:right="420" w:firstLine="450"/>
        <w:spacing w:after="0" w:line="268" w:lineRule="auto"/>
        <w:rPr>
          <w:sz w:val="20"/>
          <w:szCs w:val="20"/>
          <w:color w:val="auto"/>
        </w:rPr>
      </w:pPr>
      <w:r>
        <w:rPr>
          <w:rFonts w:ascii="Times New Roman" w:cs="Times New Roman" w:eastAsia="Times New Roman" w:hAnsi="Times New Roman"/>
          <w:sz w:val="18"/>
          <w:szCs w:val="18"/>
          <w:color w:val="auto"/>
        </w:rPr>
        <w:t>In addition to the indemnification provided for in our charter and bylaws, we have entered into indemnification agreements with each of our current directors and certain of our officers that provide for the maximum indemnification permitted under Maryland law and the 1940 Act.</w:t>
      </w:r>
    </w:p>
    <w:p>
      <w:pPr>
        <w:spacing w:after="0" w:line="169" w:lineRule="exact"/>
        <w:rPr>
          <w:sz w:val="20"/>
          <w:szCs w:val="20"/>
          <w:color w:val="auto"/>
        </w:rPr>
      </w:pPr>
    </w:p>
    <w:p>
      <w:pPr>
        <w:ind w:firstLine="450"/>
        <w:spacing w:after="0" w:line="246" w:lineRule="auto"/>
        <w:rPr>
          <w:sz w:val="20"/>
          <w:szCs w:val="20"/>
          <w:color w:val="auto"/>
        </w:rPr>
      </w:pPr>
      <w:r>
        <w:rPr>
          <w:rFonts w:ascii="Times New Roman" w:cs="Times New Roman" w:eastAsia="Times New Roman" w:hAnsi="Times New Roman"/>
          <w:sz w:val="18"/>
          <w:szCs w:val="18"/>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292"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7178040" cy="54610"/>
                    </a:xfrm>
                    <a:prstGeom prst="rect">
                      <a:avLst/>
                    </a:prstGeom>
                    <a:noFill/>
                  </pic:spPr>
                </pic:pic>
              </a:graphicData>
            </a:graphic>
          </wp:anchor>
        </w:drawing>
        <w:t>Provisions of the Maryland General Corporation Law and our Charter and Bylaws</w:t>
      </w:r>
    </w:p>
    <w:p>
      <w:pPr>
        <w:spacing w:after="0" w:line="111" w:lineRule="exact"/>
        <w:rPr>
          <w:sz w:val="20"/>
          <w:szCs w:val="20"/>
          <w:color w:val="auto"/>
        </w:rPr>
      </w:pPr>
    </w:p>
    <w:p>
      <w:pPr>
        <w:ind w:right="60" w:firstLine="450"/>
        <w:spacing w:after="0" w:line="250" w:lineRule="auto"/>
        <w:rPr>
          <w:sz w:val="20"/>
          <w:szCs w:val="20"/>
          <w:color w:val="auto"/>
        </w:rPr>
      </w:pPr>
      <w:r>
        <w:rPr>
          <w:rFonts w:ascii="Times New Roman" w:cs="Times New Roman" w:eastAsia="Times New Roman" w:hAnsi="Times New Roman"/>
          <w:sz w:val="18"/>
          <w:szCs w:val="18"/>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113" w:lineRule="exact"/>
        <w:rPr>
          <w:sz w:val="20"/>
          <w:szCs w:val="20"/>
          <w:color w:val="auto"/>
        </w:rPr>
      </w:pPr>
    </w:p>
    <w:p>
      <w:pPr>
        <w:ind w:firstLine="450"/>
        <w:spacing w:after="0" w:line="248" w:lineRule="auto"/>
        <w:rPr>
          <w:sz w:val="20"/>
          <w:szCs w:val="20"/>
          <w:color w:val="auto"/>
        </w:rPr>
      </w:pPr>
      <w:r>
        <w:rPr>
          <w:rFonts w:ascii="Times New Roman" w:cs="Times New Roman" w:eastAsia="Times New Roman" w:hAnsi="Times New Roman"/>
          <w:sz w:val="18"/>
          <w:szCs w:val="18"/>
          <w:color w:val="auto"/>
        </w:rPr>
        <w:t>Our board of directors is divided into three classes of directors serving staggered three-year terms. The terms of the first, second and third classes will expire at the annual meeting of stockholders held in 2027, 2025 and 2026 respectively, and in each case, those directors will serve until their successors are duly elected and qualify. Upon expiration of their current terms, directors of each class will be elected to serve for a term expiring at the annual meeting of stockholders held in the third year following the year of their election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 of directors</w:t>
      </w:r>
    </w:p>
    <w:p>
      <w:pPr>
        <w:spacing w:after="0" w:line="113" w:lineRule="exact"/>
        <w:rPr>
          <w:sz w:val="20"/>
          <w:szCs w:val="20"/>
          <w:color w:val="auto"/>
        </w:rPr>
      </w:pPr>
    </w:p>
    <w:p>
      <w:pPr>
        <w:ind w:right="380" w:firstLine="450"/>
        <w:spacing w:after="0" w:line="252" w:lineRule="auto"/>
        <w:rPr>
          <w:sz w:val="20"/>
          <w:szCs w:val="20"/>
          <w:color w:val="auto"/>
        </w:rPr>
      </w:pPr>
      <w:r>
        <w:rPr>
          <w:rFonts w:ascii="Times New Roman" w:cs="Times New Roman" w:eastAsia="Times New Roman" w:hAnsi="Times New Roman"/>
          <w:sz w:val="18"/>
          <w:szCs w:val="18"/>
          <w:color w:val="auto"/>
        </w:rPr>
        <w:t>Our charter and bylaws provide that, to elect a director, the affirmative vote of a majority of the total votes cast with respect to a director nominee is required (i.e., the number of votes cast for a director nominee must exceed the number of votes cast against the nominee), provided that if the election is contested, directors shall be elected by a plurality of the votes cast. Pursuant to the charter, our board of directors may amend the bylaws to alter the vote required to elect directors.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directors; vacancies; removal</w:t>
      </w:r>
    </w:p>
    <w:p>
      <w:pPr>
        <w:spacing w:after="0" w:line="113" w:lineRule="exact"/>
        <w:rPr>
          <w:sz w:val="20"/>
          <w:szCs w:val="20"/>
          <w:color w:val="auto"/>
        </w:rPr>
      </w:pPr>
    </w:p>
    <w:p>
      <w:pPr>
        <w:ind w:right="40" w:firstLine="450"/>
        <w:spacing w:after="0" w:line="247" w:lineRule="auto"/>
        <w:rPr>
          <w:sz w:val="20"/>
          <w:szCs w:val="20"/>
          <w:color w:val="auto"/>
        </w:rPr>
      </w:pPr>
      <w:r>
        <w:rPr>
          <w:rFonts w:ascii="Times New Roman" w:cs="Times New Roman" w:eastAsia="Times New Roman" w:hAnsi="Times New Roman"/>
          <w:sz w:val="18"/>
          <w:szCs w:val="18"/>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91" w:lineRule="exact"/>
        <w:rPr>
          <w:sz w:val="20"/>
          <w:szCs w:val="20"/>
          <w:color w:val="auto"/>
        </w:rPr>
      </w:pPr>
    </w:p>
    <w:p>
      <w:pPr>
        <w:ind w:right="80" w:firstLine="450"/>
        <w:spacing w:after="0" w:line="268" w:lineRule="auto"/>
        <w:rPr>
          <w:sz w:val="20"/>
          <w:szCs w:val="20"/>
          <w:color w:val="auto"/>
        </w:rPr>
      </w:pPr>
      <w:r>
        <w:rPr>
          <w:rFonts w:ascii="Times New Roman" w:cs="Times New Roman" w:eastAsia="Times New Roman" w:hAnsi="Times New Roman"/>
          <w:sz w:val="18"/>
          <w:szCs w:val="18"/>
          <w:color w:val="auto"/>
        </w:rPr>
        <w:t>Our charter provides that a director may be removed only for cause, as defined in our charter, and then only by the affirmative vote of at least two-thirds of the votes entitled to be cast generally in the election of directors.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Action by stockholders</w:t>
      </w:r>
    </w:p>
    <w:p>
      <w:pPr>
        <w:spacing w:after="0" w:line="113" w:lineRule="exact"/>
        <w:rPr>
          <w:sz w:val="20"/>
          <w:szCs w:val="20"/>
          <w:color w:val="auto"/>
        </w:rPr>
      </w:pPr>
    </w:p>
    <w:p>
      <w:pPr>
        <w:ind w:right="300" w:firstLine="450"/>
        <w:spacing w:after="0" w:line="256" w:lineRule="auto"/>
        <w:rPr>
          <w:sz w:val="20"/>
          <w:szCs w:val="20"/>
          <w:color w:val="auto"/>
        </w:rPr>
      </w:pPr>
      <w:r>
        <w:rPr>
          <w:rFonts w:ascii="Times New Roman" w:cs="Times New Roman" w:eastAsia="Times New Roman" w:hAnsi="Times New Roman"/>
          <w:sz w:val="18"/>
          <w:szCs w:val="18"/>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may have the effect of delaying consideration of a stockholder proposal until the next annual meeting.</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20"/>
          </w:cols>
          <w:pgMar w:left="320" w:top="290"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7178040" cy="54610"/>
                    </a:xfrm>
                    <a:prstGeom prst="rect">
                      <a:avLst/>
                    </a:prstGeom>
                    <a:noFill/>
                  </pic:spPr>
                </pic:pic>
              </a:graphicData>
            </a:graphic>
          </wp:anchor>
        </w:drawing>
        <w:t>Advance notice provisions for stockholder nominations and stockholder proposals</w:t>
      </w:r>
    </w:p>
    <w:p>
      <w:pPr>
        <w:spacing w:after="0" w:line="113" w:lineRule="exact"/>
        <w:rPr>
          <w:sz w:val="20"/>
          <w:szCs w:val="20"/>
          <w:color w:val="auto"/>
        </w:rPr>
      </w:pPr>
    </w:p>
    <w:p>
      <w:pPr>
        <w:ind w:right="40" w:firstLine="450"/>
        <w:spacing w:after="0" w:line="286" w:lineRule="auto"/>
        <w:rPr>
          <w:sz w:val="20"/>
          <w:szCs w:val="20"/>
          <w:color w:val="auto"/>
        </w:rPr>
      </w:pPr>
      <w:r>
        <w:rPr>
          <w:rFonts w:ascii="Times New Roman" w:cs="Times New Roman" w:eastAsia="Times New Roman" w:hAnsi="Times New Roman"/>
          <w:sz w:val="16"/>
          <w:szCs w:val="16"/>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or at the direction of the board of directors or</w:t>
      </w:r>
    </w:p>
    <w:p>
      <w:pPr>
        <w:ind w:right="20" w:firstLine="5"/>
        <w:spacing w:after="0" w:line="244" w:lineRule="auto"/>
        <w:tabs>
          <w:tab w:leader="none" w:pos="2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stockholder who was a stockholder of record at the time of provision of notice and at the time of the meeting,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by or at the direction of the board of directors or (2) provided that the special meeting has been called in accordance with our bylaws for the purposes of electing directors by a stockholder who was a stockholder of record at the time of provision of notice and at the time of the meeting, who is entitled to vote at the meeting and who has complied with the advance notice provisions of the bylaws.</w:t>
      </w:r>
    </w:p>
    <w:p>
      <w:pPr>
        <w:spacing w:after="0" w:line="193" w:lineRule="exact"/>
        <w:rPr>
          <w:sz w:val="20"/>
          <w:szCs w:val="20"/>
          <w:color w:val="auto"/>
        </w:rPr>
      </w:pPr>
    </w:p>
    <w:p>
      <w:pPr>
        <w:ind w:firstLine="450"/>
        <w:spacing w:after="0" w:line="247" w:lineRule="auto"/>
        <w:rPr>
          <w:sz w:val="20"/>
          <w:szCs w:val="20"/>
          <w:color w:val="auto"/>
        </w:rPr>
      </w:pPr>
      <w:r>
        <w:rPr>
          <w:rFonts w:ascii="Times New Roman" w:cs="Times New Roman" w:eastAsia="Times New Roman" w:hAnsi="Times New Roman"/>
          <w:sz w:val="18"/>
          <w:szCs w:val="18"/>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Calling of special meetings of stockholders</w:t>
      </w:r>
    </w:p>
    <w:p>
      <w:pPr>
        <w:spacing w:after="0" w:line="113" w:lineRule="exact"/>
        <w:rPr>
          <w:sz w:val="20"/>
          <w:szCs w:val="20"/>
          <w:color w:val="auto"/>
        </w:rPr>
      </w:pPr>
    </w:p>
    <w:p>
      <w:pPr>
        <w:jc w:val="both"/>
        <w:ind w:right="200" w:firstLine="450"/>
        <w:spacing w:after="0" w:line="252" w:lineRule="auto"/>
        <w:rPr>
          <w:sz w:val="20"/>
          <w:szCs w:val="20"/>
          <w:color w:val="auto"/>
        </w:rPr>
      </w:pPr>
      <w:r>
        <w:rPr>
          <w:rFonts w:ascii="Times New Roman" w:cs="Times New Roman" w:eastAsia="Times New Roman" w:hAnsi="Times New Roman"/>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of extraordinary corporate action; amendment of charter and bylaws</w:t>
      </w:r>
    </w:p>
    <w:p>
      <w:pPr>
        <w:spacing w:after="0" w:line="113" w:lineRule="exact"/>
        <w:rPr>
          <w:sz w:val="20"/>
          <w:szCs w:val="20"/>
          <w:color w:val="auto"/>
        </w:rPr>
      </w:pPr>
    </w:p>
    <w:p>
      <w:pPr>
        <w:ind w:firstLine="450"/>
        <w:spacing w:after="0" w:line="280" w:lineRule="auto"/>
        <w:rPr>
          <w:sz w:val="20"/>
          <w:szCs w:val="20"/>
          <w:color w:val="auto"/>
        </w:rPr>
      </w:pPr>
      <w:r>
        <w:rPr>
          <w:rFonts w:ascii="Times New Roman" w:cs="Times New Roman" w:eastAsia="Times New Roman" w:hAnsi="Times New Roman"/>
          <w:sz w:val="16"/>
          <w:szCs w:val="16"/>
          <w:color w:val="auto"/>
        </w:rPr>
        <w:t>Under Maryland law, a Maryland corporation generally cannot dissolve, amend its charter, merge, convert,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20"/>
          </w:cols>
          <w:pgMar w:left="320" w:top="288" w:right="359" w:bottom="1440" w:gutter="0" w:footer="0" w:header="0"/>
        </w:sectPr>
      </w:pPr>
    </w:p>
    <w:bookmarkStart w:id="50" w:name="page51"/>
    <w:bookmarkEnd w:id="50"/>
    <w:p>
      <w:pPr>
        <w:ind w:right="380" w:firstLine="45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7178040" cy="54610"/>
                    </a:xfrm>
                    <a:prstGeom prst="rect">
                      <a:avLst/>
                    </a:prstGeom>
                    <a:noFill/>
                  </pic:spPr>
                </pic:pic>
              </a:graphicData>
            </a:graphic>
          </wp:anchor>
        </w:drawing>
        <w:t>Our charter and bylaws provide that the board of directors will have the exclusive power to adopt, alter or repeal any provision of our bylaws and to make new bylaws.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appraisal rights</w:t>
      </w:r>
    </w:p>
    <w:p>
      <w:pPr>
        <w:spacing w:after="0" w:line="113" w:lineRule="exact"/>
        <w:rPr>
          <w:sz w:val="20"/>
          <w:szCs w:val="20"/>
          <w:color w:val="auto"/>
        </w:rPr>
      </w:pPr>
    </w:p>
    <w:p>
      <w:pPr>
        <w:ind w:right="440" w:firstLine="450"/>
        <w:spacing w:after="0" w:line="268" w:lineRule="auto"/>
        <w:rPr>
          <w:sz w:val="20"/>
          <w:szCs w:val="20"/>
          <w:color w:val="auto"/>
        </w:rPr>
      </w:pPr>
      <w:r>
        <w:rPr>
          <w:rFonts w:ascii="Times New Roman" w:cs="Times New Roman" w:eastAsia="Times New Roman" w:hAnsi="Times New Roman"/>
          <w:sz w:val="18"/>
          <w:szCs w:val="18"/>
          <w:color w:val="auto"/>
        </w:rPr>
        <w:t>Except with respect to appraisal rights arising in connection with the Control Share Acquisition Act discussed below, as permitted by the Maryland General Corporation Law, our charter provides that stockholders will not be entitled to exercise appraisal rights.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Control share acquisitions</w:t>
      </w:r>
    </w:p>
    <w:p>
      <w:pPr>
        <w:spacing w:after="0" w:line="113" w:lineRule="exact"/>
        <w:rPr>
          <w:sz w:val="20"/>
          <w:szCs w:val="20"/>
          <w:color w:val="auto"/>
        </w:rPr>
      </w:pPr>
    </w:p>
    <w:p>
      <w:pPr>
        <w:ind w:right="180" w:firstLine="450"/>
        <w:spacing w:after="0" w:line="268" w:lineRule="auto"/>
        <w:rPr>
          <w:sz w:val="20"/>
          <w:szCs w:val="20"/>
          <w:color w:val="auto"/>
        </w:rPr>
      </w:pPr>
      <w:r>
        <w:rPr>
          <w:rFonts w:ascii="Times New Roman" w:cs="Times New Roman" w:eastAsia="Times New Roman" w:hAnsi="Times New Roman"/>
          <w:sz w:val="18"/>
          <w:szCs w:val="18"/>
          <w:color w:val="auto"/>
        </w:rPr>
        <w:t>Our bylaws contain a provision exempting from the Control Share Acquisition Act any and all acquisitions by any person of shares of our stock. There can be no assurance that such provision will not be amended or eliminated at any time in the future to the extent permitted by the 1940 Act.</w:t>
      </w:r>
    </w:p>
    <w:p>
      <w:pPr>
        <w:spacing w:after="0" w:line="169" w:lineRule="exact"/>
        <w:rPr>
          <w:sz w:val="20"/>
          <w:szCs w:val="20"/>
          <w:color w:val="auto"/>
        </w:rPr>
      </w:pPr>
    </w:p>
    <w:p>
      <w:pPr>
        <w:ind w:firstLine="450"/>
        <w:spacing w:after="0" w:line="289" w:lineRule="auto"/>
        <w:rPr>
          <w:sz w:val="20"/>
          <w:szCs w:val="20"/>
          <w:color w:val="auto"/>
        </w:rPr>
      </w:pPr>
      <w:r>
        <w:rPr>
          <w:rFonts w:ascii="Times New Roman" w:cs="Times New Roman" w:eastAsia="Times New Roman" w:hAnsi="Times New Roman"/>
          <w:sz w:val="16"/>
          <w:szCs w:val="16"/>
          <w:color w:val="auto"/>
        </w:rPr>
        <w:t>The Control Share Acquisition Act provides that control shares of a Maryland corporation acquired in a control share acquisition have no voting rights except to the extent approved by a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63" w:lineRule="exact"/>
        <w:rPr>
          <w:sz w:val="20"/>
          <w:szCs w:val="20"/>
          <w:color w:val="auto"/>
        </w:rPr>
      </w:pPr>
    </w:p>
    <w:p>
      <w:pPr>
        <w:ind w:left="1000" w:hanging="442"/>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one-tenth or more but less than one-third;</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or more but less than a majority; or</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or more of all voting power.</w:t>
      </w:r>
    </w:p>
    <w:p>
      <w:pPr>
        <w:spacing w:after="0" w:line="214" w:lineRule="exact"/>
        <w:rPr>
          <w:sz w:val="20"/>
          <w:szCs w:val="20"/>
          <w:color w:val="auto"/>
        </w:rPr>
      </w:pPr>
    </w:p>
    <w:p>
      <w:pPr>
        <w:ind w:right="120" w:firstLine="450"/>
        <w:spacing w:after="0" w:line="256" w:lineRule="auto"/>
        <w:rPr>
          <w:sz w:val="20"/>
          <w:szCs w:val="20"/>
          <w:color w:val="auto"/>
        </w:rPr>
      </w:pPr>
      <w:r>
        <w:rPr>
          <w:rFonts w:ascii="Times New Roman" w:cs="Times New Roman" w:eastAsia="Times New Roman" w:hAnsi="Times New Roman"/>
          <w:sz w:val="18"/>
          <w:szCs w:val="18"/>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or shares acquired directly from the corporation. A control share acquisition means the acquisition of control shares, subject to certain exceptions.</w:t>
      </w:r>
    </w:p>
    <w:p>
      <w:pPr>
        <w:spacing w:after="0" w:line="180" w:lineRule="exact"/>
        <w:rPr>
          <w:sz w:val="20"/>
          <w:szCs w:val="20"/>
          <w:color w:val="auto"/>
        </w:rPr>
      </w:pPr>
    </w:p>
    <w:p>
      <w:pPr>
        <w:ind w:right="40" w:firstLine="450"/>
        <w:spacing w:after="0" w:line="252" w:lineRule="auto"/>
        <w:rPr>
          <w:sz w:val="20"/>
          <w:szCs w:val="20"/>
          <w:color w:val="auto"/>
        </w:rPr>
      </w:pPr>
      <w:r>
        <w:rPr>
          <w:rFonts w:ascii="Times New Roman" w:cs="Times New Roman" w:eastAsia="Times New Roman" w:hAnsi="Times New Roman"/>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83" w:lineRule="exact"/>
        <w:rPr>
          <w:sz w:val="20"/>
          <w:szCs w:val="20"/>
          <w:color w:val="auto"/>
        </w:rPr>
      </w:pPr>
    </w:p>
    <w:p>
      <w:pPr>
        <w:ind w:firstLine="450"/>
        <w:spacing w:after="0" w:line="284" w:lineRule="auto"/>
        <w:rPr>
          <w:sz w:val="20"/>
          <w:szCs w:val="20"/>
          <w:color w:val="auto"/>
        </w:rPr>
      </w:pPr>
      <w:r>
        <w:rPr>
          <w:rFonts w:ascii="Times New Roman" w:cs="Times New Roman" w:eastAsia="Times New Roman" w:hAnsi="Times New Roman"/>
          <w:sz w:val="16"/>
          <w:szCs w:val="16"/>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Fair value is determined, without regard to the absence of voting rights for the control shares, as of the date of any meeting of stockholders at which the voting rights of the shares are considered and not approved or, if no such meeting is held, as of the date of the last control share acquisition by the acquirer.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60" w:lineRule="exact"/>
        <w:rPr>
          <w:sz w:val="20"/>
          <w:szCs w:val="20"/>
          <w:color w:val="auto"/>
        </w:rPr>
      </w:pPr>
    </w:p>
    <w:p>
      <w:pPr>
        <w:ind w:right="140" w:firstLine="450"/>
        <w:spacing w:after="0" w:line="268" w:lineRule="auto"/>
        <w:rPr>
          <w:sz w:val="20"/>
          <w:szCs w:val="20"/>
          <w:color w:val="auto"/>
        </w:rPr>
      </w:pPr>
      <w:r>
        <w:rPr>
          <w:rFonts w:ascii="Times New Roman" w:cs="Times New Roman" w:eastAsia="Times New Roman" w:hAnsi="Times New Roman"/>
          <w:sz w:val="18"/>
          <w:szCs w:val="18"/>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20"/>
          </w:cols>
          <w:pgMar w:left="320" w:top="292"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7178040" cy="54610"/>
                    </a:xfrm>
                    <a:prstGeom prst="rect">
                      <a:avLst/>
                    </a:prstGeom>
                    <a:noFill/>
                  </pic:spPr>
                </pic:pic>
              </a:graphicData>
            </a:graphic>
          </wp:anchor>
        </w:drawing>
        <w:t>Business combinations</w:t>
      </w:r>
    </w:p>
    <w:p>
      <w:pPr>
        <w:spacing w:after="0" w:line="113" w:lineRule="exact"/>
        <w:rPr>
          <w:sz w:val="20"/>
          <w:szCs w:val="20"/>
          <w:color w:val="auto"/>
        </w:rPr>
      </w:pPr>
    </w:p>
    <w:p>
      <w:pPr>
        <w:ind w:right="40" w:firstLine="450"/>
        <w:spacing w:after="0" w:line="252" w:lineRule="auto"/>
        <w:rPr>
          <w:sz w:val="20"/>
          <w:szCs w:val="20"/>
          <w:color w:val="auto"/>
        </w:rPr>
      </w:pPr>
      <w:r>
        <w:rPr>
          <w:rFonts w:ascii="Times New Roman" w:cs="Times New Roman" w:eastAsia="Times New Roman" w:hAnsi="Times New Roman"/>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91" w:lineRule="exact"/>
        <w:rPr>
          <w:sz w:val="20"/>
          <w:szCs w:val="20"/>
          <w:color w:val="auto"/>
        </w:rPr>
      </w:pPr>
    </w:p>
    <w:p>
      <w:pPr>
        <w:ind w:left="1000" w:hanging="442"/>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beneficially owns, directly or indirectly, 10% or more of the voting power of the corporation’s shares; or</w:t>
      </w:r>
    </w:p>
    <w:p>
      <w:pPr>
        <w:spacing w:after="0" w:line="121" w:lineRule="exact"/>
        <w:rPr>
          <w:rFonts w:ascii="Times New Roman" w:cs="Times New Roman" w:eastAsia="Times New Roman" w:hAnsi="Times New Roman"/>
          <w:sz w:val="18"/>
          <w:szCs w:val="18"/>
          <w:color w:val="auto"/>
        </w:rPr>
      </w:pPr>
    </w:p>
    <w:p>
      <w:pPr>
        <w:ind w:left="1000" w:right="360" w:hanging="442"/>
        <w:spacing w:after="0" w:line="268"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or associate of the corporation who, at any time within the two-year period prior to the date in question, was the beneficial owner, directly or indirectly, of 10% or more of the voting power of the then outstanding voting stock of the corporation.</w:t>
      </w:r>
    </w:p>
    <w:p>
      <w:pPr>
        <w:spacing w:after="0" w:line="169" w:lineRule="exact"/>
        <w:rPr>
          <w:sz w:val="20"/>
          <w:szCs w:val="20"/>
          <w:color w:val="auto"/>
        </w:rPr>
      </w:pPr>
    </w:p>
    <w:p>
      <w:pPr>
        <w:ind w:right="60" w:firstLine="450"/>
        <w:spacing w:after="0" w:line="256" w:lineRule="auto"/>
        <w:rPr>
          <w:sz w:val="20"/>
          <w:szCs w:val="20"/>
          <w:color w:val="auto"/>
        </w:rPr>
      </w:pPr>
      <w:r>
        <w:rPr>
          <w:rFonts w:ascii="Times New Roman" w:cs="Times New Roman" w:eastAsia="Times New Roman" w:hAnsi="Times New Roman"/>
          <w:sz w:val="18"/>
          <w:szCs w:val="18"/>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80" w:lineRule="exact"/>
        <w:rPr>
          <w:sz w:val="20"/>
          <w:szCs w:val="20"/>
          <w:color w:val="auto"/>
        </w:rPr>
      </w:pPr>
    </w:p>
    <w:p>
      <w:pPr>
        <w:ind w:right="120" w:firstLine="450"/>
        <w:spacing w:after="0" w:line="268" w:lineRule="auto"/>
        <w:rPr>
          <w:sz w:val="20"/>
          <w:szCs w:val="20"/>
          <w:color w:val="auto"/>
        </w:rPr>
      </w:pPr>
      <w:r>
        <w:rPr>
          <w:rFonts w:ascii="Times New Roman" w:cs="Times New Roman" w:eastAsia="Times New Roman" w:hAnsi="Times New Roman"/>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77" w:lineRule="exact"/>
        <w:rPr>
          <w:sz w:val="20"/>
          <w:szCs w:val="20"/>
          <w:color w:val="auto"/>
        </w:rPr>
      </w:pPr>
    </w:p>
    <w:p>
      <w:pPr>
        <w:ind w:left="1000" w:hanging="442"/>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of the votes entitled to be cast by holders of outstanding shares of voting stock of the corporation; and</w:t>
      </w:r>
    </w:p>
    <w:p>
      <w:pPr>
        <w:spacing w:after="0" w:line="121" w:lineRule="exact"/>
        <w:rPr>
          <w:rFonts w:ascii="Times New Roman" w:cs="Times New Roman" w:eastAsia="Times New Roman" w:hAnsi="Times New Roman"/>
          <w:sz w:val="18"/>
          <w:szCs w:val="18"/>
          <w:color w:val="auto"/>
        </w:rPr>
      </w:pPr>
    </w:p>
    <w:p>
      <w:pPr>
        <w:ind w:left="1000" w:right="220" w:hanging="442"/>
        <w:spacing w:after="0" w:line="332" w:lineRule="auto"/>
        <w:tabs>
          <w:tab w:leader="none" w:pos="10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123" w:lineRule="exact"/>
        <w:rPr>
          <w:sz w:val="20"/>
          <w:szCs w:val="20"/>
          <w:color w:val="auto"/>
        </w:rPr>
      </w:pPr>
    </w:p>
    <w:p>
      <w:pPr>
        <w:ind w:firstLine="450"/>
        <w:spacing w:after="0" w:line="268" w:lineRule="auto"/>
        <w:rPr>
          <w:sz w:val="20"/>
          <w:szCs w:val="20"/>
          <w:color w:val="auto"/>
        </w:rPr>
      </w:pPr>
      <w:r>
        <w:rPr>
          <w:rFonts w:ascii="Times New Roman" w:cs="Times New Roman" w:eastAsia="Times New Roman" w:hAnsi="Times New Roman"/>
          <w:sz w:val="18"/>
          <w:szCs w:val="18"/>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169" w:lineRule="exact"/>
        <w:rPr>
          <w:sz w:val="20"/>
          <w:szCs w:val="20"/>
          <w:color w:val="auto"/>
        </w:rPr>
      </w:pPr>
    </w:p>
    <w:p>
      <w:pPr>
        <w:ind w:firstLine="450"/>
        <w:spacing w:after="0" w:line="249" w:lineRule="auto"/>
        <w:rPr>
          <w:sz w:val="20"/>
          <w:szCs w:val="20"/>
          <w:color w:val="auto"/>
        </w:rPr>
      </w:pPr>
      <w:r>
        <w:rPr>
          <w:rFonts w:ascii="Times New Roman" w:cs="Times New Roman" w:eastAsia="Times New Roman" w:hAnsi="Times New Roman"/>
          <w:sz w:val="18"/>
          <w:szCs w:val="18"/>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Conflict with 1940 Act</w:t>
      </w:r>
    </w:p>
    <w:p>
      <w:pPr>
        <w:spacing w:after="0" w:line="113" w:lineRule="exact"/>
        <w:rPr>
          <w:sz w:val="20"/>
          <w:szCs w:val="20"/>
          <w:color w:val="auto"/>
        </w:rPr>
      </w:pPr>
    </w:p>
    <w:p>
      <w:pPr>
        <w:ind w:right="160" w:firstLine="450"/>
        <w:spacing w:after="0" w:line="256" w:lineRule="auto"/>
        <w:rPr>
          <w:sz w:val="20"/>
          <w:szCs w:val="20"/>
          <w:color w:val="auto"/>
        </w:rPr>
      </w:pPr>
      <w:r>
        <w:rPr>
          <w:rFonts w:ascii="Times New Roman" w:cs="Times New Roman" w:eastAsia="Times New Roman" w:hAnsi="Times New Roman"/>
          <w:sz w:val="18"/>
          <w:szCs w:val="18"/>
          <w:color w:val="auto"/>
        </w:rPr>
        <w:t>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28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7178040" cy="54610"/>
                    </a:xfrm>
                    <a:prstGeom prst="rect">
                      <a:avLst/>
                    </a:prstGeom>
                    <a:noFill/>
                  </pic:spPr>
                </pic:pic>
              </a:graphicData>
            </a:graphic>
          </wp:anchor>
        </w:drawing>
        <w:t>Exclusive Forum</w:t>
      </w:r>
    </w:p>
    <w:p>
      <w:pPr>
        <w:spacing w:after="0" w:line="113" w:lineRule="exact"/>
        <w:rPr>
          <w:sz w:val="20"/>
          <w:szCs w:val="20"/>
          <w:color w:val="auto"/>
        </w:rPr>
      </w:pPr>
    </w:p>
    <w:p>
      <w:pPr>
        <w:ind w:right="40" w:firstLine="450"/>
        <w:spacing w:after="0" w:line="286" w:lineRule="auto"/>
        <w:rPr>
          <w:sz w:val="20"/>
          <w:szCs w:val="20"/>
          <w:color w:val="auto"/>
        </w:rPr>
      </w:pPr>
      <w:r>
        <w:rPr>
          <w:rFonts w:ascii="Times New Roman" w:cs="Times New Roman" w:eastAsia="Times New Roman" w:hAnsi="Times New Roman"/>
          <w:sz w:val="16"/>
          <w:szCs w:val="16"/>
          <w:color w:val="auto"/>
        </w:rPr>
        <w:t>Our bylaws provide that, unless we consent in writing to the selection of an alternative forum, the Circuit Court for Baltimore City, Maryland, or, if that court does not have jurisdiction, the United States District Court for the District of Maryland, Baltimore Division, will be the sole and exclusive forum for</w:t>
      </w:r>
    </w:p>
    <w:p>
      <w:pPr>
        <w:ind w:left="240" w:hanging="235"/>
        <w:spacing w:after="0"/>
        <w:tabs>
          <w:tab w:leader="none" w:pos="2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Internal Corporate Claim, as such term is defined in Section 1-101(q) of the Maryland General Corporation Law, or any successor provision thereof,</w:t>
      </w:r>
    </w:p>
    <w:p>
      <w:pPr>
        <w:spacing w:after="0" w:line="26" w:lineRule="exact"/>
        <w:rPr>
          <w:rFonts w:ascii="Times New Roman" w:cs="Times New Roman" w:eastAsia="Times New Roman" w:hAnsi="Times New Roman"/>
          <w:sz w:val="16"/>
          <w:szCs w:val="16"/>
          <w:color w:val="auto"/>
        </w:rPr>
      </w:pPr>
    </w:p>
    <w:p>
      <w:pPr>
        <w:ind w:firstLine="5"/>
        <w:spacing w:after="0" w:line="244" w:lineRule="auto"/>
        <w:tabs>
          <w:tab w:leader="none" w:pos="24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behalf of the Company, other than actions arising under federal securities laws, (c) any action asserting a claim of breach of any duty owed by any director or officer or other agent of the Company to the Company or to the stockholders of the Company, (d) any action asserting a claim against the Company or any director or officer or other agent of the Company arising pursuant to any provision of the Maryland General Corporation Law or our charter or bylaws or (e) any other action asserting a claim against the Company or any director or officer or other agent of the Company that is governed by the internal affairs doctrine. None of the foregoing actions, claims or proceedings may be brought in any court sitting outside the State of Maryland unless the Company consents in writing to such court.</w:t>
      </w:r>
    </w:p>
    <w:p>
      <w:pPr>
        <w:spacing w:after="0" w:line="1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40"/>
          </w:cols>
          <w:pgMar w:left="320" w:top="288" w:right="439"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7178040" cy="54610"/>
                    </a:xfrm>
                    <a:prstGeom prst="rect">
                      <a:avLst/>
                    </a:prstGeom>
                    <a:noFill/>
                  </pic:spPr>
                </pic:pic>
              </a:graphicData>
            </a:graphic>
          </wp:anchor>
        </w:drawing>
        <w:t>DESCRIPTION OF OUR PREFERRED STOCK</w:t>
      </w:r>
    </w:p>
    <w:p>
      <w:pPr>
        <w:spacing w:after="0" w:line="216" w:lineRule="exact"/>
        <w:rPr>
          <w:sz w:val="20"/>
          <w:szCs w:val="20"/>
          <w:color w:val="auto"/>
        </w:rPr>
      </w:pPr>
    </w:p>
    <w:p>
      <w:pPr>
        <w:ind w:right="20" w:firstLine="450"/>
        <w:spacing w:after="0" w:line="286" w:lineRule="auto"/>
        <w:rPr>
          <w:sz w:val="20"/>
          <w:szCs w:val="20"/>
          <w:color w:val="auto"/>
        </w:rPr>
      </w:pPr>
      <w:r>
        <w:rPr>
          <w:rFonts w:ascii="Times New Roman" w:cs="Times New Roman" w:eastAsia="Times New Roman" w:hAnsi="Times New Roman"/>
          <w:sz w:val="16"/>
          <w:szCs w:val="16"/>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58" w:lineRule="exact"/>
        <w:rPr>
          <w:sz w:val="20"/>
          <w:szCs w:val="20"/>
          <w:color w:val="auto"/>
        </w:rPr>
      </w:pPr>
    </w:p>
    <w:p>
      <w:pPr>
        <w:ind w:firstLine="450"/>
        <w:spacing w:after="0" w:line="248" w:lineRule="auto"/>
        <w:rPr>
          <w:sz w:val="20"/>
          <w:szCs w:val="20"/>
          <w:color w:val="auto"/>
        </w:rPr>
      </w:pPr>
      <w:r>
        <w:rPr>
          <w:rFonts w:ascii="Times New Roman" w:cs="Times New Roman" w:eastAsia="Times New Roman" w:hAnsi="Times New Roman"/>
          <w:sz w:val="18"/>
          <w:szCs w:val="18"/>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66 2/3%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187" w:lineRule="exact"/>
        <w:rPr>
          <w:sz w:val="20"/>
          <w:szCs w:val="20"/>
          <w:color w:val="auto"/>
        </w:rPr>
      </w:pPr>
    </w:p>
    <w:p>
      <w:pPr>
        <w:ind w:right="460" w:firstLine="450"/>
        <w:spacing w:after="0" w:line="268" w:lineRule="auto"/>
        <w:rPr>
          <w:sz w:val="20"/>
          <w:szCs w:val="20"/>
          <w:color w:val="auto"/>
        </w:rPr>
      </w:pPr>
      <w:r>
        <w:rPr>
          <w:rFonts w:ascii="Times New Roman" w:cs="Times New Roman" w:eastAsia="Times New Roman" w:hAnsi="Times New Roman"/>
          <w:sz w:val="18"/>
          <w:szCs w:val="18"/>
          <w:color w:val="auto"/>
        </w:rPr>
        <w:t>For any series of preferred stock that we may issue, our board of directors will determine and the prospectus supplement relating to such series will describe:</w:t>
      </w:r>
    </w:p>
    <w:p>
      <w:pPr>
        <w:spacing w:after="0" w:line="77" w:lineRule="exact"/>
        <w:rPr>
          <w:sz w:val="20"/>
          <w:szCs w:val="20"/>
          <w:color w:val="auto"/>
        </w:rPr>
      </w:pPr>
    </w:p>
    <w:p>
      <w:pPr>
        <w:ind w:left="1000" w:hanging="442"/>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number of shares of such series;</w:t>
      </w:r>
    </w:p>
    <w:p>
      <w:pPr>
        <w:spacing w:after="0" w:line="121" w:lineRule="exact"/>
        <w:rPr>
          <w:rFonts w:ascii="Times New Roman" w:cs="Times New Roman" w:eastAsia="Times New Roman" w:hAnsi="Times New Roman"/>
          <w:sz w:val="18"/>
          <w:szCs w:val="18"/>
          <w:color w:val="auto"/>
        </w:rPr>
      </w:pPr>
    </w:p>
    <w:p>
      <w:pPr>
        <w:ind w:left="1000" w:right="580" w:hanging="442"/>
        <w:spacing w:after="0" w:line="268"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convertibility or exchangeability of the shares of such series;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preferences, if any, of holders of shares of such series upon our liquidation, dissolution or winding up of our affairs;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powers, if any, of the holders of shares of such series;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the redemption of the shares of such series;</w:t>
      </w:r>
    </w:p>
    <w:p>
      <w:pPr>
        <w:spacing w:after="0" w:line="121" w:lineRule="exact"/>
        <w:rPr>
          <w:rFonts w:ascii="Times New Roman" w:cs="Times New Roman" w:eastAsia="Times New Roman" w:hAnsi="Times New Roman"/>
          <w:sz w:val="18"/>
          <w:szCs w:val="18"/>
          <w:color w:val="auto"/>
        </w:rPr>
      </w:pPr>
    </w:p>
    <w:p>
      <w:pPr>
        <w:ind w:left="1000" w:right="380" w:hanging="442"/>
        <w:spacing w:after="0" w:line="268"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our ability to pay dividends or make distributions on, or acquire or redeem, other securities while shares of such series are outstanding;</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conditions or restrictions on our ability to issue additional shares of such series or other securities;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and</w:t>
      </w:r>
    </w:p>
    <w:p>
      <w:pPr>
        <w:spacing w:after="0" w:line="121" w:lineRule="exact"/>
        <w:rPr>
          <w:rFonts w:ascii="Times New Roman" w:cs="Times New Roman" w:eastAsia="Times New Roman" w:hAnsi="Times New Roman"/>
          <w:sz w:val="18"/>
          <w:szCs w:val="18"/>
          <w:color w:val="auto"/>
        </w:rPr>
      </w:pPr>
    </w:p>
    <w:p>
      <w:pPr>
        <w:ind w:left="1000" w:right="300" w:hanging="442"/>
        <w:spacing w:after="0" w:line="268"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relative power, preferences and participating, optional or special rights of shares of such series, and the qualifications, limitations or restrictions thereof.</w:t>
      </w:r>
    </w:p>
    <w:p>
      <w:pPr>
        <w:spacing w:after="0" w:line="169" w:lineRule="exact"/>
        <w:rPr>
          <w:sz w:val="20"/>
          <w:szCs w:val="20"/>
          <w:color w:val="auto"/>
        </w:rPr>
      </w:pPr>
    </w:p>
    <w:p>
      <w:pPr>
        <w:ind w:right="20" w:firstLine="450"/>
        <w:spacing w:after="0" w:line="250" w:lineRule="auto"/>
        <w:rPr>
          <w:sz w:val="20"/>
          <w:szCs w:val="20"/>
          <w:color w:val="auto"/>
        </w:rPr>
      </w:pPr>
      <w:r>
        <w:rPr>
          <w:rFonts w:ascii="Times New Roman" w:cs="Times New Roman" w:eastAsia="Times New Roman" w:hAnsi="Times New Roman"/>
          <w:sz w:val="18"/>
          <w:szCs w:val="18"/>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290" w:right="339"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7178040" cy="54610"/>
                    </a:xfrm>
                    <a:prstGeom prst="rect">
                      <a:avLst/>
                    </a:prstGeom>
                    <a:noFill/>
                  </pic:spPr>
                </pic:pic>
              </a:graphicData>
            </a:graphic>
          </wp:anchor>
        </w:drawing>
        <w:t>DESCRIPTION OF OUR WARRANTS</w:t>
      </w:r>
    </w:p>
    <w:p>
      <w:pPr>
        <w:spacing w:after="0" w:line="216" w:lineRule="exact"/>
        <w:rPr>
          <w:sz w:val="20"/>
          <w:szCs w:val="20"/>
          <w:color w:val="auto"/>
        </w:rPr>
      </w:pPr>
    </w:p>
    <w:p>
      <w:pPr>
        <w:ind w:right="360" w:firstLine="450"/>
        <w:spacing w:after="0" w:line="268" w:lineRule="auto"/>
        <w:rPr>
          <w:sz w:val="20"/>
          <w:szCs w:val="20"/>
          <w:color w:val="auto"/>
        </w:rPr>
      </w:pPr>
      <w:r>
        <w:rPr>
          <w:rFonts w:ascii="Times New Roman" w:cs="Times New Roman" w:eastAsia="Times New Roman" w:hAnsi="Times New Roman"/>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69"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18"/>
          <w:szCs w:val="18"/>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prospectus supplement will describe the particular terms of any series of warrants we may issue, including the following:</w:t>
      </w:r>
    </w:p>
    <w:p>
      <w:pPr>
        <w:spacing w:after="0" w:line="122" w:lineRule="exact"/>
        <w:rPr>
          <w:sz w:val="20"/>
          <w:szCs w:val="20"/>
          <w:color w:val="auto"/>
        </w:rPr>
      </w:pPr>
    </w:p>
    <w:p>
      <w:pPr>
        <w:ind w:left="1000" w:hanging="442"/>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warrants;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such warrants;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warrants will be issued;</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including composite currencies, in which the price of such warrants may be payable;</w:t>
      </w:r>
    </w:p>
    <w:p>
      <w:pPr>
        <w:spacing w:after="0" w:line="121" w:lineRule="exact"/>
        <w:rPr>
          <w:rFonts w:ascii="Times New Roman" w:cs="Times New Roman" w:eastAsia="Times New Roman" w:hAnsi="Times New Roman"/>
          <w:sz w:val="18"/>
          <w:szCs w:val="18"/>
          <w:color w:val="auto"/>
        </w:rPr>
      </w:pPr>
    </w:p>
    <w:p>
      <w:pPr>
        <w:ind w:left="1000" w:right="300" w:hanging="442"/>
        <w:spacing w:after="0" w:line="268"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77" w:lineRule="exact"/>
        <w:rPr>
          <w:rFonts w:ascii="Times New Roman" w:cs="Times New Roman" w:eastAsia="Times New Roman" w:hAnsi="Times New Roman"/>
          <w:sz w:val="18"/>
          <w:szCs w:val="18"/>
          <w:color w:val="auto"/>
        </w:rPr>
      </w:pPr>
    </w:p>
    <w:p>
      <w:pPr>
        <w:jc w:val="both"/>
        <w:ind w:left="1000" w:hanging="442"/>
        <w:spacing w:after="0" w:line="256"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87" w:lineRule="exact"/>
        <w:rPr>
          <w:rFonts w:ascii="Times New Roman" w:cs="Times New Roman" w:eastAsia="Times New Roman" w:hAnsi="Times New Roman"/>
          <w:sz w:val="18"/>
          <w:szCs w:val="18"/>
          <w:color w:val="auto"/>
        </w:rPr>
      </w:pPr>
    </w:p>
    <w:p>
      <w:pPr>
        <w:ind w:left="1000" w:right="160" w:hanging="442"/>
        <w:spacing w:after="0" w:line="256"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8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warrants will commence and the date on which such right will expire;</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warrants will be issued in registered form or bearer form;</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such warrants which may be exercised at any one time;</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such warrants and the related securities will be separately transferable;</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and</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warrants, including terms, procedures and limitations relating to the exchange and exercise of such warrants.</w:t>
      </w:r>
    </w:p>
    <w:p>
      <w:pPr>
        <w:spacing w:after="0" w:line="214" w:lineRule="exact"/>
        <w:rPr>
          <w:sz w:val="20"/>
          <w:szCs w:val="20"/>
          <w:color w:val="auto"/>
        </w:rPr>
      </w:pPr>
    </w:p>
    <w:p>
      <w:pPr>
        <w:ind w:right="180" w:firstLine="450"/>
        <w:spacing w:after="0" w:line="256" w:lineRule="auto"/>
        <w:rPr>
          <w:sz w:val="20"/>
          <w:szCs w:val="20"/>
          <w:color w:val="auto"/>
        </w:rPr>
      </w:pPr>
      <w:r>
        <w:rPr>
          <w:rFonts w:ascii="Times New Roman" w:cs="Times New Roman" w:eastAsia="Times New Roman" w:hAnsi="Times New Roman"/>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20"/>
          </w:cols>
          <w:pgMar w:left="320" w:top="290" w:right="359" w:bottom="1440" w:gutter="0" w:footer="0" w:header="0"/>
        </w:sectPr>
      </w:pPr>
    </w:p>
    <w:bookmarkStart w:id="55" w:name="page56"/>
    <w:bookmarkEnd w:id="55"/>
    <w:p>
      <w:pPr>
        <w:ind w:firstLine="45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7178040" cy="54610"/>
                    </a:xfrm>
                    <a:prstGeom prst="rect">
                      <a:avLst/>
                    </a:prstGeom>
                    <a:noFill/>
                  </pic:spPr>
                </pic:pic>
              </a:graphicData>
            </a:graphic>
          </wp:anchor>
        </w:drawing>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83" w:lineRule="exact"/>
        <w:rPr>
          <w:sz w:val="20"/>
          <w:szCs w:val="20"/>
          <w:color w:val="auto"/>
        </w:rPr>
      </w:pPr>
    </w:p>
    <w:p>
      <w:pPr>
        <w:ind w:right="100" w:firstLine="450"/>
        <w:spacing w:after="0" w:line="248" w:lineRule="auto"/>
        <w:rPr>
          <w:sz w:val="20"/>
          <w:szCs w:val="20"/>
          <w:color w:val="auto"/>
        </w:rPr>
      </w:pPr>
      <w:r>
        <w:rPr>
          <w:rFonts w:ascii="Times New Roman" w:cs="Times New Roman" w:eastAsia="Times New Roman" w:hAnsi="Times New Roman"/>
          <w:sz w:val="18"/>
          <w:szCs w:val="18"/>
          <w:color w:val="auto"/>
        </w:rPr>
        <w:t>Under the 1940 Act, we may generally only offer warrants provided that (1) the warrants expire by their terms within ten years, (2) the exercise price is not less than the market value of our common stock at the date of issuance, (3) if no such market value exists for our common stock, the exercise price is not less than the then current NAV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80"/>
          </w:cols>
          <w:pgMar w:left="320" w:top="292" w:right="399"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7178040" cy="54610"/>
                    </a:xfrm>
                    <a:prstGeom prst="rect">
                      <a:avLst/>
                    </a:prstGeom>
                    <a:noFill/>
                  </pic:spPr>
                </pic:pic>
              </a:graphicData>
            </a:graphic>
          </wp:anchor>
        </w:drawing>
        <w:t>DESCRIPTION OF OUR SUBSCRIPTION RIGHTS</w:t>
      </w:r>
    </w:p>
    <w:p>
      <w:pPr>
        <w:spacing w:after="0" w:line="216" w:lineRule="exact"/>
        <w:rPr>
          <w:sz w:val="20"/>
          <w:szCs w:val="20"/>
          <w:color w:val="auto"/>
        </w:rPr>
      </w:pPr>
    </w:p>
    <w:p>
      <w:pPr>
        <w:ind w:right="20" w:firstLine="450"/>
        <w:spacing w:after="0" w:line="247" w:lineRule="auto"/>
        <w:rPr>
          <w:sz w:val="20"/>
          <w:szCs w:val="20"/>
          <w:color w:val="auto"/>
        </w:rPr>
      </w:pPr>
      <w:r>
        <w:rPr>
          <w:rFonts w:ascii="Times New Roman" w:cs="Times New Roman" w:eastAsia="Times New Roman" w:hAnsi="Times New Roman"/>
          <w:sz w:val="18"/>
          <w:szCs w:val="18"/>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applicable prospectus supplement would describe the following terms of subscription rights in respect of which this prospectus is being delivered:</w:t>
      </w:r>
    </w:p>
    <w:p>
      <w:pPr>
        <w:spacing w:after="0" w:line="145" w:lineRule="exact"/>
        <w:rPr>
          <w:sz w:val="20"/>
          <w:szCs w:val="20"/>
          <w:color w:val="auto"/>
        </w:rPr>
      </w:pPr>
    </w:p>
    <w:p>
      <w:pPr>
        <w:ind w:left="1000" w:hanging="442"/>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subscription rights;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or a formula for the determination of the exercise price for such subscription rights;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or a formula for the determination of the number of such subscription rights issued to each stockholder;</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subscription rights are transferable;</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applicable, a discussion of the material U.S. federal income tax considerations applicable to the issuance or exercise of such subscription rights;</w:t>
      </w:r>
    </w:p>
    <w:p>
      <w:pPr>
        <w:spacing w:after="0" w:line="144" w:lineRule="exact"/>
        <w:rPr>
          <w:rFonts w:ascii="Times New Roman" w:cs="Times New Roman" w:eastAsia="Times New Roman" w:hAnsi="Times New Roman"/>
          <w:sz w:val="16"/>
          <w:szCs w:val="16"/>
          <w:color w:val="auto"/>
        </w:rPr>
      </w:pPr>
    </w:p>
    <w:p>
      <w:pPr>
        <w:ind w:left="1000" w:right="240" w:hanging="442"/>
        <w:spacing w:after="0" w:line="268"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subscription rights would commence, and the date on which such rights will expire (subject to any extension);</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subscription rights include an over-subscription privilege with respect to unsubscribed securities;</w:t>
      </w:r>
    </w:p>
    <w:p>
      <w:pPr>
        <w:spacing w:after="0" w:line="121" w:lineRule="exact"/>
        <w:rPr>
          <w:rFonts w:ascii="Times New Roman" w:cs="Times New Roman" w:eastAsia="Times New Roman" w:hAnsi="Times New Roman"/>
          <w:sz w:val="18"/>
          <w:szCs w:val="18"/>
          <w:color w:val="auto"/>
        </w:rPr>
      </w:pPr>
    </w:p>
    <w:p>
      <w:pPr>
        <w:ind w:left="1000" w:right="580" w:hanging="442"/>
        <w:spacing w:after="0" w:line="268"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other purchase arrangement that we may enter into in connection with the subscription rights offering; and</w:t>
      </w:r>
    </w:p>
    <w:p>
      <w:pPr>
        <w:spacing w:after="0" w:line="77" w:lineRule="exact"/>
        <w:rPr>
          <w:rFonts w:ascii="Times New Roman" w:cs="Times New Roman" w:eastAsia="Times New Roman" w:hAnsi="Times New Roman"/>
          <w:sz w:val="18"/>
          <w:szCs w:val="18"/>
          <w:color w:val="auto"/>
        </w:rPr>
      </w:pPr>
    </w:p>
    <w:p>
      <w:pPr>
        <w:ind w:left="1000" w:hanging="442"/>
        <w:spacing w:after="0" w:line="268"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subscription rights, including terms, procedures and limitations relating to the exchange and exercise of such subscription rights.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Subscription Rights</w:t>
      </w:r>
    </w:p>
    <w:p>
      <w:pPr>
        <w:spacing w:after="0" w:line="111" w:lineRule="exact"/>
        <w:rPr>
          <w:sz w:val="20"/>
          <w:szCs w:val="20"/>
          <w:color w:val="auto"/>
        </w:rPr>
      </w:pPr>
    </w:p>
    <w:p>
      <w:pPr>
        <w:ind w:right="40" w:firstLine="450"/>
        <w:spacing w:after="0" w:line="250" w:lineRule="auto"/>
        <w:rPr>
          <w:sz w:val="20"/>
          <w:szCs w:val="20"/>
          <w:color w:val="auto"/>
        </w:rPr>
      </w:pPr>
      <w:r>
        <w:rPr>
          <w:rFonts w:ascii="Times New Roman" w:cs="Times New Roman" w:eastAsia="Times New Roman" w:hAnsi="Times New Roman"/>
          <w:sz w:val="18"/>
          <w:szCs w:val="18"/>
          <w:color w:val="auto"/>
        </w:rPr>
        <w:t>Each subscription right would entitle the holder of the subscription right to purchase for cash such amount of shares of common stock or other securities at such exercise price as will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85" w:lineRule="exact"/>
        <w:rPr>
          <w:sz w:val="20"/>
          <w:szCs w:val="20"/>
          <w:color w:val="auto"/>
        </w:rPr>
      </w:pPr>
    </w:p>
    <w:p>
      <w:pPr>
        <w:ind w:right="180" w:firstLine="450"/>
        <w:spacing w:after="0" w:line="249" w:lineRule="auto"/>
        <w:rPr>
          <w:sz w:val="20"/>
          <w:szCs w:val="20"/>
          <w:color w:val="auto"/>
        </w:rPr>
      </w:pPr>
      <w:r>
        <w:rPr>
          <w:rFonts w:ascii="Times New Roman" w:cs="Times New Roman" w:eastAsia="Times New Roman" w:hAnsi="Times New Roman"/>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20"/>
          </w:cols>
          <w:pgMar w:left="320" w:top="290" w:right="359" w:bottom="1440" w:gutter="0" w:footer="0" w:header="0"/>
        </w:sectPr>
      </w:pPr>
    </w:p>
    <w:bookmarkStart w:id="57" w:name="page58"/>
    <w:bookmarkEnd w:id="5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7178040" cy="54610"/>
                    </a:xfrm>
                    <a:prstGeom prst="rect">
                      <a:avLst/>
                    </a:prstGeom>
                    <a:noFill/>
                  </pic:spPr>
                </pic:pic>
              </a:graphicData>
            </a:graphic>
          </wp:anchor>
        </w:drawing>
        <w:t>DESCRIPTION OF OUR DEBT SECURITIES</w:t>
      </w:r>
    </w:p>
    <w:p>
      <w:pPr>
        <w:spacing w:after="0" w:line="216" w:lineRule="exact"/>
        <w:rPr>
          <w:sz w:val="20"/>
          <w:szCs w:val="20"/>
          <w:color w:val="auto"/>
        </w:rPr>
      </w:pPr>
    </w:p>
    <w:p>
      <w:pPr>
        <w:ind w:firstLine="450"/>
        <w:spacing w:after="0" w:line="250" w:lineRule="auto"/>
        <w:rPr>
          <w:sz w:val="20"/>
          <w:szCs w:val="20"/>
          <w:color w:val="auto"/>
        </w:rPr>
      </w:pPr>
      <w:r>
        <w:rPr>
          <w:rFonts w:ascii="Times New Roman" w:cs="Times New Roman" w:eastAsia="Times New Roman" w:hAnsi="Times New Roman"/>
          <w:sz w:val="18"/>
          <w:szCs w:val="18"/>
          <w:color w:val="auto"/>
        </w:rPr>
        <w:t>In March 2021, and in October 2021, we issued $100.0 million and $85.0 million, respectively, in aggregate principal amount of our 2026 Notes at a public offering price per note of 99.4% and 101.5%, respectively. The 2026 Notes were issued pursuant to the Base Indenture, dated March 23, 2021 (the “Base Indenture”), between the Company and Equiniti Trust Company, LLC (f/k/a American Stock Transfer &amp; Trust Company, LLC), or Equiniti, as trustee, as supplemented by the First Supplemental Indenture, dated March 23, 2021, between the Company and Equiniti. The 2026 Notes are due on April 1, 2026 and may be redeemed in whole or in part at the Company’s option.</w:t>
      </w:r>
    </w:p>
    <w:p>
      <w:pPr>
        <w:spacing w:after="0" w:line="185" w:lineRule="exact"/>
        <w:rPr>
          <w:sz w:val="20"/>
          <w:szCs w:val="20"/>
          <w:color w:val="auto"/>
        </w:rPr>
      </w:pPr>
    </w:p>
    <w:p>
      <w:pPr>
        <w:ind w:right="20" w:firstLine="450"/>
        <w:spacing w:after="0" w:line="248" w:lineRule="auto"/>
        <w:rPr>
          <w:sz w:val="20"/>
          <w:szCs w:val="20"/>
          <w:color w:val="auto"/>
        </w:rPr>
      </w:pPr>
      <w:r>
        <w:rPr>
          <w:rFonts w:ascii="Times New Roman" w:cs="Times New Roman" w:eastAsia="Times New Roman" w:hAnsi="Times New Roman"/>
          <w:sz w:val="18"/>
          <w:szCs w:val="18"/>
          <w:color w:val="auto"/>
        </w:rPr>
        <w:t>The 2026 Notes bear interest at a rate of 4.25% per year payable semi-annually on April 1 and October 1 of each year. The 2026 Notes are the Company’s direct unsecured obligations and rank pari passu in right of payment with the Company’s current and future unsecured unsubordinated indebtedness, senior to any of the Company’s future indebtedness that expressly states it is subordinated in right of payment to the 2026 Notes, effectively subordinated in right of payment to all of the Company’s existing and future secured indebtedness (including indebtedness that is initially unsecured, but to which the Company subsequently grant security) to the extent of the value of the assets securing such indebtedness, and structurally subordinated to all existing and future indebtedness and other obligations of any of the Company’s subsidiaries, financing vehicles, or similar facilities. We do not intend to list the 2026 Notes on any securities exchange or automated dealer quotation system.</w:t>
      </w:r>
    </w:p>
    <w:p>
      <w:pPr>
        <w:spacing w:after="0" w:line="187" w:lineRule="exact"/>
        <w:rPr>
          <w:sz w:val="20"/>
          <w:szCs w:val="20"/>
          <w:color w:val="auto"/>
        </w:rPr>
      </w:pPr>
    </w:p>
    <w:p>
      <w:pPr>
        <w:ind w:right="100" w:firstLine="450"/>
        <w:spacing w:after="0" w:line="252" w:lineRule="auto"/>
        <w:rPr>
          <w:sz w:val="20"/>
          <w:szCs w:val="20"/>
          <w:color w:val="auto"/>
        </w:rPr>
      </w:pPr>
      <w:r>
        <w:rPr>
          <w:rFonts w:ascii="Times New Roman" w:cs="Times New Roman" w:eastAsia="Times New Roman" w:hAnsi="Times New Roman"/>
          <w:sz w:val="18"/>
          <w:szCs w:val="18"/>
          <w:color w:val="auto"/>
        </w:rPr>
        <w:t>We may issue additional debt securities in one or more series. The specific terms of each additional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83" w:lineRule="exact"/>
        <w:rPr>
          <w:sz w:val="20"/>
          <w:szCs w:val="20"/>
          <w:color w:val="auto"/>
        </w:rPr>
      </w:pPr>
    </w:p>
    <w:p>
      <w:pPr>
        <w:ind w:right="340" w:firstLine="450"/>
        <w:spacing w:after="0" w:line="289" w:lineRule="auto"/>
        <w:rPr>
          <w:sz w:val="20"/>
          <w:szCs w:val="20"/>
          <w:color w:val="auto"/>
        </w:rPr>
      </w:pPr>
      <w:r>
        <w:rPr>
          <w:rFonts w:ascii="Times New Roman" w:cs="Times New Roman" w:eastAsia="Times New Roman" w:hAnsi="Times New Roman"/>
          <w:sz w:val="16"/>
          <w:szCs w:val="16"/>
          <w:color w:val="auto"/>
        </w:rPr>
        <w:t>As required by federal law for all bonds and notes of companies that are publicly offered in the United States,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See “Description of our Debt Securities - Events of Default” For more information. Second, the trustee performs certain administrative duties for us, such as sending interest and principal payments to holders.</w:t>
      </w:r>
    </w:p>
    <w:p>
      <w:pPr>
        <w:spacing w:after="0" w:line="155" w:lineRule="exact"/>
        <w:rPr>
          <w:sz w:val="20"/>
          <w:szCs w:val="20"/>
          <w:color w:val="auto"/>
        </w:rPr>
      </w:pPr>
    </w:p>
    <w:p>
      <w:pPr>
        <w:ind w:firstLine="450"/>
        <w:spacing w:after="0" w:line="293" w:lineRule="auto"/>
        <w:rPr>
          <w:sz w:val="20"/>
          <w:szCs w:val="20"/>
          <w:color w:val="auto"/>
        </w:rPr>
      </w:pPr>
      <w:r>
        <w:rPr>
          <w:rFonts w:ascii="Times New Roman" w:cs="Times New Roman" w:eastAsia="Times New Roman" w:hAnsi="Times New Roman"/>
          <w:sz w:val="16"/>
          <w:szCs w:val="16"/>
          <w:color w:val="auto"/>
        </w:rPr>
        <w:t>Because this section is a summary, it does not describe every aspect of the debt securities and the indenture. We urge you to read the indenture because it, and not this description, defines your rights as a holder of debt securities issued pursuant to this prospectus and any accompanying prospectus supplement. For example, in this section, we use capitalized words to signify terms that are specifically defined in the indenture. Some of the definitions are repeated in this prospectus, but for the rest, you will need to read the indenture. See “Available Information” for information on how to obtain a copy of the indenture.</w:t>
      </w:r>
    </w:p>
    <w:p>
      <w:pPr>
        <w:spacing w:after="0" w:line="154" w:lineRule="exact"/>
        <w:rPr>
          <w:sz w:val="20"/>
          <w:szCs w:val="20"/>
          <w:color w:val="auto"/>
        </w:rPr>
      </w:pPr>
    </w:p>
    <w:p>
      <w:pPr>
        <w:ind w:right="60" w:firstLine="450"/>
        <w:spacing w:after="0" w:line="268" w:lineRule="auto"/>
        <w:rPr>
          <w:sz w:val="20"/>
          <w:szCs w:val="20"/>
          <w:color w:val="auto"/>
        </w:rPr>
      </w:pPr>
      <w:r>
        <w:rPr>
          <w:rFonts w:ascii="Times New Roman" w:cs="Times New Roman" w:eastAsia="Times New Roman" w:hAnsi="Times New Roman"/>
          <w:sz w:val="18"/>
          <w:szCs w:val="18"/>
          <w:color w:val="auto"/>
        </w:rPr>
        <w:t>A prospectus supplement, which will accompany this prospectus with respect to a particular offering of debt securities, will describe the particular series of debt securities being offered by including:</w:t>
      </w:r>
    </w:p>
    <w:p>
      <w:pPr>
        <w:spacing w:after="0" w:line="77" w:lineRule="exact"/>
        <w:rPr>
          <w:sz w:val="20"/>
          <w:szCs w:val="20"/>
          <w:color w:val="auto"/>
        </w:rPr>
      </w:pPr>
    </w:p>
    <w:p>
      <w:pPr>
        <w:ind w:left="1000" w:hanging="442"/>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or title of the series of debt securities;</w:t>
      </w:r>
    </w:p>
    <w:p>
      <w:pPr>
        <w:spacing w:after="0" w:line="121" w:lineRule="exact"/>
        <w:rPr>
          <w:rFonts w:ascii="Times New Roman" w:cs="Times New Roman" w:eastAsia="Times New Roman" w:hAnsi="Times New Roman"/>
          <w:sz w:val="18"/>
          <w:szCs w:val="18"/>
          <w:color w:val="auto"/>
        </w:rPr>
      </w:pPr>
    </w:p>
    <w:p>
      <w:pPr>
        <w:ind w:left="1000" w:right="180" w:hanging="442"/>
        <w:spacing w:after="0" w:line="268"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principal amount of the series of debt securities and whether or not the offering may be reopened for additional securities of that series and on what terms;</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 principal amount at which the series of debt securities will be offered;</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principal will be payable;</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20"/>
          </w:cols>
          <w:pgMar w:left="320" w:top="290" w:right="359" w:bottom="1440" w:gutter="0" w:footer="0" w:header="0"/>
        </w:sectPr>
      </w:pPr>
    </w:p>
    <w:bookmarkStart w:id="58" w:name="page59"/>
    <w:bookmarkEnd w:id="58"/>
    <w:p>
      <w:pPr>
        <w:ind w:left="1000" w:hanging="442"/>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the rate or rates (which may be either fixed or variable) and/or the method of determining such rate or rates of interest, if any;</w:t>
      </w:r>
    </w:p>
    <w:p>
      <w:pPr>
        <w:spacing w:after="0" w:line="121" w:lineRule="exact"/>
        <w:rPr>
          <w:rFonts w:ascii="Times New Roman" w:cs="Times New Roman" w:eastAsia="Times New Roman" w:hAnsi="Times New Roman"/>
          <w:sz w:val="18"/>
          <w:szCs w:val="18"/>
          <w:color w:val="auto"/>
        </w:rPr>
      </w:pPr>
    </w:p>
    <w:p>
      <w:pPr>
        <w:ind w:left="1000" w:right="40" w:hanging="442"/>
        <w:spacing w:after="0" w:line="268"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any interest will accrue, or the method of determining such date or dates, and the date or dates on which any interest will be payable;</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for redemption, extension or early repayment, if any;</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currencies in which the series of debt securities are issued and payable;</w:t>
      </w:r>
    </w:p>
    <w:p>
      <w:pPr>
        <w:spacing w:after="0" w:line="121" w:lineRule="exact"/>
        <w:rPr>
          <w:rFonts w:ascii="Times New Roman" w:cs="Times New Roman" w:eastAsia="Times New Roman" w:hAnsi="Times New Roman"/>
          <w:sz w:val="18"/>
          <w:szCs w:val="18"/>
          <w:color w:val="auto"/>
        </w:rPr>
      </w:pPr>
    </w:p>
    <w:p>
      <w:pPr>
        <w:jc w:val="both"/>
        <w:ind w:left="1000" w:right="240" w:hanging="442"/>
        <w:spacing w:after="0" w:line="256"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87" w:lineRule="exact"/>
        <w:rPr>
          <w:rFonts w:ascii="Times New Roman" w:cs="Times New Roman" w:eastAsia="Times New Roman" w:hAnsi="Times New Roman"/>
          <w:sz w:val="18"/>
          <w:szCs w:val="18"/>
          <w:color w:val="auto"/>
        </w:rPr>
      </w:pPr>
    </w:p>
    <w:p>
      <w:pPr>
        <w:ind w:left="1000" w:right="520" w:hanging="442"/>
        <w:spacing w:after="0" w:line="268"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if any, other than or in addition to The City of New York, of payment, transfer, conversion and/or exchange of the debt securities;</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offered debt securities will be issued;</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any sinking fund;</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restrictive covenants;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series of debt securities are issuable in certificated form;</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defeasance or covenant defeasance;</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special federal income tax implications, including, if applicable, federal income tax considerations relating to original issue discount, or OID;</w:t>
      </w:r>
    </w:p>
    <w:p>
      <w:pPr>
        <w:spacing w:after="0" w:line="144" w:lineRule="exact"/>
        <w:rPr>
          <w:rFonts w:ascii="Times New Roman" w:cs="Times New Roman" w:eastAsia="Times New Roman" w:hAnsi="Times New Roman"/>
          <w:sz w:val="16"/>
          <w:szCs w:val="16"/>
          <w:color w:val="auto"/>
        </w:rPr>
      </w:pPr>
    </w:p>
    <w:p>
      <w:pPr>
        <w:ind w:left="1000" w:right="480" w:hanging="442"/>
        <w:spacing w:after="0" w:line="332" w:lineRule="auto"/>
        <w:tabs>
          <w:tab w:leader="none" w:pos="10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30" w:lineRule="exact"/>
        <w:rPr>
          <w:rFonts w:ascii="Times New Roman" w:cs="Times New Roman" w:eastAsia="Times New Roman" w:hAnsi="Times New Roman"/>
          <w:sz w:val="16"/>
          <w:szCs w:val="16"/>
          <w:color w:val="auto"/>
        </w:rPr>
      </w:pPr>
    </w:p>
    <w:p>
      <w:pPr>
        <w:ind w:left="1000" w:hanging="442"/>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convertibility or exchangeability of the debt securities into or for any other securities;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subject to subordination and the terms of such subordination;</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listing, if any, on a securities exchange; and</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w:t>
      </w:r>
    </w:p>
    <w:p>
      <w:pPr>
        <w:spacing w:after="0" w:line="214"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18"/>
          <w:szCs w:val="18"/>
          <w:color w:val="auto"/>
        </w:rPr>
        <w:t>The debt securities may be secured or unsecured obligations. Under the provisions of the 1940 Act, we are permitted, as a BDC, to issue debt only in amounts such that we are in compliance with our asset coverage ratio, as defined in the 1940 Act, after each issuance of debt. Unless the prospectus supplement states otherwise, principal (and premium, if any) and interest, if any, will be paid by us in immediately available funds.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11" w:lineRule="exact"/>
        <w:rPr>
          <w:sz w:val="20"/>
          <w:szCs w:val="20"/>
          <w:color w:val="auto"/>
        </w:rPr>
      </w:pPr>
    </w:p>
    <w:p>
      <w:pPr>
        <w:ind w:right="120" w:firstLine="450"/>
        <w:spacing w:after="0" w:line="256" w:lineRule="auto"/>
        <w:rPr>
          <w:sz w:val="20"/>
          <w:szCs w:val="20"/>
          <w:color w:val="auto"/>
        </w:rPr>
      </w:pPr>
      <w:r>
        <w:rPr>
          <w:rFonts w:ascii="Times New Roman" w:cs="Times New Roman" w:eastAsia="Times New Roman" w:hAnsi="Times New Roman"/>
          <w:sz w:val="18"/>
          <w:szCs w:val="18"/>
          <w:color w:val="auto"/>
        </w:rPr>
        <w:t>The indenture provides that any debt securities proposed to be sold under this prospectus and any prospectus supplement, or offered debt securities, and any debt securities issuable upon the exercise of warrants or upon conversion or exchange of other offered securities, or underlying debt securities may be issued under the indenture in one or more series.</w:t>
      </w:r>
    </w:p>
    <w:p>
      <w:pPr>
        <w:spacing w:after="0" w:line="180" w:lineRule="exact"/>
        <w:rPr>
          <w:sz w:val="20"/>
          <w:szCs w:val="20"/>
          <w:color w:val="auto"/>
        </w:rPr>
      </w:pPr>
    </w:p>
    <w:p>
      <w:pPr>
        <w:ind w:right="280" w:firstLine="450"/>
        <w:spacing w:after="0" w:line="268" w:lineRule="auto"/>
        <w:rPr>
          <w:sz w:val="20"/>
          <w:szCs w:val="20"/>
          <w:color w:val="auto"/>
        </w:rPr>
      </w:pPr>
      <w:r>
        <w:rPr>
          <w:rFonts w:ascii="Times New Roman" w:cs="Times New Roman" w:eastAsia="Times New Roman" w:hAnsi="Times New Roman"/>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20"/>
          </w:cols>
          <w:pgMar w:left="320" w:top="292" w:right="359" w:bottom="1440" w:gutter="0" w:footer="0" w:header="0"/>
        </w:sectPr>
      </w:pPr>
    </w:p>
    <w:bookmarkStart w:id="59" w:name="page60"/>
    <w:bookmarkEnd w:id="59"/>
    <w:p>
      <w:pPr>
        <w:ind w:firstLine="450"/>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indenture does not contain any provisions that give you protection in the event we issue a large amount of debt or we are acquired by another entity.</w:t>
      </w:r>
    </w:p>
    <w:p>
      <w:pPr>
        <w:spacing w:after="0" w:line="237" w:lineRule="exact"/>
        <w:rPr>
          <w:sz w:val="20"/>
          <w:szCs w:val="20"/>
          <w:color w:val="auto"/>
        </w:rPr>
      </w:pPr>
    </w:p>
    <w:p>
      <w:pPr>
        <w:ind w:right="500" w:firstLine="450"/>
        <w:spacing w:after="0" w:line="268" w:lineRule="auto"/>
        <w:rPr>
          <w:sz w:val="20"/>
          <w:szCs w:val="20"/>
          <w:color w:val="auto"/>
        </w:rPr>
      </w:pPr>
      <w:r>
        <w:rPr>
          <w:rFonts w:ascii="Times New Roman" w:cs="Times New Roman" w:eastAsia="Times New Roman" w:hAnsi="Times New Roman"/>
          <w:sz w:val="18"/>
          <w:szCs w:val="18"/>
          <w:color w:val="auto"/>
        </w:rPr>
        <w:t>A prospectus supplement will contain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69" w:lineRule="exact"/>
        <w:rPr>
          <w:sz w:val="20"/>
          <w:szCs w:val="20"/>
          <w:color w:val="auto"/>
        </w:rPr>
      </w:pPr>
    </w:p>
    <w:p>
      <w:pPr>
        <w:ind w:right="120" w:firstLine="450"/>
        <w:spacing w:after="0" w:line="256" w:lineRule="auto"/>
        <w:rPr>
          <w:sz w:val="20"/>
          <w:szCs w:val="20"/>
          <w:color w:val="auto"/>
        </w:rPr>
      </w:pPr>
      <w:r>
        <w:rPr>
          <w:rFonts w:ascii="Times New Roman" w:cs="Times New Roman" w:eastAsia="Times New Roman" w:hAnsi="Times New Roman"/>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80" w:lineRule="exact"/>
        <w:rPr>
          <w:sz w:val="20"/>
          <w:szCs w:val="20"/>
          <w:color w:val="auto"/>
        </w:rPr>
      </w:pPr>
    </w:p>
    <w:p>
      <w:pPr>
        <w:ind w:right="80" w:firstLine="450"/>
        <w:spacing w:after="0" w:line="250" w:lineRule="auto"/>
        <w:rPr>
          <w:sz w:val="20"/>
          <w:szCs w:val="20"/>
          <w:color w:val="auto"/>
        </w:rPr>
      </w:pPr>
      <w:r>
        <w:rPr>
          <w:rFonts w:ascii="Times New Roman" w:cs="Times New Roman" w:eastAsia="Times New Roman" w:hAnsi="Times New Roman"/>
          <w:sz w:val="18"/>
          <w:szCs w:val="18"/>
          <w:color w:val="auto"/>
        </w:rPr>
        <w:t>If any debt securities are convertible into shares of our common stock, the exercise price for such conversion will not be less than the NAV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NAV per share in the 12 months preceding the issuance and the exercise price closely approximates the market value of our common stock at the time the debt securities are issued).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and Exchange</w:t>
      </w:r>
    </w:p>
    <w:p>
      <w:pPr>
        <w:spacing w:after="0" w:line="111" w:lineRule="exact"/>
        <w:rPr>
          <w:sz w:val="20"/>
          <w:szCs w:val="20"/>
          <w:color w:val="auto"/>
        </w:rPr>
      </w:pPr>
    </w:p>
    <w:p>
      <w:pPr>
        <w:ind w:right="120" w:firstLine="450"/>
        <w:spacing w:after="0" w:line="249" w:lineRule="auto"/>
        <w:rPr>
          <w:sz w:val="20"/>
          <w:szCs w:val="20"/>
          <w:color w:val="auto"/>
        </w:rPr>
      </w:pPr>
      <w:r>
        <w:rPr>
          <w:rFonts w:ascii="Times New Roman" w:cs="Times New Roman" w:eastAsia="Times New Roman" w:hAnsi="Times New Roman"/>
          <w:sz w:val="18"/>
          <w:szCs w:val="18"/>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of Securities in Registered Form</w:t>
      </w:r>
    </w:p>
    <w:p>
      <w:pPr>
        <w:spacing w:after="0" w:line="111" w:lineRule="exact"/>
        <w:rPr>
          <w:sz w:val="20"/>
          <w:szCs w:val="20"/>
          <w:color w:val="auto"/>
        </w:rPr>
      </w:pPr>
    </w:p>
    <w:p>
      <w:pPr>
        <w:ind w:right="180" w:firstLine="450"/>
        <w:spacing w:after="0" w:line="256" w:lineRule="auto"/>
        <w:rPr>
          <w:sz w:val="20"/>
          <w:szCs w:val="20"/>
          <w:color w:val="auto"/>
        </w:rPr>
      </w:pPr>
      <w:r>
        <w:rPr>
          <w:rFonts w:ascii="Times New Roman" w:cs="Times New Roman" w:eastAsia="Times New Roman" w:hAnsi="Times New Roman"/>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80" w:lineRule="exact"/>
        <w:rPr>
          <w:sz w:val="20"/>
          <w:szCs w:val="20"/>
          <w:color w:val="auto"/>
        </w:rPr>
      </w:pPr>
    </w:p>
    <w:p>
      <w:pPr>
        <w:ind w:right="260" w:firstLine="450"/>
        <w:spacing w:after="0" w:line="268" w:lineRule="auto"/>
        <w:rPr>
          <w:sz w:val="20"/>
          <w:szCs w:val="20"/>
          <w:color w:val="auto"/>
        </w:rPr>
      </w:pPr>
      <w:r>
        <w:rPr>
          <w:rFonts w:ascii="Times New Roman" w:cs="Times New Roman" w:eastAsia="Times New Roman" w:hAnsi="Times New Roman"/>
          <w:sz w:val="18"/>
          <w:szCs w:val="18"/>
          <w:color w:val="auto"/>
        </w:rPr>
        <w:t>We also will have the option of issuing debt securities in non-registered form as bearer securities if we issue the securities outside the United States to non-U.S. persons. In that case, the prospectus supplement will set forth</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20"/>
          </w:cols>
          <w:pgMar w:left="320" w:top="292" w:right="359" w:bottom="1440" w:gutter="0" w:footer="0" w:header="0"/>
        </w:sectPr>
      </w:pPr>
    </w:p>
    <w:bookmarkStart w:id="60" w:name="page61"/>
    <w:bookmarkEnd w:id="60"/>
    <w:p>
      <w:pPr>
        <w:ind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Book-Entry Holders</w:t>
      </w:r>
    </w:p>
    <w:p>
      <w:pPr>
        <w:spacing w:after="0" w:line="111" w:lineRule="exact"/>
        <w:rPr>
          <w:sz w:val="20"/>
          <w:szCs w:val="20"/>
          <w:color w:val="auto"/>
        </w:rPr>
      </w:pPr>
    </w:p>
    <w:p>
      <w:pPr>
        <w:jc w:val="both"/>
        <w:ind w:right="140" w:firstLine="450"/>
        <w:spacing w:after="0" w:line="252" w:lineRule="auto"/>
        <w:rPr>
          <w:sz w:val="20"/>
          <w:szCs w:val="20"/>
          <w:color w:val="auto"/>
        </w:rPr>
      </w:pPr>
      <w:r>
        <w:rPr>
          <w:rFonts w:ascii="Times New Roman" w:cs="Times New Roman" w:eastAsia="Times New Roman" w:hAnsi="Times New Roman"/>
          <w:sz w:val="18"/>
          <w:szCs w:val="18"/>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83" w:lineRule="exact"/>
        <w:rPr>
          <w:sz w:val="20"/>
          <w:szCs w:val="20"/>
          <w:color w:val="auto"/>
        </w:rPr>
      </w:pPr>
    </w:p>
    <w:p>
      <w:pPr>
        <w:ind w:right="60" w:firstLine="450"/>
        <w:spacing w:after="0" w:line="250" w:lineRule="auto"/>
        <w:rPr>
          <w:sz w:val="20"/>
          <w:szCs w:val="20"/>
          <w:color w:val="auto"/>
        </w:rPr>
      </w:pPr>
      <w:r>
        <w:rPr>
          <w:rFonts w:ascii="Times New Roman" w:cs="Times New Roman" w:eastAsia="Times New Roman" w:hAnsi="Times New Roman"/>
          <w:sz w:val="18"/>
          <w:szCs w:val="18"/>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85" w:lineRule="exact"/>
        <w:rPr>
          <w:sz w:val="20"/>
          <w:szCs w:val="20"/>
          <w:color w:val="auto"/>
        </w:rPr>
      </w:pPr>
    </w:p>
    <w:p>
      <w:pPr>
        <w:ind w:right="80" w:firstLine="450"/>
        <w:spacing w:after="0" w:line="256" w:lineRule="auto"/>
        <w:rPr>
          <w:sz w:val="20"/>
          <w:szCs w:val="20"/>
          <w:color w:val="auto"/>
        </w:rPr>
      </w:pPr>
      <w:r>
        <w:rPr>
          <w:rFonts w:ascii="Times New Roman" w:cs="Times New Roman" w:eastAsia="Times New Roman" w:hAnsi="Times New Roman"/>
          <w:sz w:val="18"/>
          <w:szCs w:val="18"/>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Street Name Holders</w:t>
      </w:r>
    </w:p>
    <w:p>
      <w:pPr>
        <w:spacing w:after="0" w:line="111" w:lineRule="exact"/>
        <w:rPr>
          <w:sz w:val="20"/>
          <w:szCs w:val="20"/>
          <w:color w:val="auto"/>
        </w:rPr>
      </w:pPr>
    </w:p>
    <w:p>
      <w:pPr>
        <w:ind w:right="180" w:firstLine="450"/>
        <w:spacing w:after="0" w:line="303" w:lineRule="auto"/>
        <w:rPr>
          <w:sz w:val="20"/>
          <w:szCs w:val="20"/>
          <w:color w:val="auto"/>
        </w:rPr>
      </w:pPr>
      <w:r>
        <w:rPr>
          <w:rFonts w:ascii="Times New Roman" w:cs="Times New Roman" w:eastAsia="Times New Roman" w:hAnsi="Times New Roman"/>
          <w:sz w:val="16"/>
          <w:szCs w:val="16"/>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145" w:lineRule="exact"/>
        <w:rPr>
          <w:sz w:val="20"/>
          <w:szCs w:val="20"/>
          <w:color w:val="auto"/>
        </w:rPr>
      </w:pPr>
    </w:p>
    <w:p>
      <w:pPr>
        <w:ind w:firstLine="450"/>
        <w:spacing w:after="0" w:line="293" w:lineRule="auto"/>
        <w:rPr>
          <w:sz w:val="20"/>
          <w:szCs w:val="20"/>
          <w:color w:val="auto"/>
        </w:rPr>
      </w:pPr>
      <w:r>
        <w:rPr>
          <w:rFonts w:ascii="Times New Roman" w:cs="Times New Roman" w:eastAsia="Times New Roman" w:hAnsi="Times New Roman"/>
          <w:sz w:val="16"/>
          <w:szCs w:val="16"/>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Holders</w:t>
      </w:r>
    </w:p>
    <w:p>
      <w:pPr>
        <w:spacing w:after="0" w:line="111" w:lineRule="exact"/>
        <w:rPr>
          <w:sz w:val="20"/>
          <w:szCs w:val="20"/>
          <w:color w:val="auto"/>
        </w:rPr>
      </w:pPr>
    </w:p>
    <w:p>
      <w:pPr>
        <w:ind w:right="20" w:firstLine="450"/>
        <w:spacing w:after="0" w:line="252" w:lineRule="auto"/>
        <w:rPr>
          <w:sz w:val="20"/>
          <w:szCs w:val="20"/>
          <w:color w:val="auto"/>
        </w:rPr>
      </w:pPr>
      <w:r>
        <w:rPr>
          <w:rFonts w:ascii="Times New Roman" w:cs="Times New Roman" w:eastAsia="Times New Roman" w:hAnsi="Times New Roman"/>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83" w:lineRule="exact"/>
        <w:rPr>
          <w:sz w:val="20"/>
          <w:szCs w:val="20"/>
          <w:color w:val="auto"/>
        </w:rPr>
      </w:pPr>
    </w:p>
    <w:p>
      <w:pPr>
        <w:ind w:right="260" w:firstLine="450"/>
        <w:spacing w:after="0" w:line="268" w:lineRule="auto"/>
        <w:rPr>
          <w:sz w:val="20"/>
          <w:szCs w:val="20"/>
          <w:color w:val="auto"/>
        </w:rPr>
      </w:pPr>
      <w:r>
        <w:rPr>
          <w:rFonts w:ascii="Times New Roman" w:cs="Times New Roman" w:eastAsia="Times New Roman" w:hAnsi="Times New Roman"/>
          <w:sz w:val="18"/>
          <w:szCs w:val="18"/>
          <w:color w:val="auto"/>
        </w:rPr>
        <w:t>For example, once we make a payment or give a notice to the holder, we have no further responsibility for the payment or notice even if that holder is required, under agreements with depositary participants or customers</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20"/>
          </w:cols>
          <w:pgMar w:left="320" w:top="292" w:right="359" w:bottom="1440" w:gutter="0" w:footer="0" w:header="0"/>
        </w:sectPr>
      </w:pPr>
    </w:p>
    <w:bookmarkStart w:id="61" w:name="page62"/>
    <w:bookmarkEnd w:id="61"/>
    <w:p>
      <w:pPr>
        <w:ind w:right="6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7178040" cy="54610"/>
                    </a:xfrm>
                    <a:prstGeom prst="rect">
                      <a:avLst/>
                    </a:prstGeom>
                    <a:noFill/>
                  </pic:spPr>
                </pic:pic>
              </a:graphicData>
            </a:graphic>
          </wp:anchor>
        </w:drawing>
        <w:t>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83" w:lineRule="exact"/>
        <w:rPr>
          <w:sz w:val="20"/>
          <w:szCs w:val="20"/>
          <w:color w:val="auto"/>
        </w:rPr>
      </w:pPr>
    </w:p>
    <w:p>
      <w:pPr>
        <w:ind w:right="320" w:firstLine="450"/>
        <w:spacing w:after="0" w:line="332" w:lineRule="auto"/>
        <w:rPr>
          <w:sz w:val="20"/>
          <w:szCs w:val="20"/>
          <w:color w:val="auto"/>
        </w:rPr>
      </w:pPr>
      <w:r>
        <w:rPr>
          <w:rFonts w:ascii="Times New Roman" w:cs="Times New Roman" w:eastAsia="Times New Roman" w:hAnsi="Times New Roman"/>
          <w:sz w:val="16"/>
          <w:szCs w:val="16"/>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Considerations for Indirect Holders</w:t>
      </w:r>
    </w:p>
    <w:p>
      <w:pPr>
        <w:spacing w:after="0" w:line="111" w:lineRule="exact"/>
        <w:rPr>
          <w:sz w:val="20"/>
          <w:szCs w:val="20"/>
          <w:color w:val="auto"/>
        </w:rPr>
      </w:pPr>
    </w:p>
    <w:p>
      <w:pPr>
        <w:ind w:right="260" w:firstLine="450"/>
        <w:spacing w:after="0" w:line="268" w:lineRule="auto"/>
        <w:rPr>
          <w:sz w:val="20"/>
          <w:szCs w:val="20"/>
          <w:color w:val="auto"/>
        </w:rPr>
      </w:pPr>
      <w:r>
        <w:rPr>
          <w:rFonts w:ascii="Times New Roman" w:cs="Times New Roman" w:eastAsia="Times New Roman" w:hAnsi="Times New Roman"/>
          <w:sz w:val="18"/>
          <w:szCs w:val="18"/>
          <w:color w:val="auto"/>
        </w:rPr>
        <w:t>If you hold debt securities through a bank, broker or other financial institution, either in book-entry form or in street name, we urge you to check with that institution to find out:</w:t>
      </w:r>
    </w:p>
    <w:p>
      <w:pPr>
        <w:spacing w:after="0" w:line="77" w:lineRule="exact"/>
        <w:rPr>
          <w:sz w:val="20"/>
          <w:szCs w:val="20"/>
          <w:color w:val="auto"/>
        </w:rPr>
      </w:pPr>
    </w:p>
    <w:p>
      <w:pPr>
        <w:ind w:left="1000" w:hanging="442"/>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handles securities payments and notices;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it imposes fees or charges;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handle a request for the holders’ consent, if ever required;</w:t>
      </w:r>
    </w:p>
    <w:p>
      <w:pPr>
        <w:spacing w:after="0" w:line="121" w:lineRule="exact"/>
        <w:rPr>
          <w:rFonts w:ascii="Times New Roman" w:cs="Times New Roman" w:eastAsia="Times New Roman" w:hAnsi="Times New Roman"/>
          <w:sz w:val="18"/>
          <w:szCs w:val="18"/>
          <w:color w:val="auto"/>
        </w:rPr>
      </w:pPr>
    </w:p>
    <w:p>
      <w:pPr>
        <w:ind w:left="1000" w:right="340" w:hanging="442"/>
        <w:spacing w:after="0" w:line="268"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how you can instruct it to send you debt securities registered in your own name so you can be a holder, if that is permitted in the future for a particular series of debt securities;</w:t>
      </w:r>
    </w:p>
    <w:p>
      <w:pPr>
        <w:spacing w:after="0" w:line="77" w:lineRule="exact"/>
        <w:rPr>
          <w:rFonts w:ascii="Times New Roman" w:cs="Times New Roman" w:eastAsia="Times New Roman" w:hAnsi="Times New Roman"/>
          <w:sz w:val="18"/>
          <w:szCs w:val="18"/>
          <w:color w:val="auto"/>
        </w:rPr>
      </w:pPr>
    </w:p>
    <w:p>
      <w:pPr>
        <w:ind w:left="1000" w:right="200" w:hanging="442"/>
        <w:spacing w:after="0" w:line="268"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exercise rights under the debt securities if there were a default or other event triggering the need for holders to act to protect their interests; and</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are in book-entry form, how the depositary’s rules and procedures will affect these matters.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11" w:lineRule="exact"/>
        <w:rPr>
          <w:sz w:val="20"/>
          <w:szCs w:val="20"/>
          <w:color w:val="auto"/>
        </w:rPr>
      </w:pPr>
    </w:p>
    <w:p>
      <w:pPr>
        <w:ind w:right="380" w:firstLine="450"/>
        <w:spacing w:after="0" w:line="268" w:lineRule="auto"/>
        <w:rPr>
          <w:sz w:val="20"/>
          <w:szCs w:val="20"/>
          <w:color w:val="auto"/>
        </w:rPr>
      </w:pPr>
      <w:r>
        <w:rPr>
          <w:rFonts w:ascii="Times New Roman" w:cs="Times New Roman" w:eastAsia="Times New Roman" w:hAnsi="Times New Roman"/>
          <w:sz w:val="18"/>
          <w:szCs w:val="18"/>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169"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83" w:lineRule="exact"/>
        <w:rPr>
          <w:sz w:val="20"/>
          <w:szCs w:val="20"/>
          <w:color w:val="auto"/>
        </w:rPr>
      </w:pPr>
    </w:p>
    <w:p>
      <w:pPr>
        <w:ind w:firstLine="450"/>
        <w:spacing w:after="0" w:line="248" w:lineRule="auto"/>
        <w:rPr>
          <w:sz w:val="20"/>
          <w:szCs w:val="20"/>
          <w:color w:val="auto"/>
        </w:rPr>
      </w:pPr>
      <w:r>
        <w:rPr>
          <w:rFonts w:ascii="Times New Roman" w:cs="Times New Roman" w:eastAsia="Times New Roman" w:hAnsi="Times New Roman"/>
          <w:sz w:val="18"/>
          <w:szCs w:val="18"/>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Considerations for Global Securities</w:t>
      </w:r>
    </w:p>
    <w:p>
      <w:pPr>
        <w:spacing w:after="0" w:line="111" w:lineRule="exact"/>
        <w:rPr>
          <w:sz w:val="20"/>
          <w:szCs w:val="20"/>
          <w:color w:val="auto"/>
        </w:rPr>
      </w:pPr>
    </w:p>
    <w:p>
      <w:pPr>
        <w:ind w:right="160" w:firstLine="450"/>
        <w:spacing w:after="0" w:line="268" w:lineRule="auto"/>
        <w:rPr>
          <w:sz w:val="20"/>
          <w:szCs w:val="20"/>
          <w:color w:val="auto"/>
        </w:rPr>
      </w:pPr>
      <w:r>
        <w:rPr>
          <w:rFonts w:ascii="Times New Roman" w:cs="Times New Roman" w:eastAsia="Times New Roman" w:hAnsi="Times New Roman"/>
          <w:sz w:val="18"/>
          <w:szCs w:val="18"/>
          <w:color w:val="auto"/>
        </w:rPr>
        <w:t>As an indirect holder, an investor’s rights relating to a global security will be governed by the account rules of the investor’s financial institution and of the depositary, as well as general laws relating to securities transfers.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20"/>
          </w:cols>
          <w:pgMar w:left="320" w:top="292"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The depositary that holds the global security will be considered the holder of the debt securities represented by the global security.</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debt securities are issued only in the form of a global security, an investor should be aware of the following:</w:t>
      </w:r>
    </w:p>
    <w:p>
      <w:pPr>
        <w:spacing w:after="0" w:line="122" w:lineRule="exact"/>
        <w:rPr>
          <w:sz w:val="20"/>
          <w:szCs w:val="20"/>
          <w:color w:val="auto"/>
        </w:rPr>
      </w:pPr>
    </w:p>
    <w:p>
      <w:pPr>
        <w:ind w:left="1000" w:right="260" w:hanging="442"/>
        <w:spacing w:after="0" w:line="268"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77" w:lineRule="exact"/>
        <w:rPr>
          <w:rFonts w:ascii="Times New Roman" w:cs="Times New Roman" w:eastAsia="Times New Roman" w:hAnsi="Times New Roman"/>
          <w:sz w:val="18"/>
          <w:szCs w:val="18"/>
          <w:color w:val="auto"/>
        </w:rPr>
      </w:pPr>
    </w:p>
    <w:p>
      <w:pPr>
        <w:ind w:left="1000" w:right="20" w:hanging="442"/>
        <w:spacing w:after="0" w:line="256"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87" w:lineRule="exact"/>
        <w:rPr>
          <w:rFonts w:ascii="Times New Roman" w:cs="Times New Roman" w:eastAsia="Times New Roman" w:hAnsi="Times New Roman"/>
          <w:sz w:val="18"/>
          <w:szCs w:val="18"/>
          <w:color w:val="auto"/>
        </w:rPr>
      </w:pPr>
    </w:p>
    <w:p>
      <w:pPr>
        <w:ind w:left="1000" w:right="80" w:hanging="442"/>
        <w:spacing w:after="0" w:line="268"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sell interests in the debt securities to some insurance companies and other institutions that are required by law to own their securities in non-book-entry form;</w:t>
      </w:r>
    </w:p>
    <w:p>
      <w:pPr>
        <w:spacing w:after="0" w:line="77" w:lineRule="exact"/>
        <w:rPr>
          <w:rFonts w:ascii="Times New Roman" w:cs="Times New Roman" w:eastAsia="Times New Roman" w:hAnsi="Times New Roman"/>
          <w:sz w:val="18"/>
          <w:szCs w:val="18"/>
          <w:color w:val="auto"/>
        </w:rPr>
      </w:pPr>
    </w:p>
    <w:p>
      <w:pPr>
        <w:ind w:left="1000" w:right="120" w:hanging="442"/>
        <w:spacing w:after="0" w:line="268"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77" w:lineRule="exact"/>
        <w:rPr>
          <w:rFonts w:ascii="Times New Roman" w:cs="Times New Roman" w:eastAsia="Times New Roman" w:hAnsi="Times New Roman"/>
          <w:sz w:val="18"/>
          <w:szCs w:val="18"/>
          <w:color w:val="auto"/>
        </w:rPr>
      </w:pPr>
    </w:p>
    <w:p>
      <w:pPr>
        <w:ind w:left="1000" w:right="220" w:hanging="442"/>
        <w:spacing w:after="0" w:line="256"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87" w:lineRule="exact"/>
        <w:rPr>
          <w:rFonts w:ascii="Times New Roman" w:cs="Times New Roman" w:eastAsia="Times New Roman" w:hAnsi="Times New Roman"/>
          <w:sz w:val="18"/>
          <w:szCs w:val="18"/>
          <w:color w:val="auto"/>
        </w:rPr>
      </w:pPr>
    </w:p>
    <w:p>
      <w:pPr>
        <w:ind w:left="1000" w:right="500" w:hanging="442"/>
        <w:spacing w:after="0" w:line="268"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77" w:lineRule="exact"/>
        <w:rPr>
          <w:rFonts w:ascii="Times New Roman" w:cs="Times New Roman" w:eastAsia="Times New Roman" w:hAnsi="Times New Roman"/>
          <w:sz w:val="18"/>
          <w:szCs w:val="18"/>
          <w:color w:val="auto"/>
        </w:rPr>
      </w:pPr>
    </w:p>
    <w:p>
      <w:pPr>
        <w:ind w:left="1000" w:right="20" w:hanging="442"/>
        <w:spacing w:after="0" w:line="256"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87" w:lineRule="exact"/>
        <w:rPr>
          <w:rFonts w:ascii="Times New Roman" w:cs="Times New Roman" w:eastAsia="Times New Roman" w:hAnsi="Times New Roman"/>
          <w:sz w:val="18"/>
          <w:szCs w:val="18"/>
          <w:color w:val="auto"/>
        </w:rPr>
      </w:pPr>
    </w:p>
    <w:p>
      <w:pPr>
        <w:ind w:left="1000" w:right="40" w:hanging="442"/>
        <w:spacing w:after="0" w:line="332" w:lineRule="auto"/>
        <w:tabs>
          <w:tab w:leader="none" w:pos="10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30" w:lineRule="exact"/>
        <w:rPr>
          <w:rFonts w:ascii="Times New Roman" w:cs="Times New Roman" w:eastAsia="Times New Roman" w:hAnsi="Times New Roman"/>
          <w:sz w:val="16"/>
          <w:szCs w:val="16"/>
          <w:color w:val="auto"/>
        </w:rPr>
      </w:pPr>
    </w:p>
    <w:p>
      <w:pPr>
        <w:ind w:left="1000" w:right="100" w:hanging="442"/>
        <w:spacing w:after="0" w:line="25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Situations when a Global Security Will Be Terminated</w:t>
      </w:r>
    </w:p>
    <w:p>
      <w:pPr>
        <w:spacing w:after="0" w:line="111" w:lineRule="exact"/>
        <w:rPr>
          <w:sz w:val="20"/>
          <w:szCs w:val="20"/>
          <w:color w:val="auto"/>
        </w:rPr>
      </w:pPr>
    </w:p>
    <w:p>
      <w:pPr>
        <w:ind w:right="60" w:firstLine="450"/>
        <w:spacing w:after="0" w:line="250" w:lineRule="auto"/>
        <w:rPr>
          <w:sz w:val="20"/>
          <w:szCs w:val="20"/>
          <w:color w:val="auto"/>
        </w:rPr>
      </w:pPr>
      <w:r>
        <w:rPr>
          <w:rFonts w:ascii="Times New Roman" w:cs="Times New Roman" w:eastAsia="Times New Roman" w:hAnsi="Times New Roman"/>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special situations for termination of a global security are as follows:</w:t>
      </w:r>
    </w:p>
    <w:p>
      <w:pPr>
        <w:spacing w:after="0" w:line="122" w:lineRule="exact"/>
        <w:rPr>
          <w:sz w:val="20"/>
          <w:szCs w:val="20"/>
          <w:color w:val="auto"/>
        </w:rPr>
      </w:pPr>
    </w:p>
    <w:p>
      <w:pPr>
        <w:ind w:left="1000" w:hanging="442"/>
        <w:spacing w:after="0" w:line="268"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notify the trustee that we wish to terminate that global security; or</w:t>
      </w:r>
    </w:p>
    <w:p>
      <w:pPr>
        <w:spacing w:after="0" w:line="14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292" w:right="459" w:bottom="1440" w:gutter="0" w:footer="0" w:header="0"/>
        </w:sectPr>
      </w:pPr>
    </w:p>
    <w:bookmarkStart w:id="63" w:name="page64"/>
    <w:bookmarkEnd w:id="63"/>
    <w:p>
      <w:pPr>
        <w:ind w:left="1000" w:right="360" w:hanging="442"/>
        <w:spacing w:after="0" w:line="268"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7178040" cy="54610"/>
                    </a:xfrm>
                    <a:prstGeom prst="rect">
                      <a:avLst/>
                    </a:prstGeom>
                    <a:noFill/>
                  </pic:spPr>
                </pic:pic>
              </a:graphicData>
            </a:graphic>
          </wp:anchor>
        </w:drawing>
        <w:t>if an event of default has occurred with regard to the debt securities represented by that global security and has not been cured or waived; we discuss defaults later under “Description of our Debt Securities—Events of Default.”</w:t>
      </w:r>
    </w:p>
    <w:p>
      <w:pPr>
        <w:spacing w:after="0" w:line="169"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18"/>
          <w:szCs w:val="18"/>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11" w:lineRule="exact"/>
        <w:rPr>
          <w:sz w:val="20"/>
          <w:szCs w:val="20"/>
          <w:color w:val="auto"/>
        </w:rPr>
      </w:pPr>
    </w:p>
    <w:p>
      <w:pPr>
        <w:ind w:right="100" w:firstLine="450"/>
        <w:spacing w:after="0" w:line="249" w:lineRule="auto"/>
        <w:rPr>
          <w:sz w:val="20"/>
          <w:szCs w:val="20"/>
          <w:color w:val="auto"/>
        </w:rPr>
      </w:pPr>
      <w:r>
        <w:rPr>
          <w:rFonts w:ascii="Times New Roman" w:cs="Times New Roman" w:eastAsia="Times New Roman" w:hAnsi="Times New Roman"/>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Payments on Global Securities</w:t>
      </w:r>
    </w:p>
    <w:p>
      <w:pPr>
        <w:spacing w:after="0" w:line="111" w:lineRule="exact"/>
        <w:rPr>
          <w:sz w:val="20"/>
          <w:szCs w:val="20"/>
          <w:color w:val="auto"/>
        </w:rPr>
      </w:pPr>
    </w:p>
    <w:p>
      <w:pPr>
        <w:ind w:right="160" w:firstLine="450"/>
        <w:spacing w:after="0" w:line="252" w:lineRule="auto"/>
        <w:rPr>
          <w:sz w:val="20"/>
          <w:szCs w:val="20"/>
          <w:color w:val="auto"/>
        </w:rPr>
      </w:pPr>
      <w:r>
        <w:rPr>
          <w:rFonts w:ascii="Times New Roman" w:cs="Times New Roman" w:eastAsia="Times New Roman" w:hAnsi="Times New Roman"/>
          <w:sz w:val="18"/>
          <w:szCs w:val="18"/>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Payments on Certificated Securities</w:t>
      </w:r>
    </w:p>
    <w:p>
      <w:pPr>
        <w:spacing w:after="0" w:line="111" w:lineRule="exact"/>
        <w:rPr>
          <w:sz w:val="20"/>
          <w:szCs w:val="20"/>
          <w:color w:val="auto"/>
        </w:rPr>
      </w:pPr>
    </w:p>
    <w:p>
      <w:pPr>
        <w:ind w:right="60" w:firstLine="450"/>
        <w:spacing w:after="0" w:line="252" w:lineRule="auto"/>
        <w:rPr>
          <w:sz w:val="20"/>
          <w:szCs w:val="20"/>
          <w:color w:val="auto"/>
        </w:rPr>
      </w:pPr>
      <w:r>
        <w:rPr>
          <w:rFonts w:ascii="Times New Roman" w:cs="Times New Roman" w:eastAsia="Times New Roman" w:hAnsi="Times New Roman"/>
          <w:sz w:val="18"/>
          <w:szCs w:val="18"/>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83" w:lineRule="exact"/>
        <w:rPr>
          <w:sz w:val="20"/>
          <w:szCs w:val="20"/>
          <w:color w:val="auto"/>
        </w:rPr>
      </w:pPr>
    </w:p>
    <w:p>
      <w:pPr>
        <w:ind w:right="60" w:firstLine="450"/>
        <w:spacing w:after="0" w:line="250" w:lineRule="auto"/>
        <w:rPr>
          <w:sz w:val="20"/>
          <w:szCs w:val="20"/>
          <w:color w:val="auto"/>
        </w:rPr>
      </w:pPr>
      <w:r>
        <w:rPr>
          <w:rFonts w:ascii="Times New Roman" w:cs="Times New Roman" w:eastAsia="Times New Roman" w:hAnsi="Times New Roman"/>
          <w:sz w:val="18"/>
          <w:szCs w:val="18"/>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 When Offices Are Closed</w:t>
      </w:r>
    </w:p>
    <w:p>
      <w:pPr>
        <w:spacing w:after="0" w:line="111" w:lineRule="exact"/>
        <w:rPr>
          <w:sz w:val="20"/>
          <w:szCs w:val="20"/>
          <w:color w:val="auto"/>
        </w:rPr>
      </w:pPr>
    </w:p>
    <w:p>
      <w:pPr>
        <w:ind w:right="180" w:firstLine="450"/>
        <w:spacing w:after="0" w:line="252" w:lineRule="auto"/>
        <w:rPr>
          <w:sz w:val="20"/>
          <w:szCs w:val="20"/>
          <w:color w:val="auto"/>
        </w:rPr>
      </w:pPr>
      <w:r>
        <w:rPr>
          <w:rFonts w:ascii="Times New Roman" w:cs="Times New Roman" w:eastAsia="Times New Roman" w:hAnsi="Times New Roman"/>
          <w:sz w:val="18"/>
          <w:szCs w:val="18"/>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292" w:right="339" w:bottom="1440" w:gutter="0" w:footer="0" w:header="0"/>
        </w:sectPr>
      </w:pPr>
    </w:p>
    <w:bookmarkStart w:id="64" w:name="page65"/>
    <w:bookmarkEnd w:id="64"/>
    <w:p>
      <w:pPr>
        <w:ind w:left="4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8">
                      <a:extLst>
                        <a:ext uri="{28A0092B-C50C-407E-A947-70E740481C1C}"/>
                      </a:extLst>
                    </a:blip>
                    <a:srcRect/>
                    <a:stretch>
                      <a:fillRect/>
                    </a:stretch>
                  </pic:blipFill>
                  <pic:spPr bwMode="auto">
                    <a:xfrm>
                      <a:off x="0" y="0"/>
                      <a:ext cx="7178040" cy="54610"/>
                    </a:xfrm>
                    <a:prstGeom prst="rect">
                      <a:avLst/>
                    </a:prstGeom>
                    <a:noFill/>
                  </pic:spPr>
                </pic:pic>
              </a:graphicData>
            </a:graphic>
          </wp:anchor>
        </w:drawing>
        <w:t>Book-entry and other indirect holders should consult their banks or brokers for information on how they will receive payments on their debt securities.</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You will have rights if an Event of Default occurs in respect of the debt securities of your series and is not cured, as described later in this subsection.</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term “Event of Default” in respect of the debt securities of your series means any of the following:</w:t>
      </w:r>
    </w:p>
    <w:p>
      <w:pPr>
        <w:spacing w:after="0" w:line="122" w:lineRule="exact"/>
        <w:rPr>
          <w:sz w:val="20"/>
          <w:szCs w:val="20"/>
          <w:color w:val="auto"/>
        </w:rPr>
      </w:pPr>
    </w:p>
    <w:p>
      <w:pPr>
        <w:ind w:left="1000" w:hanging="442"/>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pay the principal of, or any premium on, a debt security of the series on its due date;</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pay interest on a debt security of the series within 30 days of its due date;</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deposit any sinking fund payment in respect of debt securities of the series on its due date;</w:t>
      </w:r>
    </w:p>
    <w:p>
      <w:pPr>
        <w:spacing w:after="0" w:line="121" w:lineRule="exact"/>
        <w:rPr>
          <w:rFonts w:ascii="Times New Roman" w:cs="Times New Roman" w:eastAsia="Times New Roman" w:hAnsi="Times New Roman"/>
          <w:sz w:val="18"/>
          <w:szCs w:val="18"/>
          <w:color w:val="auto"/>
        </w:rPr>
      </w:pPr>
    </w:p>
    <w:p>
      <w:pPr>
        <w:ind w:left="1000" w:right="80" w:hanging="442"/>
        <w:spacing w:after="0" w:line="332" w:lineRule="auto"/>
        <w:tabs>
          <w:tab w:leader="none" w:pos="10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30" w:lineRule="exact"/>
        <w:rPr>
          <w:rFonts w:ascii="Times New Roman" w:cs="Times New Roman" w:eastAsia="Times New Roman" w:hAnsi="Times New Roman"/>
          <w:sz w:val="16"/>
          <w:szCs w:val="16"/>
          <w:color w:val="auto"/>
        </w:rPr>
      </w:pPr>
    </w:p>
    <w:p>
      <w:pPr>
        <w:ind w:left="1000" w:hanging="442"/>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file for bankruptcy or certain other events of bankruptcy, insolvency or reorganization occur; and</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in respect of debt securities of the series described in the prospectus supplement occurs.</w:t>
      </w:r>
    </w:p>
    <w:p>
      <w:pPr>
        <w:spacing w:after="0" w:line="214" w:lineRule="exact"/>
        <w:rPr>
          <w:sz w:val="20"/>
          <w:szCs w:val="20"/>
          <w:color w:val="auto"/>
        </w:rPr>
      </w:pPr>
    </w:p>
    <w:p>
      <w:pPr>
        <w:ind w:right="320" w:firstLine="450"/>
        <w:spacing w:after="0" w:line="256" w:lineRule="auto"/>
        <w:rPr>
          <w:sz w:val="20"/>
          <w:szCs w:val="20"/>
          <w:color w:val="auto"/>
        </w:rPr>
      </w:pPr>
      <w:r>
        <w:rPr>
          <w:rFonts w:ascii="Times New Roman" w:cs="Times New Roman" w:eastAsia="Times New Roman" w:hAnsi="Times New Roman"/>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Remedies if an Event of Default Occurs</w:t>
      </w:r>
    </w:p>
    <w:p>
      <w:pPr>
        <w:spacing w:after="0" w:line="111" w:lineRule="exact"/>
        <w:rPr>
          <w:sz w:val="20"/>
          <w:szCs w:val="20"/>
          <w:color w:val="auto"/>
        </w:rPr>
      </w:pPr>
    </w:p>
    <w:p>
      <w:pPr>
        <w:ind w:right="40" w:firstLine="450"/>
        <w:spacing w:after="0" w:line="252" w:lineRule="auto"/>
        <w:rPr>
          <w:sz w:val="20"/>
          <w:szCs w:val="20"/>
          <w:color w:val="auto"/>
        </w:rPr>
      </w:pPr>
      <w:r>
        <w:rPr>
          <w:rFonts w:ascii="Times New Roman" w:cs="Times New Roman" w:eastAsia="Times New Roman" w:hAnsi="Times New Roman"/>
          <w:sz w:val="18"/>
          <w:szCs w:val="18"/>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83" w:lineRule="exact"/>
        <w:rPr>
          <w:sz w:val="20"/>
          <w:szCs w:val="20"/>
          <w:color w:val="auto"/>
        </w:rPr>
      </w:pPr>
    </w:p>
    <w:p>
      <w:pPr>
        <w:ind w:right="120" w:firstLine="450"/>
        <w:spacing w:after="0" w:line="250" w:lineRule="auto"/>
        <w:rPr>
          <w:sz w:val="20"/>
          <w:szCs w:val="20"/>
          <w:color w:val="auto"/>
        </w:rPr>
      </w:pPr>
      <w:r>
        <w:rPr>
          <w:rFonts w:ascii="Times New Roman" w:cs="Times New Roman" w:eastAsia="Times New Roman" w:hAnsi="Times New Roman"/>
          <w:sz w:val="18"/>
          <w:szCs w:val="18"/>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85" w:lineRule="exact"/>
        <w:rPr>
          <w:sz w:val="20"/>
          <w:szCs w:val="20"/>
          <w:color w:val="auto"/>
        </w:rPr>
      </w:pPr>
    </w:p>
    <w:p>
      <w:pPr>
        <w:ind w:firstLine="450"/>
        <w:spacing w:after="0" w:line="268" w:lineRule="auto"/>
        <w:rPr>
          <w:sz w:val="20"/>
          <w:szCs w:val="20"/>
          <w:color w:val="auto"/>
        </w:rPr>
      </w:pPr>
      <w:r>
        <w:rPr>
          <w:rFonts w:ascii="Times New Roman" w:cs="Times New Roman" w:eastAsia="Times New Roman" w:hAnsi="Times New Roman"/>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77" w:lineRule="exact"/>
        <w:rPr>
          <w:sz w:val="20"/>
          <w:szCs w:val="20"/>
          <w:color w:val="auto"/>
        </w:rPr>
      </w:pPr>
    </w:p>
    <w:p>
      <w:pPr>
        <w:ind w:left="1000" w:hanging="442"/>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give the trustee written notice that an Event of Default has occurred and remains uncured;</w:t>
      </w:r>
    </w:p>
    <w:p>
      <w:pPr>
        <w:spacing w:after="0" w:line="121" w:lineRule="exact"/>
        <w:rPr>
          <w:rFonts w:ascii="Times New Roman" w:cs="Times New Roman" w:eastAsia="Times New Roman" w:hAnsi="Times New Roman"/>
          <w:sz w:val="18"/>
          <w:szCs w:val="18"/>
          <w:color w:val="auto"/>
        </w:rPr>
      </w:pPr>
    </w:p>
    <w:p>
      <w:pPr>
        <w:ind w:left="1000" w:right="20" w:hanging="442"/>
        <w:spacing w:after="0" w:line="332" w:lineRule="auto"/>
        <w:tabs>
          <w:tab w:leader="none" w:pos="100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20"/>
          </w:cols>
          <w:pgMar w:left="320" w:top="292" w:right="359" w:bottom="1440" w:gutter="0" w:footer="0" w:header="0"/>
        </w:sectPr>
      </w:pPr>
    </w:p>
    <w:bookmarkStart w:id="65" w:name="page66"/>
    <w:bookmarkEnd w:id="65"/>
    <w:p>
      <w:pPr>
        <w:ind w:left="1000" w:hanging="442"/>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the trustee must not have taken action for 60 days after receipt of the above notice and offer of indemnity; and</w:t>
      </w:r>
    </w:p>
    <w:p>
      <w:pPr>
        <w:spacing w:after="0" w:line="121" w:lineRule="exact"/>
        <w:rPr>
          <w:rFonts w:ascii="Times New Roman" w:cs="Times New Roman" w:eastAsia="Times New Roman" w:hAnsi="Times New Roman"/>
          <w:sz w:val="18"/>
          <w:szCs w:val="18"/>
          <w:color w:val="auto"/>
        </w:rPr>
      </w:pPr>
    </w:p>
    <w:p>
      <w:pPr>
        <w:ind w:left="1000" w:right="100" w:hanging="442"/>
        <w:spacing w:after="0" w:line="268"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in principal amount of the debt securities must not have given the trustee a direction inconsistent with the above notice during that 60-day period.</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However, you are entitled at any time to bring a lawsuit for the payment of money due on your debt securities on or after the due date.</w:t>
      </w:r>
    </w:p>
    <w:p>
      <w:pPr>
        <w:spacing w:after="0" w:line="212" w:lineRule="exact"/>
        <w:rPr>
          <w:sz w:val="20"/>
          <w:szCs w:val="20"/>
          <w:color w:val="auto"/>
        </w:rPr>
      </w:pPr>
    </w:p>
    <w:p>
      <w:pPr>
        <w:ind w:right="300" w:firstLine="450"/>
        <w:spacing w:after="0" w:line="271" w:lineRule="auto"/>
        <w:rPr>
          <w:sz w:val="20"/>
          <w:szCs w:val="20"/>
          <w:color w:val="auto"/>
        </w:rPr>
      </w:pPr>
      <w:r>
        <w:rPr>
          <w:rFonts w:ascii="Times New Roman" w:cs="Times New Roman" w:eastAsia="Times New Roman" w:hAnsi="Times New Roman"/>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66" w:lineRule="exact"/>
        <w:rPr>
          <w:sz w:val="20"/>
          <w:szCs w:val="20"/>
          <w:color w:val="auto"/>
        </w:rPr>
      </w:pPr>
    </w:p>
    <w:p>
      <w:pPr>
        <w:ind w:right="160" w:firstLine="450"/>
        <w:spacing w:after="0" w:line="268" w:lineRule="auto"/>
        <w:rPr>
          <w:sz w:val="20"/>
          <w:szCs w:val="20"/>
          <w:color w:val="auto"/>
        </w:rPr>
      </w:pPr>
      <w:r>
        <w:rPr>
          <w:rFonts w:ascii="Times New Roman" w:cs="Times New Roman" w:eastAsia="Times New Roman" w:hAnsi="Times New Roman"/>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Waiver of Default</w:t>
      </w:r>
    </w:p>
    <w:p>
      <w:pPr>
        <w:spacing w:after="0" w:line="111"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or Consolidation</w:t>
      </w:r>
    </w:p>
    <w:p>
      <w:pPr>
        <w:spacing w:after="0" w:line="111" w:lineRule="exact"/>
        <w:rPr>
          <w:sz w:val="20"/>
          <w:szCs w:val="20"/>
          <w:color w:val="auto"/>
        </w:rPr>
      </w:pPr>
    </w:p>
    <w:p>
      <w:pPr>
        <w:ind w:firstLine="450"/>
        <w:spacing w:after="0" w:line="268" w:lineRule="auto"/>
        <w:rPr>
          <w:sz w:val="20"/>
          <w:szCs w:val="20"/>
          <w:color w:val="auto"/>
        </w:rPr>
      </w:pPr>
      <w:r>
        <w:rPr>
          <w:rFonts w:ascii="Times New Roman" w:cs="Times New Roman" w:eastAsia="Times New Roman" w:hAnsi="Times New Roman"/>
          <w:sz w:val="18"/>
          <w:szCs w:val="18"/>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77" w:lineRule="exact"/>
        <w:rPr>
          <w:sz w:val="20"/>
          <w:szCs w:val="20"/>
          <w:color w:val="auto"/>
        </w:rPr>
      </w:pPr>
    </w:p>
    <w:p>
      <w:pPr>
        <w:ind w:left="1000" w:right="300" w:hanging="442"/>
        <w:spacing w:after="0" w:line="268"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we merge out of existence or sell our assets, the resulting entity must agree to be legally responsible for our obligations under the debt securities;</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alternatively, we must be the surviving company;</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the transaction no event of default will exist;</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certain certificates and documents to the trustee; and</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satisfy any other requirements specified in the prospectus supplement relating to a particular series of debt securities.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or Waiver</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are three types of changes we can make to the indenture and the debt securities issued thereunder.</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Requiring Your Approval</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First, there are changes that we cannot make to your debt securities without your specific approval. The following is a list of those types of changes:</w:t>
      </w:r>
    </w:p>
    <w:p>
      <w:pPr>
        <w:spacing w:after="0" w:line="122" w:lineRule="exact"/>
        <w:rPr>
          <w:sz w:val="20"/>
          <w:szCs w:val="20"/>
          <w:color w:val="auto"/>
        </w:rPr>
      </w:pPr>
    </w:p>
    <w:p>
      <w:pPr>
        <w:ind w:left="1000" w:hanging="442"/>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interest on a debt security;</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any amounts due on a debt security;</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principal payable upon acceleration of the maturity of a security following a default;</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right of repayment at the holder’s option;</w:t>
      </w:r>
    </w:p>
    <w:p>
      <w:pPr>
        <w:spacing w:after="0" w:line="1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80"/>
          </w:cols>
          <w:pgMar w:left="320" w:top="292" w:right="399" w:bottom="1440" w:gutter="0" w:footer="0" w:header="0"/>
        </w:sectPr>
      </w:pPr>
    </w:p>
    <w:bookmarkStart w:id="66" w:name="page67"/>
    <w:bookmarkEnd w:id="66"/>
    <w:p>
      <w:pPr>
        <w:ind w:left="1000" w:hanging="442"/>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7178040" cy="54610"/>
                    </a:xfrm>
                    <a:prstGeom prst="rect">
                      <a:avLst/>
                    </a:prstGeom>
                    <a:noFill/>
                  </pic:spPr>
                </pic:pic>
              </a:graphicData>
            </a:graphic>
          </wp:anchor>
        </w:drawing>
        <w:t>change the place or currency of payment on a debt security (except as otherwise described in the prospectus or prospectus supplement);</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your right to sue for payment;</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right to convert or exchange a debt security in accordance with its terms;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debt securities whose consent is needed to modify or amend the indenture;</w:t>
      </w:r>
    </w:p>
    <w:p>
      <w:pPr>
        <w:spacing w:after="0" w:line="121" w:lineRule="exact"/>
        <w:rPr>
          <w:rFonts w:ascii="Times New Roman" w:cs="Times New Roman" w:eastAsia="Times New Roman" w:hAnsi="Times New Roman"/>
          <w:sz w:val="18"/>
          <w:szCs w:val="18"/>
          <w:color w:val="auto"/>
        </w:rPr>
      </w:pPr>
    </w:p>
    <w:p>
      <w:pPr>
        <w:ind w:left="1000" w:right="240" w:hanging="442"/>
        <w:spacing w:after="0" w:line="268"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debt securities whose consent is needed to waive compliance with certain provisions of the indenture or to waive certain defaults;</w:t>
      </w:r>
    </w:p>
    <w:p>
      <w:pPr>
        <w:spacing w:after="0" w:line="77" w:lineRule="exact"/>
        <w:rPr>
          <w:rFonts w:ascii="Times New Roman" w:cs="Times New Roman" w:eastAsia="Times New Roman" w:hAnsi="Times New Roman"/>
          <w:sz w:val="18"/>
          <w:szCs w:val="18"/>
          <w:color w:val="auto"/>
        </w:rPr>
      </w:pPr>
    </w:p>
    <w:p>
      <w:pPr>
        <w:ind w:left="1000" w:right="520" w:hanging="442"/>
        <w:spacing w:after="0" w:line="268"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obligation we have to pay additional amounts.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Not Requiring Approval</w:t>
      </w:r>
    </w:p>
    <w:p>
      <w:pPr>
        <w:spacing w:after="0" w:line="111" w:lineRule="exact"/>
        <w:rPr>
          <w:sz w:val="20"/>
          <w:szCs w:val="20"/>
          <w:color w:val="auto"/>
        </w:rPr>
      </w:pPr>
    </w:p>
    <w:p>
      <w:pPr>
        <w:ind w:right="100" w:firstLine="450"/>
        <w:spacing w:after="0" w:line="256" w:lineRule="auto"/>
        <w:rPr>
          <w:sz w:val="20"/>
          <w:szCs w:val="20"/>
          <w:color w:val="auto"/>
        </w:rPr>
      </w:pPr>
      <w:r>
        <w:rPr>
          <w:rFonts w:ascii="Times New Roman" w:cs="Times New Roman" w:eastAsia="Times New Roman" w:hAnsi="Times New Roman"/>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Requiring Majority Approval</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other change to the indenture and the debt securities would require the following approval:</w:t>
      </w:r>
    </w:p>
    <w:p>
      <w:pPr>
        <w:spacing w:after="0" w:line="122" w:lineRule="exact"/>
        <w:rPr>
          <w:sz w:val="20"/>
          <w:szCs w:val="20"/>
          <w:color w:val="auto"/>
        </w:rPr>
      </w:pPr>
    </w:p>
    <w:p>
      <w:pPr>
        <w:ind w:left="1000" w:hanging="442"/>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only one series of debt securities, it must be approved by the holders of a majority in principal amount of that series; and</w:t>
      </w:r>
    </w:p>
    <w:p>
      <w:pPr>
        <w:spacing w:after="0" w:line="121" w:lineRule="exact"/>
        <w:rPr>
          <w:rFonts w:ascii="Times New Roman" w:cs="Times New Roman" w:eastAsia="Times New Roman" w:hAnsi="Times New Roman"/>
          <w:sz w:val="18"/>
          <w:szCs w:val="18"/>
          <w:color w:val="auto"/>
        </w:rPr>
      </w:pPr>
    </w:p>
    <w:p>
      <w:pPr>
        <w:ind w:left="1000" w:right="120" w:hanging="442"/>
        <w:spacing w:after="0" w:line="268"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each case, the required approval must be given by written consent.</w:t>
      </w:r>
    </w:p>
    <w:p>
      <w:pPr>
        <w:spacing w:after="0" w:line="214" w:lineRule="exact"/>
        <w:rPr>
          <w:sz w:val="20"/>
          <w:szCs w:val="20"/>
          <w:color w:val="auto"/>
        </w:rPr>
      </w:pPr>
    </w:p>
    <w:p>
      <w:pPr>
        <w:ind w:right="40" w:firstLine="450"/>
        <w:spacing w:after="0" w:line="303" w:lineRule="auto"/>
        <w:rPr>
          <w:sz w:val="20"/>
          <w:szCs w:val="20"/>
          <w:color w:val="auto"/>
        </w:rPr>
      </w:pPr>
      <w:r>
        <w:rPr>
          <w:rFonts w:ascii="Times New Roman" w:cs="Times New Roman" w:eastAsia="Times New Roman" w:hAnsi="Times New Roman"/>
          <w:sz w:val="16"/>
          <w:szCs w:val="16"/>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Securities—Modification or Waiver—Changes Requiring Your Approval.”</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Further Details Concerning Voting</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When taking a vote, we will use the following rules to decide how much principal to attribute to a debt security:</w:t>
      </w:r>
    </w:p>
    <w:p>
      <w:pPr>
        <w:spacing w:after="0" w:line="122" w:lineRule="exact"/>
        <w:rPr>
          <w:sz w:val="20"/>
          <w:szCs w:val="20"/>
          <w:color w:val="auto"/>
        </w:rPr>
      </w:pPr>
    </w:p>
    <w:p>
      <w:pPr>
        <w:ind w:left="1000" w:hanging="442"/>
        <w:spacing w:after="0" w:line="268"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OID securities, we will use the principal amount that would be due and payable on the voting date if the maturity of these debt securities were accelerated to that date because of a default;</w:t>
      </w:r>
    </w:p>
    <w:p>
      <w:pPr>
        <w:spacing w:after="0" w:line="77" w:lineRule="exact"/>
        <w:rPr>
          <w:rFonts w:ascii="Times New Roman" w:cs="Times New Roman" w:eastAsia="Times New Roman" w:hAnsi="Times New Roman"/>
          <w:sz w:val="18"/>
          <w:szCs w:val="18"/>
          <w:color w:val="auto"/>
        </w:rPr>
      </w:pPr>
    </w:p>
    <w:p>
      <w:pPr>
        <w:ind w:left="1000" w:right="260" w:hanging="442"/>
        <w:spacing w:after="0" w:line="268"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debt securities whose principal amount is not known (for example, because it is based on an index), we will use a special rule for that debt security described in the prospectus supplement; and</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debt securities denominated in one or more foreign currencies, we will use the U.S. dollar equivalent.</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00"/>
          </w:cols>
          <w:pgMar w:left="320" w:top="292" w:right="379" w:bottom="1440" w:gutter="0" w:footer="0" w:header="0"/>
        </w:sectPr>
      </w:pPr>
    </w:p>
    <w:bookmarkStart w:id="67" w:name="page68"/>
    <w:bookmarkEnd w:id="67"/>
    <w:p>
      <w:pPr>
        <w:ind w:firstLine="450"/>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7178040" cy="54610"/>
                    </a:xfrm>
                    <a:prstGeom prst="rect">
                      <a:avLst/>
                    </a:prstGeom>
                    <a:noFill/>
                  </pic:spPr>
                </pic:pic>
              </a:graphicData>
            </a:graphic>
          </wp:anchor>
        </w:drawing>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 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83" w:lineRule="exact"/>
        <w:rPr>
          <w:sz w:val="20"/>
          <w:szCs w:val="20"/>
          <w:color w:val="auto"/>
        </w:rPr>
      </w:pPr>
    </w:p>
    <w:p>
      <w:pPr>
        <w:ind w:right="220" w:firstLine="450"/>
        <w:spacing w:after="0" w:line="271" w:lineRule="auto"/>
        <w:rPr>
          <w:sz w:val="20"/>
          <w:szCs w:val="20"/>
          <w:color w:val="auto"/>
        </w:rPr>
      </w:pPr>
      <w:r>
        <w:rPr>
          <w:rFonts w:ascii="Times New Roman" w:cs="Times New Roman" w:eastAsia="Times New Roman" w:hAnsi="Times New Roman"/>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111" w:lineRule="exact"/>
        <w:rPr>
          <w:sz w:val="20"/>
          <w:szCs w:val="20"/>
          <w:color w:val="auto"/>
        </w:rPr>
      </w:pPr>
    </w:p>
    <w:p>
      <w:pPr>
        <w:ind w:right="20" w:firstLine="450"/>
        <w:spacing w:after="0" w:line="268" w:lineRule="auto"/>
        <w:rPr>
          <w:sz w:val="20"/>
          <w:szCs w:val="20"/>
          <w:color w:val="auto"/>
        </w:rPr>
      </w:pPr>
      <w:r>
        <w:rPr>
          <w:rFonts w:ascii="Times New Roman" w:cs="Times New Roman" w:eastAsia="Times New Roman" w:hAnsi="Times New Roman"/>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 Defeasance</w:t>
      </w:r>
    </w:p>
    <w:p>
      <w:pPr>
        <w:spacing w:after="0" w:line="111" w:lineRule="exact"/>
        <w:rPr>
          <w:sz w:val="20"/>
          <w:szCs w:val="20"/>
          <w:color w:val="auto"/>
        </w:rPr>
      </w:pPr>
    </w:p>
    <w:p>
      <w:pPr>
        <w:ind w:right="240" w:firstLine="450"/>
        <w:spacing w:after="0" w:line="250" w:lineRule="auto"/>
        <w:rPr>
          <w:sz w:val="20"/>
          <w:szCs w:val="20"/>
          <w:color w:val="auto"/>
        </w:rPr>
      </w:pPr>
      <w:r>
        <w:rPr>
          <w:rFonts w:ascii="Times New Roman" w:cs="Times New Roman" w:eastAsia="Times New Roman" w:hAnsi="Times New Roman"/>
          <w:sz w:val="18"/>
          <w:szCs w:val="18"/>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Provisions—Subordination” below. In order to achieve covenant defeasance, we must do the following:</w:t>
      </w:r>
    </w:p>
    <w:p>
      <w:pPr>
        <w:spacing w:after="0" w:line="93" w:lineRule="exact"/>
        <w:rPr>
          <w:sz w:val="20"/>
          <w:szCs w:val="20"/>
          <w:color w:val="auto"/>
        </w:rPr>
      </w:pPr>
    </w:p>
    <w:p>
      <w:pPr>
        <w:ind w:left="1000" w:right="280" w:hanging="442"/>
        <w:spacing w:after="0" w:line="256"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spacing w:after="0" w:line="87" w:lineRule="exact"/>
        <w:rPr>
          <w:rFonts w:ascii="Times New Roman" w:cs="Times New Roman" w:eastAsia="Times New Roman" w:hAnsi="Times New Roman"/>
          <w:sz w:val="18"/>
          <w:szCs w:val="18"/>
          <w:color w:val="auto"/>
        </w:rPr>
      </w:pPr>
    </w:p>
    <w:p>
      <w:pPr>
        <w:ind w:left="1000" w:right="120" w:hanging="442"/>
        <w:spacing w:after="0" w:line="256"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80" w:lineRule="exact"/>
        <w:rPr>
          <w:sz w:val="20"/>
          <w:szCs w:val="20"/>
          <w:color w:val="auto"/>
        </w:rPr>
      </w:pPr>
    </w:p>
    <w:p>
      <w:pPr>
        <w:ind w:right="400" w:firstLine="450"/>
        <w:spacing w:after="0" w:line="268" w:lineRule="auto"/>
        <w:rPr>
          <w:sz w:val="20"/>
          <w:szCs w:val="20"/>
          <w:color w:val="auto"/>
        </w:rPr>
      </w:pPr>
      <w:r>
        <w:rPr>
          <w:rFonts w:ascii="Times New Roman" w:cs="Times New Roman" w:eastAsia="Times New Roman" w:hAnsi="Times New Roman"/>
          <w:sz w:val="18"/>
          <w:szCs w:val="18"/>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169" w:lineRule="exact"/>
        <w:rPr>
          <w:sz w:val="20"/>
          <w:szCs w:val="20"/>
          <w:color w:val="auto"/>
        </w:rPr>
      </w:pPr>
    </w:p>
    <w:p>
      <w:pPr>
        <w:ind w:right="120" w:firstLine="450"/>
        <w:spacing w:after="0" w:line="303" w:lineRule="auto"/>
        <w:rPr>
          <w:sz w:val="20"/>
          <w:szCs w:val="20"/>
          <w:color w:val="auto"/>
        </w:rPr>
      </w:pPr>
      <w:r>
        <w:rPr>
          <w:rFonts w:ascii="Times New Roman" w:cs="Times New Roman" w:eastAsia="Times New Roman" w:hAnsi="Times New Roman"/>
          <w:sz w:val="16"/>
          <w:szCs w:val="16"/>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Full Defeasance</w:t>
      </w:r>
    </w:p>
    <w:p>
      <w:pPr>
        <w:spacing w:after="0" w:line="111" w:lineRule="exact"/>
        <w:rPr>
          <w:sz w:val="20"/>
          <w:szCs w:val="20"/>
          <w:color w:val="auto"/>
        </w:rPr>
      </w:pPr>
    </w:p>
    <w:p>
      <w:pPr>
        <w:ind w:right="500" w:firstLine="450"/>
        <w:spacing w:after="0" w:line="268" w:lineRule="auto"/>
        <w:rPr>
          <w:sz w:val="20"/>
          <w:szCs w:val="20"/>
          <w:color w:val="auto"/>
        </w:rPr>
      </w:pPr>
      <w:r>
        <w:rPr>
          <w:rFonts w:ascii="Times New Roman" w:cs="Times New Roman" w:eastAsia="Times New Roman" w:hAnsi="Times New Roman"/>
          <w:sz w:val="18"/>
          <w:szCs w:val="18"/>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77" w:lineRule="exact"/>
        <w:rPr>
          <w:sz w:val="20"/>
          <w:szCs w:val="20"/>
          <w:color w:val="auto"/>
        </w:rPr>
      </w:pPr>
    </w:p>
    <w:p>
      <w:pPr>
        <w:ind w:left="1000" w:right="280" w:hanging="442"/>
        <w:spacing w:after="0" w:line="268"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the particular series are denominated in U.S. dollars, we must deposit in trust for the benefit of all holders of such debt securities a combination of money and U.S. government or</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40"/>
          </w:cols>
          <w:pgMar w:left="320" w:top="292" w:right="339" w:bottom="1440" w:gutter="0" w:footer="0" w:header="0"/>
        </w:sectPr>
      </w:pPr>
    </w:p>
    <w:bookmarkStart w:id="68" w:name="page69"/>
    <w:bookmarkEnd w:id="68"/>
    <w:p>
      <w:pPr>
        <w:ind w:left="1000" w:right="1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7178040" cy="54610"/>
                    </a:xfrm>
                    <a:prstGeom prst="rect">
                      <a:avLst/>
                    </a:prstGeom>
                    <a:noFill/>
                  </pic:spPr>
                </pic:pic>
              </a:graphicData>
            </a:graphic>
          </wp:anchor>
        </w:drawing>
        <w:t>U.S. government agency notes or bonds that will generate enough cash to make interest, principal and any other payments on the debt securities on their various due dates;</w:t>
      </w:r>
    </w:p>
    <w:p>
      <w:pPr>
        <w:spacing w:after="0" w:line="77" w:lineRule="exact"/>
        <w:rPr>
          <w:sz w:val="20"/>
          <w:szCs w:val="20"/>
          <w:color w:val="auto"/>
        </w:rPr>
      </w:pPr>
    </w:p>
    <w:p>
      <w:pPr>
        <w:ind w:left="1000" w:right="120" w:hanging="442"/>
        <w:spacing w:after="0" w:line="249"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deliver to the trustee a legal opinion confirming that there has been a change in current U.S. federal tax law or an Internal Revenue Service, or IRS,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93" w:lineRule="exact"/>
        <w:rPr>
          <w:rFonts w:ascii="Times New Roman" w:cs="Times New Roman" w:eastAsia="Times New Roman" w:hAnsi="Times New Roman"/>
          <w:sz w:val="18"/>
          <w:szCs w:val="18"/>
          <w:color w:val="auto"/>
        </w:rPr>
      </w:pPr>
    </w:p>
    <w:p>
      <w:pPr>
        <w:ind w:left="1000" w:right="120" w:hanging="442"/>
        <w:spacing w:after="0" w:line="268"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of our counsel stating that the above deposit does not require registration by us under the 1940 Act and a legal opinion and officers’ certificate certifying compliance with all conditions precedent to defeasance.</w:t>
      </w:r>
    </w:p>
    <w:p>
      <w:pPr>
        <w:spacing w:after="0" w:line="169" w:lineRule="exact"/>
        <w:rPr>
          <w:sz w:val="20"/>
          <w:szCs w:val="20"/>
          <w:color w:val="auto"/>
        </w:rPr>
      </w:pPr>
    </w:p>
    <w:p>
      <w:pPr>
        <w:ind w:right="40" w:firstLine="450"/>
        <w:spacing w:after="0" w:line="252" w:lineRule="auto"/>
        <w:rPr>
          <w:sz w:val="20"/>
          <w:szCs w:val="20"/>
          <w:color w:val="auto"/>
        </w:rPr>
      </w:pPr>
      <w:r>
        <w:rPr>
          <w:rFonts w:ascii="Times New Roman" w:cs="Times New Roman" w:eastAsia="Times New Roman" w:hAnsi="Times New Roman"/>
          <w:sz w:val="18"/>
          <w:szCs w:val="18"/>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Exchange and Transfer of Certificated Registered Securities</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registered debt securities cease to be issued in book-entry form, they will be issued:</w:t>
      </w:r>
    </w:p>
    <w:p>
      <w:pPr>
        <w:spacing w:after="0" w:line="122" w:lineRule="exact"/>
        <w:rPr>
          <w:sz w:val="20"/>
          <w:szCs w:val="20"/>
          <w:color w:val="auto"/>
        </w:rPr>
      </w:pPr>
    </w:p>
    <w:p>
      <w:pPr>
        <w:ind w:left="1000" w:hanging="442"/>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in fully registered certificated form;</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interest coupons; and</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we indicate otherwise in the prospectus supplement, in denominations of $1,000 and amounts that are multiples of $1,000.</w:t>
      </w:r>
    </w:p>
    <w:p>
      <w:pPr>
        <w:spacing w:after="0" w:line="214" w:lineRule="exact"/>
        <w:rPr>
          <w:sz w:val="20"/>
          <w:szCs w:val="20"/>
          <w:color w:val="auto"/>
        </w:rPr>
      </w:pPr>
    </w:p>
    <w:p>
      <w:pPr>
        <w:ind w:right="780" w:firstLine="450"/>
        <w:spacing w:after="0" w:line="268" w:lineRule="auto"/>
        <w:rPr>
          <w:sz w:val="20"/>
          <w:szCs w:val="20"/>
          <w:color w:val="auto"/>
        </w:rPr>
      </w:pPr>
      <w:r>
        <w:rPr>
          <w:rFonts w:ascii="Times New Roman" w:cs="Times New Roman" w:eastAsia="Times New Roman" w:hAnsi="Times New Roman"/>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69" w:lineRule="exact"/>
        <w:rPr>
          <w:sz w:val="20"/>
          <w:szCs w:val="20"/>
          <w:color w:val="auto"/>
        </w:rPr>
      </w:pPr>
    </w:p>
    <w:p>
      <w:pPr>
        <w:ind w:firstLine="450"/>
        <w:spacing w:after="0" w:line="332" w:lineRule="auto"/>
        <w:rPr>
          <w:sz w:val="20"/>
          <w:szCs w:val="20"/>
          <w:color w:val="auto"/>
        </w:rPr>
      </w:pPr>
      <w:r>
        <w:rPr>
          <w:rFonts w:ascii="Times New Roman" w:cs="Times New Roman" w:eastAsia="Times New Roman" w:hAnsi="Times New Roman"/>
          <w:sz w:val="16"/>
          <w:szCs w:val="16"/>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23" w:lineRule="exact"/>
        <w:rPr>
          <w:sz w:val="20"/>
          <w:szCs w:val="20"/>
          <w:color w:val="auto"/>
        </w:rPr>
      </w:pPr>
    </w:p>
    <w:p>
      <w:pPr>
        <w:ind w:right="140" w:firstLine="450"/>
        <w:spacing w:after="0" w:line="256" w:lineRule="auto"/>
        <w:rPr>
          <w:sz w:val="20"/>
          <w:szCs w:val="20"/>
          <w:color w:val="auto"/>
        </w:rPr>
      </w:pPr>
      <w:r>
        <w:rPr>
          <w:rFonts w:ascii="Times New Roman" w:cs="Times New Roman" w:eastAsia="Times New Roman" w:hAnsi="Times New Roman"/>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80" w:lineRule="exact"/>
        <w:rPr>
          <w:sz w:val="20"/>
          <w:szCs w:val="20"/>
          <w:color w:val="auto"/>
        </w:rPr>
      </w:pPr>
    </w:p>
    <w:p>
      <w:pPr>
        <w:ind w:right="280" w:firstLine="450"/>
        <w:spacing w:after="0" w:line="332" w:lineRule="auto"/>
        <w:rPr>
          <w:sz w:val="20"/>
          <w:szCs w:val="20"/>
          <w:color w:val="auto"/>
        </w:rPr>
      </w:pPr>
      <w:r>
        <w:rPr>
          <w:rFonts w:ascii="Times New Roman" w:cs="Times New Roman" w:eastAsia="Times New Roman" w:hAnsi="Times New Roman"/>
          <w:sz w:val="16"/>
          <w:szCs w:val="16"/>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123" w:lineRule="exact"/>
        <w:rPr>
          <w:sz w:val="20"/>
          <w:szCs w:val="20"/>
          <w:color w:val="auto"/>
        </w:rPr>
      </w:pPr>
    </w:p>
    <w:p>
      <w:pPr>
        <w:ind w:right="20" w:firstLine="450"/>
        <w:spacing w:after="0" w:line="293" w:lineRule="auto"/>
        <w:rPr>
          <w:sz w:val="20"/>
          <w:szCs w:val="20"/>
          <w:color w:val="auto"/>
        </w:rPr>
      </w:pPr>
      <w:r>
        <w:rPr>
          <w:rFonts w:ascii="Times New Roman" w:cs="Times New Roman" w:eastAsia="Times New Roman" w:hAnsi="Times New Roman"/>
          <w:sz w:val="16"/>
          <w:szCs w:val="16"/>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40"/>
          </w:cols>
          <w:pgMar w:left="320" w:top="292" w:right="339" w:bottom="1440" w:gutter="0" w:footer="0" w:header="0"/>
        </w:sectPr>
      </w:pPr>
    </w:p>
    <w:bookmarkStart w:id="69" w:name="page70"/>
    <w:bookmarkEnd w:id="69"/>
    <w:p>
      <w:pPr>
        <w:ind w:right="240" w:firstLine="45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7178040" cy="54610"/>
                    </a:xfrm>
                    <a:prstGeom prst="rect">
                      <a:avLst/>
                    </a:prstGeom>
                    <a:noFill/>
                  </pic:spPr>
                </pic:pic>
              </a:graphicData>
            </a:graphic>
          </wp:anchor>
        </w:drawing>
        <w:t>If a registered debt security is issued in book-entry form, only the depositary will be entitled to transfer and exchange the debt security as described in this subsection, since it will be the sole holder of the debt security.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Resignation of Trustee</w:t>
      </w:r>
    </w:p>
    <w:p>
      <w:pPr>
        <w:spacing w:after="0" w:line="111" w:lineRule="exact"/>
        <w:rPr>
          <w:sz w:val="20"/>
          <w:szCs w:val="20"/>
          <w:color w:val="auto"/>
        </w:rPr>
      </w:pPr>
    </w:p>
    <w:p>
      <w:pPr>
        <w:ind w:right="20" w:firstLine="450"/>
        <w:spacing w:after="0" w:line="256" w:lineRule="auto"/>
        <w:rPr>
          <w:sz w:val="20"/>
          <w:szCs w:val="20"/>
          <w:color w:val="auto"/>
        </w:rPr>
      </w:pPr>
      <w:r>
        <w:rPr>
          <w:rFonts w:ascii="Times New Roman" w:cs="Times New Roman" w:eastAsia="Times New Roman" w:hAnsi="Times New Roman"/>
          <w:sz w:val="18"/>
          <w:szCs w:val="18"/>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Indenture Provisions—Subordination</w:t>
      </w:r>
    </w:p>
    <w:p>
      <w:pPr>
        <w:spacing w:after="0" w:line="111" w:lineRule="exact"/>
        <w:rPr>
          <w:sz w:val="20"/>
          <w:szCs w:val="20"/>
          <w:color w:val="auto"/>
        </w:rPr>
      </w:pPr>
    </w:p>
    <w:p>
      <w:pPr>
        <w:ind w:firstLine="450"/>
        <w:spacing w:after="0" w:line="286" w:lineRule="auto"/>
        <w:rPr>
          <w:sz w:val="20"/>
          <w:szCs w:val="20"/>
          <w:color w:val="auto"/>
        </w:rPr>
      </w:pPr>
      <w:r>
        <w:rPr>
          <w:rFonts w:ascii="Times New Roman" w:cs="Times New Roman" w:eastAsia="Times New Roman" w:hAnsi="Times New Roman"/>
          <w:sz w:val="16"/>
          <w:szCs w:val="16"/>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58" w:lineRule="exact"/>
        <w:rPr>
          <w:sz w:val="20"/>
          <w:szCs w:val="20"/>
          <w:color w:val="auto"/>
        </w:rPr>
      </w:pPr>
    </w:p>
    <w:p>
      <w:pPr>
        <w:ind w:right="20" w:firstLine="450"/>
        <w:spacing w:after="0" w:line="286" w:lineRule="auto"/>
        <w:rPr>
          <w:sz w:val="20"/>
          <w:szCs w:val="20"/>
          <w:color w:val="auto"/>
        </w:rPr>
      </w:pPr>
      <w:r>
        <w:rPr>
          <w:rFonts w:ascii="Times New Roman" w:cs="Times New Roman" w:eastAsia="Times New Roman" w:hAnsi="Times New Roman"/>
          <w:sz w:val="16"/>
          <w:szCs w:val="16"/>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58" w:lineRule="exact"/>
        <w:rPr>
          <w:sz w:val="20"/>
          <w:szCs w:val="20"/>
          <w:color w:val="auto"/>
        </w:rPr>
      </w:pPr>
    </w:p>
    <w:p>
      <w:pPr>
        <w:jc w:val="both"/>
        <w:ind w:right="20" w:firstLine="450"/>
        <w:spacing w:after="0" w:line="256" w:lineRule="auto"/>
        <w:rPr>
          <w:sz w:val="20"/>
          <w:szCs w:val="20"/>
          <w:color w:val="auto"/>
        </w:rPr>
      </w:pPr>
      <w:r>
        <w:rPr>
          <w:rFonts w:ascii="Times New Roman" w:cs="Times New Roman" w:eastAsia="Times New Roman" w:hAnsi="Times New Roman"/>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Senior Indebtedness is defined in the indenture as the principal of (and premium, if any) and unpaid interest on:</w:t>
      </w:r>
    </w:p>
    <w:p>
      <w:pPr>
        <w:spacing w:after="0" w:line="122" w:lineRule="exact"/>
        <w:rPr>
          <w:sz w:val="20"/>
          <w:szCs w:val="20"/>
          <w:color w:val="auto"/>
        </w:rPr>
      </w:pPr>
    </w:p>
    <w:p>
      <w:pPr>
        <w:ind w:left="1000" w:right="100" w:hanging="442"/>
        <w:spacing w:after="0" w:line="25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9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renewals, extensions, modifications and refinancings of any of this indebtedness.</w:t>
      </w:r>
    </w:p>
    <w:p>
      <w:pPr>
        <w:spacing w:after="0" w:line="214" w:lineRule="exact"/>
        <w:rPr>
          <w:sz w:val="20"/>
          <w:szCs w:val="20"/>
          <w:color w:val="auto"/>
        </w:rPr>
      </w:pPr>
    </w:p>
    <w:p>
      <w:pPr>
        <w:ind w:right="300" w:firstLine="450"/>
        <w:spacing w:after="0" w:line="268" w:lineRule="auto"/>
        <w:rPr>
          <w:sz w:val="20"/>
          <w:szCs w:val="20"/>
          <w:color w:val="auto"/>
        </w:rPr>
      </w:pPr>
      <w:r>
        <w:rPr>
          <w:rFonts w:ascii="Times New Roman" w:cs="Times New Roman" w:eastAsia="Times New Roman" w:hAnsi="Times New Roman"/>
          <w:sz w:val="18"/>
          <w:szCs w:val="18"/>
          <w:color w:val="auto"/>
        </w:rPr>
        <w:t>If this prospectus is being delivered in connection with the offering of a series of indenture securities denominated as subordinated debt securities, an accompanying prospectus supplement will set forth the approximate amount of our Senior Indebtedness outstanding as of a recent date.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Trustee under the Indenture</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Equiniti Trust Company, LLC (f/k/a American Stock Transfer &amp; Trust Company, LLC) is the trustee under the indenture and the 2026 Notes.</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20"/>
          </w:cols>
          <w:pgMar w:left="320" w:top="292"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4">
                      <a:extLst>
                        <a:ext uri="{28A0092B-C50C-407E-A947-70E740481C1C}"/>
                      </a:extLst>
                    </a:blip>
                    <a:srcRect/>
                    <a:stretch>
                      <a:fillRect/>
                    </a:stretch>
                  </pic:blipFill>
                  <pic:spPr bwMode="auto">
                    <a:xfrm>
                      <a:off x="0" y="0"/>
                      <a:ext cx="7178040" cy="54610"/>
                    </a:xfrm>
                    <a:prstGeom prst="rect">
                      <a:avLst/>
                    </a:prstGeom>
                    <a:noFill/>
                  </pic:spPr>
                </pic:pic>
              </a:graphicData>
            </a:graphic>
          </wp:anchor>
        </w:drawing>
        <w:t>Certain Considerations Relating to Foreign Currencies</w:t>
      </w:r>
    </w:p>
    <w:p>
      <w:pPr>
        <w:spacing w:after="0" w:line="111"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18"/>
          <w:szCs w:val="18"/>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1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60"/>
          </w:cols>
          <w:pgMar w:left="320" w:top="290" w:right="419" w:bottom="1440" w:gutter="0" w:footer="0" w:header="0"/>
        </w:sectPr>
      </w:pPr>
    </w:p>
    <w:bookmarkStart w:id="71" w:name="page72"/>
    <w:bookmarkEnd w:id="71"/>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5">
                      <a:extLst>
                        <a:ext uri="{28A0092B-C50C-407E-A947-70E740481C1C}"/>
                      </a:extLst>
                    </a:blip>
                    <a:srcRect/>
                    <a:stretch>
                      <a:fillRect/>
                    </a:stretch>
                  </pic:blipFill>
                  <pic:spPr bwMode="auto">
                    <a:xfrm>
                      <a:off x="0" y="0"/>
                      <a:ext cx="7178040" cy="54610"/>
                    </a:xfrm>
                    <a:prstGeom prst="rect">
                      <a:avLst/>
                    </a:prstGeom>
                    <a:noFill/>
                  </pic:spPr>
                </pic:pic>
              </a:graphicData>
            </a:graphic>
          </wp:anchor>
        </w:drawing>
        <w:t>BROKERAGE ALLOCATIONS AND OTHER PRACTICES</w:t>
      </w:r>
    </w:p>
    <w:p>
      <w:pPr>
        <w:spacing w:after="0" w:line="216" w:lineRule="exact"/>
        <w:rPr>
          <w:sz w:val="20"/>
          <w:szCs w:val="20"/>
          <w:color w:val="auto"/>
        </w:rPr>
      </w:pPr>
    </w:p>
    <w:p>
      <w:pPr>
        <w:ind w:firstLine="450"/>
        <w:spacing w:after="0" w:line="281" w:lineRule="auto"/>
        <w:rPr>
          <w:sz w:val="20"/>
          <w:szCs w:val="20"/>
          <w:color w:val="auto"/>
        </w:rPr>
      </w:pPr>
      <w:r>
        <w:rPr>
          <w:rFonts w:ascii="Times New Roman" w:cs="Times New Roman" w:eastAsia="Times New Roman" w:hAnsi="Times New Roman"/>
          <w:sz w:val="16"/>
          <w:szCs w:val="16"/>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us,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we will not necessarily pay the lowest spread or commission available. Subject to applicable legal requirements, the Investment Adviser may select a broker based partly upon brokerage or research services provided to the Investment Adviser and us and any other clients. In return for such services, we may pay a higher commission than other brokers would charge if the Investment Adviser determines in good faith that such commission is reasonable in relation to the services provided.</w:t>
      </w:r>
    </w:p>
    <w:p>
      <w:pPr>
        <w:spacing w:after="0" w:line="10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60"/>
          </w:cols>
          <w:pgMar w:left="320" w:top="290" w:right="519" w:bottom="1440" w:gutter="0" w:footer="0" w:header="0"/>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6">
                      <a:extLst>
                        <a:ext uri="{28A0092B-C50C-407E-A947-70E740481C1C}"/>
                      </a:extLst>
                    </a:blip>
                    <a:srcRect/>
                    <a:stretch>
                      <a:fillRect/>
                    </a:stretch>
                  </pic:blipFill>
                  <pic:spPr bwMode="auto">
                    <a:xfrm>
                      <a:off x="0" y="0"/>
                      <a:ext cx="7178040" cy="54610"/>
                    </a:xfrm>
                    <a:prstGeom prst="rect">
                      <a:avLst/>
                    </a:prstGeom>
                    <a:noFill/>
                  </pic:spPr>
                </pic:pic>
              </a:graphicData>
            </a:graphic>
          </wp:anchor>
        </w:drawing>
        <w:t>MATERIAL U.S. FEDERAL INCOME TAX CONSIDERATIONS</w:t>
      </w:r>
    </w:p>
    <w:p>
      <w:pPr>
        <w:spacing w:after="0" w:line="216" w:lineRule="exact"/>
        <w:rPr>
          <w:sz w:val="20"/>
          <w:szCs w:val="20"/>
          <w:color w:val="auto"/>
        </w:rPr>
      </w:pPr>
    </w:p>
    <w:p>
      <w:pPr>
        <w:ind w:right="60" w:firstLine="450"/>
        <w:spacing w:after="0" w:line="246" w:lineRule="auto"/>
        <w:rPr>
          <w:sz w:val="20"/>
          <w:szCs w:val="20"/>
          <w:color w:val="auto"/>
        </w:rPr>
      </w:pPr>
      <w:r>
        <w:rPr>
          <w:rFonts w:ascii="Times New Roman" w:cs="Times New Roman" w:eastAsia="Times New Roman" w:hAnsi="Times New Roman"/>
          <w:sz w:val="18"/>
          <w:szCs w:val="18"/>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persons that have a functional currency (as such term is defined in the Code) other than the U.S. dollar, tax-exempt organizations, insurance companies, dealers in securities, pension plans and trusts, and financial institutions. This summary assumes that investors hold our common stock as capital assets (as such term is defined in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IRS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“U.S. stockholder” generally is a beneficial owner of shares of our common stock that is for U.S. federal income tax purposes:</w:t>
      </w:r>
    </w:p>
    <w:p>
      <w:pPr>
        <w:spacing w:after="0" w:line="122" w:lineRule="exact"/>
        <w:rPr>
          <w:sz w:val="20"/>
          <w:szCs w:val="20"/>
          <w:color w:val="auto"/>
        </w:rPr>
      </w:pPr>
    </w:p>
    <w:p>
      <w:pPr>
        <w:ind w:left="1000" w:hanging="442"/>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121" w:lineRule="exact"/>
        <w:rPr>
          <w:rFonts w:ascii="Times New Roman" w:cs="Times New Roman" w:eastAsia="Times New Roman" w:hAnsi="Times New Roman"/>
          <w:sz w:val="18"/>
          <w:szCs w:val="18"/>
          <w:color w:val="auto"/>
        </w:rPr>
      </w:pPr>
    </w:p>
    <w:p>
      <w:pPr>
        <w:ind w:left="1000" w:hanging="442"/>
        <w:spacing w:after="0" w:line="268"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77" w:lineRule="exact"/>
        <w:rPr>
          <w:rFonts w:ascii="Times New Roman" w:cs="Times New Roman" w:eastAsia="Times New Roman" w:hAnsi="Times New Roman"/>
          <w:sz w:val="18"/>
          <w:szCs w:val="18"/>
          <w:color w:val="auto"/>
        </w:rPr>
      </w:pPr>
    </w:p>
    <w:p>
      <w:pPr>
        <w:ind w:left="1000" w:right="160" w:hanging="442"/>
        <w:spacing w:after="0" w:line="256"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court in the United States has primary supervision over its administration and one or more U.S. persons have the authority to control all substantial decisions of the trust, or the trust has a valid election in effect under applicable U.S. Treasury regulations to be treated as a U.S. person; or</w:t>
      </w:r>
    </w:p>
    <w:p>
      <w:pPr>
        <w:spacing w:after="0" w:line="8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w:t>
      </w:r>
    </w:p>
    <w:p>
      <w:pPr>
        <w:spacing w:after="0" w:line="214" w:lineRule="exact"/>
        <w:rPr>
          <w:sz w:val="20"/>
          <w:szCs w:val="20"/>
          <w:color w:val="auto"/>
        </w:rPr>
      </w:pPr>
    </w:p>
    <w:p>
      <w:pPr>
        <w:ind w:right="500" w:firstLine="450"/>
        <w:spacing w:after="0" w:line="268" w:lineRule="auto"/>
        <w:rPr>
          <w:sz w:val="20"/>
          <w:szCs w:val="20"/>
          <w:color w:val="auto"/>
        </w:rPr>
      </w:pPr>
      <w:r>
        <w:rPr>
          <w:rFonts w:ascii="Times New Roman" w:cs="Times New Roman" w:eastAsia="Times New Roman" w:hAnsi="Times New Roman"/>
          <w:sz w:val="18"/>
          <w:szCs w:val="18"/>
          <w:color w:val="auto"/>
        </w:rPr>
        <w:t>A “Non-U.S. stockholder” is a beneficial owner of shares of our common stock that is neither a U.S. stockholder nor a partnership for U.S. federal income tax purposes.</w:t>
      </w:r>
    </w:p>
    <w:p>
      <w:pPr>
        <w:spacing w:after="0" w:line="169" w:lineRule="exact"/>
        <w:rPr>
          <w:sz w:val="20"/>
          <w:szCs w:val="20"/>
          <w:color w:val="auto"/>
        </w:rPr>
      </w:pPr>
    </w:p>
    <w:p>
      <w:pPr>
        <w:ind w:right="60" w:firstLine="450"/>
        <w:spacing w:after="0" w:line="252" w:lineRule="auto"/>
        <w:rPr>
          <w:sz w:val="20"/>
          <w:szCs w:val="20"/>
          <w:color w:val="auto"/>
        </w:rPr>
      </w:pPr>
      <w:r>
        <w:rPr>
          <w:rFonts w:ascii="Times New Roman" w:cs="Times New Roman" w:eastAsia="Times New Roman" w:hAnsi="Times New Roman"/>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83" w:lineRule="exact"/>
        <w:rPr>
          <w:sz w:val="20"/>
          <w:szCs w:val="20"/>
          <w:color w:val="auto"/>
        </w:rPr>
      </w:pPr>
    </w:p>
    <w:p>
      <w:pPr>
        <w:ind w:right="20" w:firstLine="450"/>
        <w:spacing w:after="0" w:line="252" w:lineRule="auto"/>
        <w:rPr>
          <w:sz w:val="20"/>
          <w:szCs w:val="20"/>
          <w:color w:val="auto"/>
        </w:rPr>
      </w:pPr>
      <w:r>
        <w:rPr>
          <w:rFonts w:ascii="Times New Roman" w:cs="Times New Roman" w:eastAsia="Times New Roman" w:hAnsi="Times New Roman"/>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U.S. federal, state, local and foreign tax laws, eligibility for the benefits of any applicable tax treaty and the effect of any possible changes in the tax laws.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in Connection with Holding Securities other than our Common Stock</w:t>
      </w:r>
    </w:p>
    <w:p>
      <w:pPr>
        <w:spacing w:after="0" w:line="111" w:lineRule="exact"/>
        <w:rPr>
          <w:sz w:val="20"/>
          <w:szCs w:val="20"/>
          <w:color w:val="auto"/>
        </w:rPr>
      </w:pPr>
    </w:p>
    <w:p>
      <w:pPr>
        <w:ind w:right="60" w:firstLine="450"/>
        <w:spacing w:after="0" w:line="250" w:lineRule="auto"/>
        <w:rPr>
          <w:sz w:val="20"/>
          <w:szCs w:val="20"/>
          <w:color w:val="auto"/>
        </w:rPr>
      </w:pPr>
      <w:r>
        <w:rPr>
          <w:rFonts w:ascii="Times New Roman" w:cs="Times New Roman" w:eastAsia="Times New Roman" w:hAnsi="Times New Roman"/>
          <w:sz w:val="18"/>
          <w:szCs w:val="18"/>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OID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290"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7">
                      <a:extLst>
                        <a:ext uri="{28A0092B-C50C-407E-A947-70E740481C1C}"/>
                      </a:extLst>
                    </a:blip>
                    <a:srcRect/>
                    <a:stretch>
                      <a:fillRect/>
                    </a:stretch>
                  </pic:blipFill>
                  <pic:spPr bwMode="auto">
                    <a:xfrm>
                      <a:off x="0" y="0"/>
                      <a:ext cx="7178040" cy="54610"/>
                    </a:xfrm>
                    <a:prstGeom prst="rect">
                      <a:avLst/>
                    </a:prstGeom>
                    <a:noFill/>
                  </pic:spPr>
                </pic:pic>
              </a:graphicData>
            </a:graphic>
          </wp:anchor>
        </w:drawing>
        <w:t>Election to be Treated as a RIC</w:t>
      </w:r>
    </w:p>
    <w:p>
      <w:pPr>
        <w:spacing w:after="0" w:line="111" w:lineRule="exact"/>
        <w:rPr>
          <w:sz w:val="20"/>
          <w:szCs w:val="20"/>
          <w:color w:val="auto"/>
        </w:rPr>
      </w:pPr>
    </w:p>
    <w:p>
      <w:pPr>
        <w:ind w:right="100" w:firstLine="450"/>
        <w:spacing w:after="0" w:line="249" w:lineRule="auto"/>
        <w:rPr>
          <w:sz w:val="20"/>
          <w:szCs w:val="20"/>
          <w:color w:val="auto"/>
        </w:rPr>
      </w:pPr>
      <w:r>
        <w:rPr>
          <w:rFonts w:ascii="Times New Roman" w:cs="Times New Roman" w:eastAsia="Times New Roman" w:hAnsi="Times New Roman"/>
          <w:sz w:val="18"/>
          <w:szCs w:val="18"/>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(as described below). We also must annually distribute dividends for U.S. federal income tax purposes to our stockholders of an amount generally at least equal to 90% of the sum of our ordinary income and realized net short-term capital gains in excess of realized net long-term capital losses, if any, or investment company taxable income, and determined without regard to any deduction for dividends paid, out of the assets legally available for distribution, or the Annual Distribution Requirement.</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order to qualify as a RIC for federal income tax purposes, we must:</w:t>
      </w:r>
    </w:p>
    <w:p>
      <w:pPr>
        <w:spacing w:after="0" w:line="122" w:lineRule="exact"/>
        <w:rPr>
          <w:sz w:val="20"/>
          <w:szCs w:val="20"/>
          <w:color w:val="auto"/>
        </w:rPr>
      </w:pPr>
    </w:p>
    <w:p>
      <w:pPr>
        <w:ind w:left="1000" w:hanging="442"/>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 election to be treated as a BDC under the 1940 Act at all times during each taxable year;</w:t>
      </w:r>
    </w:p>
    <w:p>
      <w:pPr>
        <w:spacing w:after="0" w:line="121" w:lineRule="exact"/>
        <w:rPr>
          <w:rFonts w:ascii="Times New Roman" w:cs="Times New Roman" w:eastAsia="Times New Roman" w:hAnsi="Times New Roman"/>
          <w:sz w:val="18"/>
          <w:szCs w:val="18"/>
          <w:color w:val="auto"/>
        </w:rPr>
      </w:pPr>
    </w:p>
    <w:p>
      <w:pPr>
        <w:ind w:left="1000" w:right="180" w:hanging="442"/>
        <w:spacing w:after="0" w:line="256"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8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diversify our holdings, or the Diversification Tests, so that at the end of each quarter of the taxable year:</w:t>
      </w:r>
    </w:p>
    <w:p>
      <w:pPr>
        <w:spacing w:after="0" w:line="121" w:lineRule="exact"/>
        <w:rPr>
          <w:rFonts w:ascii="Times New Roman" w:cs="Times New Roman" w:eastAsia="Times New Roman" w:hAnsi="Times New Roman"/>
          <w:sz w:val="18"/>
          <w:szCs w:val="18"/>
          <w:color w:val="auto"/>
        </w:rPr>
      </w:pPr>
    </w:p>
    <w:p>
      <w:pPr>
        <w:jc w:val="both"/>
        <w:ind w:left="1460" w:right="260" w:hanging="455"/>
        <w:spacing w:after="0" w:line="256" w:lineRule="auto"/>
        <w:tabs>
          <w:tab w:leader="none" w:pos="14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87" w:lineRule="exact"/>
        <w:rPr>
          <w:rFonts w:ascii="Times New Roman" w:cs="Times New Roman" w:eastAsia="Times New Roman" w:hAnsi="Times New Roman"/>
          <w:sz w:val="18"/>
          <w:szCs w:val="18"/>
          <w:color w:val="auto"/>
        </w:rPr>
      </w:pPr>
    </w:p>
    <w:p>
      <w:pPr>
        <w:jc w:val="both"/>
        <w:ind w:left="1460" w:right="40" w:hanging="455"/>
        <w:spacing w:after="0" w:line="256" w:lineRule="auto"/>
        <w:tabs>
          <w:tab w:leader="none" w:pos="14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80" w:lineRule="exact"/>
        <w:rPr>
          <w:sz w:val="20"/>
          <w:szCs w:val="20"/>
          <w:color w:val="auto"/>
        </w:rPr>
      </w:pPr>
    </w:p>
    <w:p>
      <w:pPr>
        <w:ind w:right="40" w:firstLine="450"/>
        <w:spacing w:after="0" w:line="247" w:lineRule="auto"/>
        <w:rPr>
          <w:sz w:val="20"/>
          <w:szCs w:val="20"/>
          <w:color w:val="auto"/>
        </w:rPr>
      </w:pPr>
      <w:r>
        <w:rPr>
          <w:rFonts w:ascii="Times New Roman" w:cs="Times New Roman" w:eastAsia="Times New Roman" w:hAnsi="Times New Roman"/>
          <w:sz w:val="18"/>
          <w:szCs w:val="18"/>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our capital gain net income (i.e., the excess, if any, of our capital gains over capital losses), adjusted for certain ordinary losses, generally for the one-year period ending on October 31 of the calendar year plus (3) any net ordinary income or capital gain net income for the preceding years that was not distributed during such years on which we did not incur any corporate income tax, or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spacing w:after="0" w:line="188" w:lineRule="exact"/>
        <w:rPr>
          <w:sz w:val="20"/>
          <w:szCs w:val="20"/>
          <w:color w:val="auto"/>
        </w:rPr>
      </w:pPr>
    </w:p>
    <w:p>
      <w:pPr>
        <w:ind w:firstLine="450"/>
        <w:spacing w:after="0" w:line="250" w:lineRule="auto"/>
        <w:rPr>
          <w:sz w:val="20"/>
          <w:szCs w:val="20"/>
          <w:color w:val="auto"/>
        </w:rPr>
      </w:pPr>
      <w:r>
        <w:rPr>
          <w:rFonts w:ascii="Times New Roman" w:cs="Times New Roman" w:eastAsia="Times New Roman" w:hAnsi="Times New Roman"/>
          <w:sz w:val="18"/>
          <w:szCs w:val="18"/>
          <w:color w:val="auto"/>
        </w:rPr>
        <w:t>While we intend to make sufficient distributions each taxable year to avoid incurring any material U.S. federal excise tax on our earnings, we may not be able to, or may choose not to, distribute amounts sufficient to avoid the imposition of the tax entirely. In that event, we generally will be liable for the excise tax only on the amount by which we do not meet the Excise Tax Avoidance Requirement. Under certain circumstances, however, we may, in our sole discretion, determine that it is in our best interests to retain a portion of our income or capital gains rather than distribute such amount as dividends and accordingly cause us to bear the excise tax burden associated therewith.</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20"/>
          </w:cols>
          <w:pgMar w:left="320" w:top="290" w:right="359" w:bottom="1440" w:gutter="0" w:footer="0" w:header="0"/>
        </w:sectPr>
      </w:pPr>
    </w:p>
    <w:bookmarkStart w:id="74" w:name="page75"/>
    <w:bookmarkEnd w:id="74"/>
    <w:p>
      <w:pPr>
        <w:ind w:right="80" w:firstLine="450"/>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8">
                      <a:extLst>
                        <a:ext uri="{28A0092B-C50C-407E-A947-70E740481C1C}"/>
                      </a:extLst>
                    </a:blip>
                    <a:srcRect/>
                    <a:stretch>
                      <a:fillRect/>
                    </a:stretch>
                  </pic:blipFill>
                  <pic:spPr bwMode="auto">
                    <a:xfrm>
                      <a:off x="0" y="0"/>
                      <a:ext cx="7178040" cy="54610"/>
                    </a:xfrm>
                    <a:prstGeom prst="rect">
                      <a:avLst/>
                    </a:prstGeom>
                    <a:noFill/>
                  </pic:spPr>
                </pic:pic>
              </a:graphicData>
            </a:graphic>
          </wp:anchor>
        </w:drawing>
        <w:t>We may invest in partnerships which may result in our being subject to additional state, local or foreign income, franchise or other tax liabilities. In addition, some of the income and fees that we may recognize will not satisfy the 90% Income Test. In order to mitigate the risk that such income and fees would disqualify us as a RIC as a result of a failure to satisfy the 90% Income Test, we may be required to recognize such income and fees indirectly through the Taxable Subsidiary, which is classified as a corporation for U.S. federal income tax purposes. The Taxable Subsidiary generally will be subject to corporate income taxes on its earnings, which ultimately will reduce our return on such income and fees.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as a RIC</w:t>
      </w:r>
    </w:p>
    <w:p>
      <w:pPr>
        <w:spacing w:after="0" w:line="111" w:lineRule="exact"/>
        <w:rPr>
          <w:sz w:val="20"/>
          <w:szCs w:val="20"/>
          <w:color w:val="auto"/>
        </w:rPr>
      </w:pPr>
    </w:p>
    <w:p>
      <w:pPr>
        <w:ind w:right="20" w:firstLine="450"/>
        <w:spacing w:after="0" w:line="289" w:lineRule="auto"/>
        <w:rPr>
          <w:sz w:val="20"/>
          <w:szCs w:val="20"/>
          <w:color w:val="auto"/>
        </w:rPr>
      </w:pPr>
      <w:r>
        <w:rPr>
          <w:rFonts w:ascii="Times New Roman" w:cs="Times New Roman" w:eastAsia="Times New Roman" w:hAnsi="Times New Roman"/>
          <w:sz w:val="16"/>
          <w:szCs w:val="16"/>
          <w:color w:val="auto"/>
        </w:rPr>
        <w:t>If we qualify as a RIC, and satisfy the Annual Distribution Requirement, then we will not be subject to federal income tax on the portion of our investment company taxable income and net capital gains, determined without regard to any deduction for dividends paid, we distribute (or are deemed to have distributed) as dividends for U.S. federal income tax purposes to stockholders. Additionally, upon satisfying these requirements, we will be subject to U.S. federal income tax at the regular corporate rates on any investment company taxable income or net capital gains determined without regard to any deduction for dividends paid, that is not distributed (or not deemed to have been distributed) as dividends for U.S. federal income tax purposes to our stockholders.</w:t>
      </w:r>
    </w:p>
    <w:p>
      <w:pPr>
        <w:spacing w:after="0" w:line="155" w:lineRule="exact"/>
        <w:rPr>
          <w:sz w:val="20"/>
          <w:szCs w:val="20"/>
          <w:color w:val="auto"/>
        </w:rPr>
      </w:pPr>
    </w:p>
    <w:p>
      <w:pPr>
        <w:ind w:right="60" w:firstLine="450"/>
        <w:spacing w:after="0" w:line="249" w:lineRule="auto"/>
        <w:rPr>
          <w:sz w:val="20"/>
          <w:szCs w:val="20"/>
          <w:color w:val="auto"/>
        </w:rPr>
      </w:pPr>
      <w:r>
        <w:rPr>
          <w:rFonts w:ascii="Times New Roman" w:cs="Times New Roman" w:eastAsia="Times New Roman" w:hAnsi="Times New Roman"/>
          <w:sz w:val="18"/>
          <w:szCs w:val="18"/>
          <w:color w:val="auto"/>
        </w:rPr>
        <w:t>We may be required to recognize taxable income in circumstances in which we do not receive cash. For example, if we hold a debt instrument that is treated under applicable tax rules as having OID (such as debt instruments with PIK interest or, in certain cases, increasing interest rates or issued with warrants), we must include in income each taxable year a portion of the OID that accrues over the life of the debt instrument, regardless of whether cash representing such income is received by us in the same taxable year. Because any OID accrued will be included in our investment company taxable income in the taxable year of accrual, we may be required to make a distribution to our stockholders in order to satisfy the Annual Distribution Requirement, even though we will not have received any corresponding cash amount.</w:t>
      </w:r>
    </w:p>
    <w:p>
      <w:pPr>
        <w:spacing w:after="0" w:line="185" w:lineRule="exact"/>
        <w:rPr>
          <w:sz w:val="20"/>
          <w:szCs w:val="20"/>
          <w:color w:val="auto"/>
        </w:rPr>
      </w:pPr>
    </w:p>
    <w:p>
      <w:pPr>
        <w:ind w:firstLine="450"/>
        <w:spacing w:after="0" w:line="250" w:lineRule="auto"/>
        <w:rPr>
          <w:sz w:val="20"/>
          <w:szCs w:val="20"/>
          <w:color w:val="auto"/>
        </w:rPr>
      </w:pPr>
      <w:r>
        <w:rPr>
          <w:rFonts w:ascii="Times New Roman" w:cs="Times New Roman" w:eastAsia="Times New Roman" w:hAnsi="Times New Roman"/>
          <w:sz w:val="18"/>
          <w:szCs w:val="18"/>
          <w:color w:val="auto"/>
        </w:rPr>
        <w:t>We invest in below investment grade instruments. Investments in these types of instruments may present special tax issues for us. U.S. federal income tax rules are not entirely clear about issues such as when we may cease to accrue interest, OID or market discount, when and to what extent deductions may be taken for bad debts or worthless debt instruments, how payments received on obligations in default should be allocated between principal and income and whether exchanges of debt instruments in a bankruptcy or workout context are taxable. We will address these and other issues to the extent necessary in order to continue to maintain our qualification to be subject to tax as a RIC.</w:t>
      </w:r>
    </w:p>
    <w:p>
      <w:pPr>
        <w:spacing w:after="0" w:line="185" w:lineRule="exact"/>
        <w:rPr>
          <w:sz w:val="20"/>
          <w:szCs w:val="20"/>
          <w:color w:val="auto"/>
        </w:rPr>
      </w:pPr>
    </w:p>
    <w:p>
      <w:pPr>
        <w:ind w:right="20" w:firstLine="450"/>
        <w:spacing w:after="0" w:line="247" w:lineRule="auto"/>
        <w:rPr>
          <w:sz w:val="20"/>
          <w:szCs w:val="20"/>
          <w:color w:val="auto"/>
        </w:rPr>
      </w:pPr>
      <w:r>
        <w:rPr>
          <w:rFonts w:ascii="Times New Roman" w:cs="Times New Roman" w:eastAsia="Times New Roman" w:hAnsi="Times New Roman"/>
          <w:sz w:val="18"/>
          <w:szCs w:val="18"/>
          <w:color w:val="auto"/>
        </w:rPr>
        <w:t>In order to enable us to make distributions to stockholders that will be sufficient to enable us to satisfy the Annual Distribution Requirement and the Excise Tax Avoidance Requirement we may need to liquidate or sell some of our assets at times or at prices that are not advantageous, raise additional equity or debt capital, take out loans, forego new investment opportunities or otherwise take actions that are disadvantageous to our business (or be unable to take actions that are advantageous to our business). If we borrow money, we may be prevented by loan covenants from declaring and paying dividends in certain circumstances. Even if we are authorized to borrow funds and to sell assets in order to satisfy distribution requirements, under the 1940 Act, we are generally not permitted to make distributions to our stockholders while our debt obligations and senior securities are outstanding unless certain “asset coverage” tests or other financial covenants are met. Limits on our payment of dividends may prevent us from meeting the Annual Distribution Requirement, and may, therefore, jeopardize our qualification for taxation as a RIC, or subject us to the 4% excise tax on undistributed income.</w:t>
      </w:r>
    </w:p>
    <w:p>
      <w:pPr>
        <w:spacing w:after="0" w:line="191" w:lineRule="exact"/>
        <w:rPr>
          <w:sz w:val="20"/>
          <w:szCs w:val="20"/>
          <w:color w:val="auto"/>
        </w:rPr>
      </w:pPr>
    </w:p>
    <w:p>
      <w:pPr>
        <w:ind w:right="100" w:firstLine="450"/>
        <w:spacing w:after="0" w:line="250" w:lineRule="auto"/>
        <w:rPr>
          <w:sz w:val="20"/>
          <w:szCs w:val="20"/>
          <w:color w:val="auto"/>
        </w:rPr>
      </w:pPr>
      <w:r>
        <w:rPr>
          <w:rFonts w:ascii="Times New Roman" w:cs="Times New Roman" w:eastAsia="Times New Roman" w:hAnsi="Times New Roman"/>
          <w:sz w:val="18"/>
          <w:szCs w:val="18"/>
          <w:color w:val="auto"/>
        </w:rPr>
        <w:t>A portfolio company in which we invest may face financial difficulty that requires us to work-out, modify or otherwise restructure our investment in the portfolio company. Any such restructuring could, depending on the specific terms of the restructuring, cause us to recognize taxable income without a corresponding receipt of cash, which could affect our ability to satisfy the Annual Distribution Requirement or the Excise Tax Avoidance Requirement, or result in unusable capital losses and future non-cash income. Any such restructuring could also result in our receiving assets that give rise to non-qualifying gross income for purposes of the 90% Income Test.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292" w:right="339" w:bottom="1440" w:gutter="0" w:footer="0" w:header="0"/>
        </w:sectPr>
      </w:pPr>
    </w:p>
    <w:bookmarkStart w:id="75" w:name="page76"/>
    <w:bookmarkEnd w:id="75"/>
    <w:p>
      <w:pPr>
        <w:ind w:right="20" w:firstLine="450"/>
        <w:spacing w:after="0" w:line="27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9">
                      <a:extLst>
                        <a:ext uri="{28A0092B-C50C-407E-A947-70E740481C1C}"/>
                      </a:extLst>
                    </a:blip>
                    <a:srcRect/>
                    <a:stretch>
                      <a:fillRect/>
                    </a:stretch>
                  </pic:blipFill>
                  <pic:spPr bwMode="auto">
                    <a:xfrm>
                      <a:off x="0" y="0"/>
                      <a:ext cx="7178040" cy="54610"/>
                    </a:xfrm>
                    <a:prstGeom prst="rect">
                      <a:avLst/>
                    </a:prstGeom>
                    <a:noFill/>
                  </pic:spPr>
                </pic:pic>
              </a:graphicData>
            </a:graphic>
          </wp:anchor>
        </w:drawing>
        <w:t>Certain of our investment practices may be subject to special and complex U.S. federal income tax provisions that may, among other things, (a) disallow, suspend or otherwise limit the allowance of certain losses or deductions, (b) convert long-term capital gain (currently taxed at lower rates for non-corporate taxpayers) into higher taxed short-term capital gain or ordinary income, (c) convert an ordinary loss or a deduction into a capital loss (the deductibility of which is more limited), (d) adversely affect the time as to when a purchase or sale of stock or securities is deemed to occur, (e) adversely alter the characterization of certain complex financial transactions, (f) treat dividends that would otherwise constitute qualified dividend income as non-qualified dividend income,</w:t>
      </w:r>
    </w:p>
    <w:p>
      <w:pPr>
        <w:spacing w:after="0" w:line="1" w:lineRule="exact"/>
        <w:rPr>
          <w:sz w:val="20"/>
          <w:szCs w:val="20"/>
          <w:color w:val="auto"/>
        </w:rPr>
      </w:pPr>
    </w:p>
    <w:p>
      <w:pPr>
        <w:ind w:right="420" w:firstLine="5"/>
        <w:spacing w:after="0" w:line="245" w:lineRule="auto"/>
        <w:tabs>
          <w:tab w:leader="none" w:pos="24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us to recognize income or gain without receipt of a corresponding cash payment, and (h) produce income that will not be qualifying income for purposes of the 90% Income Test. We will monitor our transactions and may make certain tax elections in order to mitigate the effects of these provisions; however, no assurance can be given that we will be eligible for any such tax elections or that any elections we make will fully mitigate the effects of these provisions.</w:t>
      </w:r>
    </w:p>
    <w:p>
      <w:pPr>
        <w:spacing w:after="0" w:line="190" w:lineRule="exact"/>
        <w:rPr>
          <w:sz w:val="20"/>
          <w:szCs w:val="20"/>
          <w:color w:val="auto"/>
        </w:rPr>
      </w:pPr>
    </w:p>
    <w:p>
      <w:pPr>
        <w:ind w:firstLine="450"/>
        <w:spacing w:after="0" w:line="268" w:lineRule="auto"/>
        <w:rPr>
          <w:sz w:val="20"/>
          <w:szCs w:val="20"/>
          <w:color w:val="auto"/>
        </w:rPr>
      </w:pPr>
      <w:r>
        <w:rPr>
          <w:rFonts w:ascii="Times New Roman" w:cs="Times New Roman" w:eastAsia="Times New Roman" w:hAnsi="Times New Roman"/>
          <w:sz w:val="18"/>
          <w:szCs w:val="18"/>
          <w:color w:val="auto"/>
        </w:rPr>
        <w:t>Gain or loss realized by us from equity securities and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169" w:lineRule="exact"/>
        <w:rPr>
          <w:sz w:val="20"/>
          <w:szCs w:val="20"/>
          <w:color w:val="auto"/>
        </w:rPr>
      </w:pPr>
    </w:p>
    <w:p>
      <w:pPr>
        <w:ind w:right="100" w:firstLine="450"/>
        <w:spacing w:after="0" w:line="249" w:lineRule="auto"/>
        <w:rPr>
          <w:sz w:val="20"/>
          <w:szCs w:val="20"/>
          <w:color w:val="auto"/>
        </w:rPr>
      </w:pPr>
      <w:r>
        <w:rPr>
          <w:rFonts w:ascii="Times New Roman" w:cs="Times New Roman" w:eastAsia="Times New Roman" w:hAnsi="Times New Roman"/>
          <w:sz w:val="18"/>
          <w:szCs w:val="18"/>
          <w:color w:val="auto"/>
        </w:rPr>
        <w:t>We are authorized to borrow funds and to sell assets in order to satisfy our Annual Distribution Requirement or the Excise Tax Avoidance Requirement. However, under the 1940 Act, we are not permitted to make distributions to our stockholders while our debt instruments and other senior securities are outstanding unless certain asset coverage requirements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85" w:lineRule="exact"/>
        <w:rPr>
          <w:sz w:val="20"/>
          <w:szCs w:val="20"/>
          <w:color w:val="auto"/>
        </w:rPr>
      </w:pPr>
    </w:p>
    <w:p>
      <w:pPr>
        <w:ind w:right="60" w:firstLine="450"/>
        <w:spacing w:after="0" w:line="250" w:lineRule="auto"/>
        <w:rPr>
          <w:sz w:val="20"/>
          <w:szCs w:val="20"/>
          <w:color w:val="auto"/>
        </w:rPr>
      </w:pPr>
      <w:r>
        <w:rPr>
          <w:rFonts w:ascii="Times New Roman" w:cs="Times New Roman" w:eastAsia="Times New Roman" w:hAnsi="Times New Roman"/>
          <w:sz w:val="18"/>
          <w:szCs w:val="18"/>
          <w:color w:val="auto"/>
        </w:rPr>
        <w:t>We may distribute our common stock as a dividend from our taxable income and a stockholder could receive a portion of such distributions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and distributed by us would be taxable income to a stockholder even though only a small portion of the dividend was paid in cash to pay any taxes due on the total dividend. We have not yet elected to distribute stock as a dividend but reserve the right to do so.</w:t>
      </w:r>
    </w:p>
    <w:p>
      <w:pPr>
        <w:spacing w:after="0" w:line="185" w:lineRule="exact"/>
        <w:rPr>
          <w:sz w:val="20"/>
          <w:szCs w:val="20"/>
          <w:color w:val="auto"/>
        </w:rPr>
      </w:pPr>
    </w:p>
    <w:p>
      <w:pPr>
        <w:ind w:firstLine="450"/>
        <w:spacing w:after="0" w:line="246" w:lineRule="auto"/>
        <w:rPr>
          <w:sz w:val="20"/>
          <w:szCs w:val="20"/>
          <w:color w:val="auto"/>
        </w:rPr>
      </w:pPr>
      <w:r>
        <w:rPr>
          <w:rFonts w:ascii="Times New Roman" w:cs="Times New Roman" w:eastAsia="Times New Roman" w:hAnsi="Times New Roman"/>
          <w:sz w:val="18"/>
          <w:szCs w:val="18"/>
          <w:color w:val="auto"/>
        </w:rPr>
        <w:t>Our investment in non-U.S. securities may be subject to non-U.S. income, withholding and other taxes. In that case, our yield on those securities would be decreased. Stockholders will generally not be entitled to claim a U.S. foreign tax credit or deduction with respect to non-U.S. taxes paid by us. If we acquire shares in a passive foreign investment company, or “PFIC,” we may be subject to U.S. federal income tax on a portion of any “excess distribution” received on, or gain from the disposition of, such shares, even if such income is distributed as a taxable dividend by us to our stockholders. Additional charges in the nature of interest may be imposed on us in respect of deferred taxes arising from such distributions or gains. Furthermore, if we hold shares in a PFIC and elect to treat the PFIC as a qualified electing fund, or “QEF,” under the Code, in lieu of the foregoing requirements, we will be required to include in income each year a portion of the ordinary earnings and net capital gain of the QEF, even if such income is not distributed to us. Alternatively, we may elect to mark-to-market at the end of each taxable year our shares in such PFIC; in this case, we will recognize as ordinary income any increase in the value of such shares, and as ordinary loss any decrease in such value to the extent it does not exceed prior increases included in income. Our ability to make either election will depend on factors beyond our control, and we are subject to restrictions that may limit the availability or benefit of these elections. Under either election, we may be required to recognize in any year income in excess of the distributions we receive from PFICs and our proceeds from dispositions of PFIC stock during that year, and such income will nevertheless be subject to the Annual Distribution Requirement and will be taken into account for purposes of determining whether we satisfy the Excise Tax Avoidance Requirement.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40"/>
          </w:cols>
          <w:pgMar w:left="320" w:top="292" w:right="339" w:bottom="1440" w:gutter="0" w:footer="0" w:header="0"/>
        </w:sectPr>
      </w:pPr>
    </w:p>
    <w:bookmarkStart w:id="76" w:name="page77"/>
    <w:bookmarkEnd w:id="76"/>
    <w:p>
      <w:pPr>
        <w:ind w:right="100" w:firstLine="450"/>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0">
                      <a:extLst>
                        <a:ext uri="{28A0092B-C50C-407E-A947-70E740481C1C}"/>
                      </a:extLst>
                    </a:blip>
                    <a:srcRect/>
                    <a:stretch>
                      <a:fillRect/>
                    </a:stretch>
                  </pic:blipFill>
                  <pic:spPr bwMode="auto">
                    <a:xfrm>
                      <a:off x="0" y="0"/>
                      <a:ext cx="7178040" cy="54610"/>
                    </a:xfrm>
                    <a:prstGeom prst="rect">
                      <a:avLst/>
                    </a:prstGeom>
                    <a:noFill/>
                  </pic:spPr>
                </pic:pic>
              </a:graphicData>
            </a:graphic>
          </wp:anchor>
        </w:drawing>
        <w:t>If we are deemed to own ten percent (10%) or more (by vote or value) of the stock of a non-U.S. corporation that qualifies as a “controlled foreign corporation,” or “CFC,” for U.S. federal income tax purposes, we would be required to include in income the amount of the CFC’s “Subpart F income” to which it would have been entitled had the CFC currently distributed all of its earnings. Additionally, all or any part of any gain resulting from the sale or exchange of stock of the CFC could be treated as a dividend. For this purpose, a non-U.S. corporation is generally considered a CFC if more than 50% of the corporation’s stock (by vote or value) is owned, directly or indirectly or through application of certain constructive ownership rules, by U.S. persons who each own, directly or indirectly or constructively, 10% or more (by vote or value) of the non-U.S. corporation’s voting stock, or a “U.S. Shareholder.” If we are treated as receiving a deemed inclusion of income from a CFC, we would be required to include such distribution in our investment company taxable income regardless of whether we receive any distributions from such CFC, and we would be required to include such deemed inclusion of income in determining our satisfaction of the Annual Distribution Requirement and the Excise Tax Avoidance Requirement.</w:t>
      </w:r>
    </w:p>
    <w:p>
      <w:pPr>
        <w:spacing w:after="0" w:line="188" w:lineRule="exact"/>
        <w:rPr>
          <w:sz w:val="20"/>
          <w:szCs w:val="20"/>
          <w:color w:val="auto"/>
        </w:rPr>
      </w:pPr>
    </w:p>
    <w:p>
      <w:pPr>
        <w:ind w:right="20" w:firstLine="450"/>
        <w:spacing w:after="0" w:line="250" w:lineRule="auto"/>
        <w:rPr>
          <w:sz w:val="20"/>
          <w:szCs w:val="20"/>
          <w:color w:val="auto"/>
        </w:rPr>
      </w:pPr>
      <w:r>
        <w:rPr>
          <w:rFonts w:ascii="Times New Roman" w:cs="Times New Roman" w:eastAsia="Times New Roman" w:hAnsi="Times New Roman"/>
          <w:sz w:val="18"/>
          <w:szCs w:val="18"/>
          <w:color w:val="auto"/>
        </w:rPr>
        <w:t>The PFIC rules would not apply to us with respect to any investment for any period during which the CFC rules were applicable to such investment. Furthermore, in determining the amount of any deemed inclusion of income from any CFC, we are required to include in gross income each taxable year our share of any “global intangible low-taxed income,” or “GILTI.” Rules relating to GILTI and CFCs are complex. As such, shareholders should consult their own tax advisors about the applicability and U.S. federal income tax consequences of the CFC rules to their investment in our shares, including the potential impact of rules governing the inclusion of Subpart F income and the related GILTI rules.</w:t>
      </w:r>
    </w:p>
    <w:p>
      <w:pPr>
        <w:spacing w:after="0" w:line="185" w:lineRule="exact"/>
        <w:rPr>
          <w:sz w:val="20"/>
          <w:szCs w:val="20"/>
          <w:color w:val="auto"/>
        </w:rPr>
      </w:pPr>
    </w:p>
    <w:p>
      <w:pPr>
        <w:ind w:firstLine="450"/>
        <w:spacing w:after="0" w:line="246" w:lineRule="auto"/>
        <w:rPr>
          <w:sz w:val="20"/>
          <w:szCs w:val="20"/>
          <w:color w:val="auto"/>
        </w:rPr>
      </w:pPr>
      <w:r>
        <w:rPr>
          <w:rFonts w:ascii="Times New Roman" w:cs="Times New Roman" w:eastAsia="Times New Roman" w:hAnsi="Times New Roman"/>
          <w:sz w:val="18"/>
          <w:szCs w:val="18"/>
          <w:color w:val="auto"/>
        </w:rPr>
        <w:t>Our functional currency is the U.S. dollar for U.S. federal income tax purposes. Under Section 988 of the Code, gains or losses attributable to fluctuations in exchange rates between the time we accrue income, expenses or other liabilities denominated in a foreign currency and the time we actually collect such income or pay such expenses or liabilities may be treated as ordinary income or loss. Similarly, gains or losses on foreign currency forward contracts, the disposition of debt denominated in a foreign currency and other financial transactions denominated in foreign currency, to the extent attributable to fluctuations in exchange rates between the acquisition and disposition dates, may also be treated as ordinary income or loss. Some of the income and fees that we recognize, may not satisfy the 90% Income Test. In order to ensure that such income and fees do not disqualify us as a RIC for a failure to satisfy the 90% Income Test, we may be required to recognize such income or fees through one or more entities treated as U.S. corporations for U.S. federal income tax purposes, such as the Taxable Subsidiary. While we expect that recognizing such income through such corporations will assist us in satisfying the 90% Income Test, no assurance can be given that this structure will be respected for U.S. federal income tax purposes, which could result in such income not being counted towards satisfying the 90% Income Test. If the amount of such income were too great and we were otherwise unable to mitigate this effect, it could result in our disqualification as a RIC. If, as we expect, the structure is respected, such corporations will be required to pay U.S. corporate income tax on their earnings, which ultimately will reduce the yield on such income and fees.</w:t>
      </w:r>
    </w:p>
    <w:p>
      <w:pPr>
        <w:spacing w:after="0" w:line="191" w:lineRule="exact"/>
        <w:rPr>
          <w:sz w:val="20"/>
          <w:szCs w:val="20"/>
          <w:color w:val="auto"/>
        </w:rPr>
      </w:pPr>
    </w:p>
    <w:p>
      <w:pPr>
        <w:ind w:firstLine="450"/>
        <w:spacing w:after="0" w:line="248" w:lineRule="auto"/>
        <w:rPr>
          <w:sz w:val="20"/>
          <w:szCs w:val="20"/>
          <w:color w:val="auto"/>
        </w:rPr>
      </w:pPr>
      <w:r>
        <w:rPr>
          <w:rFonts w:ascii="Times New Roman" w:cs="Times New Roman" w:eastAsia="Times New Roman" w:hAnsi="Times New Roman"/>
          <w:sz w:val="18"/>
          <w:szCs w:val="18"/>
          <w:color w:val="auto"/>
        </w:rPr>
        <w:t>We are limited in our ability to deduct expenses in excess of our investment company taxable income. If our expenses in a given year exceed our investment company taxable income, we will have a net operating loss for that year. However, we are not permitted to carry forward our net operating losses to subsequent years, so these net operating losses generally will not pass through to our stockholders. In addition, expenses can be used only to offset investment company taxable income, and may not be used to offset net capital gain. As a RIC, we may not use any net capital losses (that is, realized capital losses in excess of realized capital gains) to offset our investment company taxable income, but may carry forward those losses indefinitely, and use them to offset future capital gains to the extent permitted by the Code. Further, our deduction of net business interest expense is generally limited to 30% of our “adjusted taxable income” plus “floor plan financing interest expense.”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20"/>
          </w:cols>
          <w:pgMar w:left="320" w:top="292"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1">
                      <a:extLst>
                        <a:ext uri="{28A0092B-C50C-407E-A947-70E740481C1C}"/>
                      </a:extLst>
                    </a:blip>
                    <a:srcRect/>
                    <a:stretch>
                      <a:fillRect/>
                    </a:stretch>
                  </pic:blipFill>
                  <pic:spPr bwMode="auto">
                    <a:xfrm>
                      <a:off x="0" y="0"/>
                      <a:ext cx="7178040" cy="54610"/>
                    </a:xfrm>
                    <a:prstGeom prst="rect">
                      <a:avLst/>
                    </a:prstGeom>
                    <a:noFill/>
                  </pic:spPr>
                </pic:pic>
              </a:graphicData>
            </a:graphic>
          </wp:anchor>
        </w:drawing>
        <w:t>Failure to Qualify as a RIC</w:t>
      </w:r>
    </w:p>
    <w:p>
      <w:pPr>
        <w:spacing w:after="0" w:line="111" w:lineRule="exact"/>
        <w:rPr>
          <w:sz w:val="20"/>
          <w:szCs w:val="20"/>
          <w:color w:val="auto"/>
        </w:rPr>
      </w:pPr>
    </w:p>
    <w:p>
      <w:pPr>
        <w:ind w:right="40" w:firstLine="450"/>
        <w:spacing w:after="0" w:line="250" w:lineRule="auto"/>
        <w:rPr>
          <w:sz w:val="20"/>
          <w:szCs w:val="20"/>
          <w:color w:val="auto"/>
        </w:rPr>
      </w:pPr>
      <w:r>
        <w:rPr>
          <w:rFonts w:ascii="Times New Roman" w:cs="Times New Roman" w:eastAsia="Times New Roman" w:hAnsi="Times New Roman"/>
          <w:sz w:val="18"/>
          <w:szCs w:val="18"/>
          <w:color w:val="auto"/>
        </w:rPr>
        <w:t>If we fail to satisfy the Annual Distribution Requirement or fail to qualify as a RIC in any taxable year, unless certain cure provisions of the Code apply, we will be subject to tax in that taxable year on all of our taxable income at regular corporate tax rates, regardless of whether we make any dividend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Treated as a RIC” above for more information.</w:t>
      </w:r>
    </w:p>
    <w:p>
      <w:pPr>
        <w:spacing w:after="0" w:line="185" w:lineRule="exact"/>
        <w:rPr>
          <w:sz w:val="20"/>
          <w:szCs w:val="20"/>
          <w:color w:val="auto"/>
        </w:rPr>
      </w:pPr>
    </w:p>
    <w:p>
      <w:pPr>
        <w:ind w:firstLine="450"/>
        <w:spacing w:after="0" w:line="246" w:lineRule="auto"/>
        <w:rPr>
          <w:sz w:val="20"/>
          <w:szCs w:val="20"/>
          <w:color w:val="auto"/>
        </w:rPr>
      </w:pPr>
      <w:r>
        <w:rPr>
          <w:rFonts w:ascii="Times New Roman" w:cs="Times New Roman" w:eastAsia="Times New Roman" w:hAnsi="Times New Roman"/>
          <w:sz w:val="18"/>
          <w:szCs w:val="18"/>
          <w:color w:val="auto"/>
        </w:rPr>
        <w:t>If we are unable to maintain our status as a RIC, we also would not be able to deduct distributions to stockholders, nor would distributions be required to be made. Distributions would generally be taxable as dividends to our stockholders to the extent of our current and accumulated earnings and profits. Subject to certain limitations under the Code, U.S. non-corporate stockholders generally would be eligible to treat such dividends as “qualified dividend income,” which generally would be subject to reduced rates of U.S. federal income tax, and dividends paid by us to certain U.S.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 Moreover, if we fail to qualify as a RIC in any taxable year, to qualify again to be treated as a RIC for federal income tax purposes in a subsequent taxable year, we would be required to distribute our earnings and profits attributable to any of our non-RIC taxable years as dividends to our stockholders. In addition, if we fail to qualify as a RIC for a period greater than two consecutive taxable years, to qualify as a RIC in a subsequent taxable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taxable years.</w:t>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remainder of this discussion assumes that we qualify as a RIC and have satisfied the Annual Distribution Requirement.</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U.S. Stockholders</w:t>
      </w:r>
    </w:p>
    <w:p>
      <w:pPr>
        <w:spacing w:after="0" w:line="111" w:lineRule="exact"/>
        <w:rPr>
          <w:sz w:val="20"/>
          <w:szCs w:val="20"/>
          <w:color w:val="auto"/>
        </w:rPr>
      </w:pPr>
    </w:p>
    <w:p>
      <w:pPr>
        <w:ind w:right="60" w:firstLine="450"/>
        <w:spacing w:after="0" w:line="247" w:lineRule="auto"/>
        <w:rPr>
          <w:sz w:val="20"/>
          <w:szCs w:val="20"/>
          <w:color w:val="auto"/>
        </w:rPr>
      </w:pPr>
      <w:r>
        <w:rPr>
          <w:rFonts w:ascii="Times New Roman" w:cs="Times New Roman" w:eastAsia="Times New Roman" w:hAnsi="Times New Roman"/>
          <w:sz w:val="18"/>
          <w:szCs w:val="18"/>
          <w:color w:val="auto"/>
        </w:rPr>
        <w:t>Distributions by us, including distributions pursuant to a dividend reinvestment plan or where stockholders can elect to receive cash or stock, generally are taxable to U.S. stockholders as ordinary income or capital gains.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We have the ability to declare and pay a large portion of any distribution qualifying as a dividend for U.S. federal income tax purposes in shares of our stock. The IRS has published guidance for publicly offered RICs stating that as long as at least 20% of the dividends are paid in cash and if certain other requirements are met, stockholders will be subject to tax on 100% of such dividends in the same manner as a cash dividend, even though most of the dividends were paid in shares of common stock.</w:t>
      </w:r>
    </w:p>
    <w:p>
      <w:pPr>
        <w:spacing w:after="0" w:line="191" w:lineRule="exact"/>
        <w:rPr>
          <w:sz w:val="20"/>
          <w:szCs w:val="20"/>
          <w:color w:val="auto"/>
        </w:rPr>
      </w:pPr>
    </w:p>
    <w:p>
      <w:pPr>
        <w:ind w:right="20" w:firstLine="450"/>
        <w:spacing w:after="0" w:line="248" w:lineRule="auto"/>
        <w:rPr>
          <w:sz w:val="20"/>
          <w:szCs w:val="20"/>
          <w:color w:val="auto"/>
        </w:rPr>
      </w:pPr>
      <w:r>
        <w:rPr>
          <w:rFonts w:ascii="Times New Roman" w:cs="Times New Roman" w:eastAsia="Times New Roman" w:hAnsi="Times New Roman"/>
          <w:sz w:val="18"/>
          <w:szCs w:val="18"/>
          <w:color w:val="auto"/>
        </w:rPr>
        <w:t>To the extent distributions paid by us to non-corporate stockholders (including individuals) are attributable to dividends from U.S. corporations and certain qualified foreign corporations and are properly designated by us as “qualified dividend income,” such distributions generally will be eligible for a reduced U.S. federal income tax rate, if certain holding period requirements are satisfied. However, it is anticipated that distributions paid by us generally will not be attributable to dividends and, therefore, generally will not qualify for the preferential rates applicable to qualified dividends or the dividends received deduction available to corporations under the Code. A corporate U.S. stockholder may be required to reduce its basis in our common stock with respect to certain “extraordinary dividends,” as defined in Section 1059 of the Code. Corporate U.S. stockholders should consult their own tax advisors in determining the application of these rules in their particular circumstances.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40"/>
          </w:cols>
          <w:pgMar w:left="320" w:top="290" w:right="339" w:bottom="1440" w:gutter="0" w:footer="0" w:header="0"/>
        </w:sectPr>
      </w:pPr>
    </w:p>
    <w:bookmarkStart w:id="78" w:name="page79"/>
    <w:bookmarkEnd w:id="78"/>
    <w:p>
      <w:pPr>
        <w:ind w:right="20" w:firstLine="450"/>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2">
                      <a:extLst>
                        <a:ext uri="{28A0092B-C50C-407E-A947-70E740481C1C}"/>
                      </a:extLst>
                    </a:blip>
                    <a:srcRect/>
                    <a:stretch>
                      <a:fillRect/>
                    </a:stretch>
                  </pic:blipFill>
                  <pic:spPr bwMode="auto">
                    <a:xfrm>
                      <a:off x="0" y="0"/>
                      <a:ext cx="7178040" cy="54610"/>
                    </a:xfrm>
                    <a:prstGeom prst="rect">
                      <a:avLst/>
                    </a:prstGeom>
                    <a:noFill/>
                  </pic:spPr>
                </pic:pic>
              </a:graphicData>
            </a:graphic>
          </wp:anchor>
        </w:drawing>
        <w:t>Distributions of our net capital gains (which is generally our realized net long-term capital gains in excess of realized net short- term capital losses) properly designated by us as “capital gain dividends” will be taxable to a U.S. stockholder as long-term capital gains at a reduced rate in the case of individuals, trusts or estates, regardless of the U.S. stockholder’s holding period in such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Distributions out of our current and accumulated earnings and profits will not be eligible for the 20% pass through deduction under Section 199A of the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Code.</w:t>
      </w:r>
    </w:p>
    <w:p>
      <w:pPr>
        <w:spacing w:after="0" w:line="196" w:lineRule="exact"/>
        <w:rPr>
          <w:sz w:val="20"/>
          <w:szCs w:val="20"/>
          <w:color w:val="auto"/>
        </w:rPr>
      </w:pPr>
    </w:p>
    <w:p>
      <w:pPr>
        <w:ind w:right="260" w:firstLine="450"/>
        <w:spacing w:after="0" w:line="249" w:lineRule="auto"/>
        <w:rPr>
          <w:sz w:val="20"/>
          <w:szCs w:val="20"/>
          <w:color w:val="auto"/>
        </w:rPr>
      </w:pPr>
      <w:r>
        <w:rPr>
          <w:rFonts w:ascii="Times New Roman" w:cs="Times New Roman" w:eastAsia="Times New Roman" w:hAnsi="Times New Roman"/>
          <w:sz w:val="18"/>
          <w:szCs w:val="18"/>
          <w:color w:val="auto"/>
        </w:rPr>
        <w:t>Certain distributions reported by us as Section 163(j) interest dividends may be treated as interest income by U.S. stockholders for purposes of the tax rules applicable to interest expense limitations under Section 163(j) of the Code. Such treatment by U.S. stockholders is generally subject to holding period requirements and other potential limitations, although the holding period requirements are generally not applicable to dividends declared by money market funds and certain other funds that declare dividends daily and pay such dividends on a monthly or more frequent basis. The amount that we are eligible to report as a Section 163(j) dividend for a tax year is generally limited to the excess of our business interest income over the sum of our (i) business interest expense and (ii) other deductions properly allocable to our business interest income.</w:t>
      </w:r>
    </w:p>
    <w:p>
      <w:pPr>
        <w:spacing w:after="0" w:line="185" w:lineRule="exact"/>
        <w:rPr>
          <w:sz w:val="20"/>
          <w:szCs w:val="20"/>
          <w:color w:val="auto"/>
        </w:rPr>
      </w:pPr>
    </w:p>
    <w:p>
      <w:pPr>
        <w:ind w:firstLine="450"/>
        <w:spacing w:after="0" w:line="280" w:lineRule="auto"/>
        <w:rPr>
          <w:sz w:val="20"/>
          <w:szCs w:val="20"/>
          <w:color w:val="auto"/>
        </w:rPr>
      </w:pPr>
      <w:r>
        <w:rPr>
          <w:rFonts w:ascii="Times New Roman" w:cs="Times New Roman" w:eastAsia="Times New Roman" w:hAnsi="Times New Roman"/>
          <w:sz w:val="16"/>
          <w:szCs w:val="16"/>
          <w:color w:val="auto"/>
        </w:rPr>
        <w:t>Although we currently intend to distribute any long-term capital gains as capital gain dividends at least annually, we may in the future decide to retain some or all of our long-term capital gains, but designate the retained amount as a “deemed distribution.” In that case, among other consequences, we will be subject to tax on the retained amount, each U.S. stockholder will be required to include his, her or its share of the deemed distribution of net capital gains in income as if it had been actually distributed to the U.S. stockholder, and the U.S. stockholder will be entitled to claim a credit equal to his, her or its allocable share of the tax paid thereon by us. The amount of the deemed distribution of net capital gains net of such tax will be added to the U.S. stockholder’s tax basis for his, her or its common stock. Since we expect to be subject to tax on any retained capital gains at our regular corporate tax rates, and since that rate is in excess of the maximum rate currently payable by individuals on long-term capital gains, the amount of tax that individual stockholders will be treated as having paid and for which they will receive a credit generally will exceed the tax they owe on the retained net capital gain. Such excess generally may be claimed as a credit against the U.S. stockholder’s other U.S. federal income tax obligations or may be refunded to the extent it exceeds a stockholder’s liability for U.S. federal income tax. A stockholder that is not subject to U.S. federal income tax or otherwise required to file a U.S. federal income tax return would be required to file a U.S. federal income tax return on the appropriate form in order to claim a refund for the taxes we paid. In order to use the deemed distribution approach, we must provide written notice to our stockholders. We cannot treat any of our investment company taxable income as a “deemed distribution.”</w:t>
      </w:r>
    </w:p>
    <w:p>
      <w:pPr>
        <w:spacing w:after="0" w:line="376" w:lineRule="exact"/>
        <w:rPr>
          <w:sz w:val="20"/>
          <w:szCs w:val="20"/>
          <w:color w:val="auto"/>
        </w:rPr>
      </w:pPr>
    </w:p>
    <w:p>
      <w:pPr>
        <w:ind w:right="80" w:firstLine="450"/>
        <w:spacing w:after="0" w:line="249" w:lineRule="auto"/>
        <w:rPr>
          <w:sz w:val="20"/>
          <w:szCs w:val="20"/>
          <w:color w:val="auto"/>
        </w:rPr>
      </w:pPr>
      <w:r>
        <w:rPr>
          <w:rFonts w:ascii="Times New Roman" w:cs="Times New Roman" w:eastAsia="Times New Roman" w:hAnsi="Times New Roman"/>
          <w:sz w:val="18"/>
          <w:szCs w:val="18"/>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calendar year, will be treated as if it had been received by our U.S. stockholders on December 31 of the calendar year in which the distribution was declared.</w:t>
      </w:r>
    </w:p>
    <w:p>
      <w:pPr>
        <w:spacing w:after="0" w:line="185" w:lineRule="exact"/>
        <w:rPr>
          <w:sz w:val="20"/>
          <w:szCs w:val="20"/>
          <w:color w:val="auto"/>
        </w:rPr>
      </w:pPr>
    </w:p>
    <w:p>
      <w:pPr>
        <w:ind w:right="180" w:firstLine="450"/>
        <w:spacing w:after="0" w:line="268" w:lineRule="auto"/>
        <w:rPr>
          <w:sz w:val="20"/>
          <w:szCs w:val="20"/>
          <w:color w:val="auto"/>
        </w:rPr>
      </w:pPr>
      <w:r>
        <w:rPr>
          <w:rFonts w:ascii="Times New Roman" w:cs="Times New Roman" w:eastAsia="Times New Roman" w:hAnsi="Times New Roman"/>
          <w:sz w:val="18"/>
          <w:szCs w:val="18"/>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40"/>
          </w:cols>
          <w:pgMar w:left="320" w:top="292" w:right="339" w:bottom="1440" w:gutter="0" w:footer="0" w:header="0"/>
        </w:sectPr>
      </w:pPr>
    </w:p>
    <w:bookmarkStart w:id="79" w:name="page80"/>
    <w:bookmarkEnd w:id="79"/>
    <w:p>
      <w:pPr>
        <w:ind w:firstLine="45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3">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The IRS currently requires that a RIC that has two or more classes of stock allocate to each such class proportionate amounts of each type of its income (such as ordinary income and capital gains) based upon the percentage of total dividends paid to each class for the tax year. Accordingly, if we issue preferred stock, we intend each year to allocate capital gain dividends, if any, between our shares of common stock and shares of preferred stock in proportion to the total dividends paid to each class with respect to such tax year.</w:t>
      </w:r>
    </w:p>
    <w:p>
      <w:pPr>
        <w:spacing w:after="0" w:line="183" w:lineRule="exact"/>
        <w:rPr>
          <w:sz w:val="20"/>
          <w:szCs w:val="20"/>
          <w:color w:val="auto"/>
        </w:rPr>
      </w:pPr>
    </w:p>
    <w:p>
      <w:pPr>
        <w:ind w:right="100" w:firstLine="450"/>
        <w:spacing w:after="0" w:line="248" w:lineRule="auto"/>
        <w:rPr>
          <w:sz w:val="20"/>
          <w:szCs w:val="20"/>
          <w:color w:val="auto"/>
        </w:rPr>
      </w:pPr>
      <w:r>
        <w:rPr>
          <w:rFonts w:ascii="Times New Roman" w:cs="Times New Roman" w:eastAsia="Times New Roman" w:hAnsi="Times New Roman"/>
          <w:sz w:val="18"/>
          <w:szCs w:val="18"/>
          <w:color w:val="auto"/>
        </w:rPr>
        <w:t>A stockholder generally will recognize taxable gain or loss if the stockholder sells or otherwise disposes of his, her or its shares of our common stock. Any gain or loss arising from such sale or disposition generally will be treated as long-term capital gain or loss if the stockholder has held his, her or its shares for more than one year. Otherwise, such gain or loss will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87" w:lineRule="exact"/>
        <w:rPr>
          <w:sz w:val="20"/>
          <w:szCs w:val="20"/>
          <w:color w:val="auto"/>
        </w:rPr>
      </w:pPr>
    </w:p>
    <w:p>
      <w:pPr>
        <w:ind w:right="160" w:firstLine="450"/>
        <w:spacing w:after="0" w:line="282" w:lineRule="auto"/>
        <w:rPr>
          <w:sz w:val="20"/>
          <w:szCs w:val="20"/>
          <w:color w:val="auto"/>
        </w:rPr>
      </w:pPr>
      <w:r>
        <w:rPr>
          <w:rFonts w:ascii="Times New Roman" w:cs="Times New Roman" w:eastAsia="Times New Roman" w:hAnsi="Times New Roman"/>
          <w:sz w:val="16"/>
          <w:szCs w:val="16"/>
          <w:color w:val="auto"/>
        </w:rPr>
        <w:t>In general, individual U.S. stockholders currently are subject to a maximum federal income tax rate of 20% (depending on whether the stockholder’s income exceeds certain threshold amounts)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rate of 21%, and this rate also applies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taxable years or carry forward such losses for five taxable years.</w:t>
      </w:r>
    </w:p>
    <w:p>
      <w:pPr>
        <w:spacing w:after="0" w:line="165" w:lineRule="exact"/>
        <w:rPr>
          <w:sz w:val="20"/>
          <w:szCs w:val="20"/>
          <w:color w:val="auto"/>
        </w:rPr>
      </w:pPr>
    </w:p>
    <w:p>
      <w:pPr>
        <w:ind w:right="120" w:firstLine="450"/>
        <w:spacing w:after="0" w:line="252" w:lineRule="auto"/>
        <w:rPr>
          <w:sz w:val="20"/>
          <w:szCs w:val="20"/>
          <w:color w:val="auto"/>
        </w:rPr>
      </w:pPr>
      <w:r>
        <w:rPr>
          <w:rFonts w:ascii="Times New Roman" w:cs="Times New Roman" w:eastAsia="Times New Roman" w:hAnsi="Times New Roman"/>
          <w:sz w:val="18"/>
          <w:szCs w:val="18"/>
          <w:color w:val="auto"/>
        </w:rPr>
        <w:t>A 3.8% Medicare tax is imposed on certain net investment income (including ordinary dividends and capital gain distributions received from us and net gains from redemptions or other taxable dispositions of our shares) of U.S. individuals and on the undistributed net investment income of certain estates and trusts to the extent that such person’s “modified adjusted gross income” (in the case of an individual) or “adjusted gross income” (in the case of an estate or trust) exceeds certain threshold amounts.</w:t>
      </w:r>
    </w:p>
    <w:p>
      <w:pPr>
        <w:spacing w:after="0" w:line="183" w:lineRule="exact"/>
        <w:rPr>
          <w:sz w:val="20"/>
          <w:szCs w:val="20"/>
          <w:color w:val="auto"/>
        </w:rPr>
      </w:pPr>
    </w:p>
    <w:p>
      <w:pPr>
        <w:ind w:firstLine="450"/>
        <w:spacing w:after="0" w:line="248" w:lineRule="auto"/>
        <w:rPr>
          <w:sz w:val="20"/>
          <w:szCs w:val="20"/>
          <w:color w:val="auto"/>
        </w:rPr>
      </w:pPr>
      <w:r>
        <w:rPr>
          <w:rFonts w:ascii="Times New Roman" w:cs="Times New Roman" w:eastAsia="Times New Roman" w:hAnsi="Times New Roman"/>
          <w:sz w:val="18"/>
          <w:szCs w:val="18"/>
          <w:color w:val="auto"/>
        </w:rPr>
        <w:t>Under U.S. Treasury regulations, if a U.S. stockholder recognizes a loss with respect to either our preferred stock or common stock of $2 million or more for a non-corporate U.S. stockholder or $10 million or more for a corporate U.S. stockholder in any single taxable year, such stockholder must file with the IRS a disclosure statement on an IRS Form 8886. Direct U.S. stockholders of certain “portfolio securities” in many cases are excepted from this reporting requirement, but under current guidance, equity owners of a RIC are not excepted. The fact that a loss is reportable under these U.S. Treasury regulations does not affect the legal determination of whether the taxpayer’s treatment of the loss is proper. Significant monetary penalties apply to a failure to comply with this reporting requirement. States may also have a similar reporting requirement. U.S. stockholders should consult their own tax advisors to determine the applicability of these regulations in light of their individual circumstances.</w:t>
      </w:r>
    </w:p>
    <w:p>
      <w:pPr>
        <w:spacing w:after="0" w:line="187" w:lineRule="exact"/>
        <w:rPr>
          <w:sz w:val="20"/>
          <w:szCs w:val="20"/>
          <w:color w:val="auto"/>
        </w:rPr>
      </w:pPr>
    </w:p>
    <w:p>
      <w:pPr>
        <w:ind w:right="40" w:firstLine="450"/>
        <w:spacing w:after="0" w:line="252" w:lineRule="auto"/>
        <w:rPr>
          <w:sz w:val="20"/>
          <w:szCs w:val="20"/>
          <w:color w:val="auto"/>
        </w:rPr>
      </w:pPr>
      <w:r>
        <w:rPr>
          <w:rFonts w:ascii="Times New Roman" w:cs="Times New Roman" w:eastAsia="Times New Roman" w:hAnsi="Times New Roman"/>
          <w:sz w:val="18"/>
          <w:szCs w:val="18"/>
          <w:color w:val="auto"/>
        </w:rPr>
        <w:t>We (or if a U.S. stockholder holds our shares through an intermediary, such intermediary) will provide information to our U.S. stockholders, as promptly as possible after the end of each calendar year, detailing, on a per share and per distribution basis, the amounts includible in such U.S. stockholder’s taxable income for such year as ordinary income and as long-term capital gain. In addition, the federal tax status of each year’s distributions generally will be reported to the IRS (including the amount of distributions, if any, eligible for the</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20"/>
          </w:cols>
          <w:pgMar w:left="320" w:top="292"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4">
                      <a:extLst>
                        <a:ext uri="{28A0092B-C50C-407E-A947-70E740481C1C}"/>
                      </a:extLst>
                    </a:blip>
                    <a:srcRect/>
                    <a:stretch>
                      <a:fillRect/>
                    </a:stretch>
                  </pic:blipFill>
                  <pic:spPr bwMode="auto">
                    <a:xfrm>
                      <a:off x="0" y="0"/>
                      <a:ext cx="7178040" cy="54610"/>
                    </a:xfrm>
                    <a:prstGeom prst="rect">
                      <a:avLst/>
                    </a:prstGeom>
                    <a:noFill/>
                  </pic:spPr>
                </pic:pic>
              </a:graphicData>
            </a:graphic>
          </wp:anchor>
        </w:drawing>
        <w:t>preferential rate). Distributions may also be subject to additional state, local and foreign taxes depending on a U.S. stockholder’s particular situation.</w:t>
      </w:r>
    </w:p>
    <w:p>
      <w:pPr>
        <w:spacing w:after="0" w:line="214" w:lineRule="exact"/>
        <w:rPr>
          <w:sz w:val="20"/>
          <w:szCs w:val="20"/>
          <w:color w:val="auto"/>
        </w:rPr>
      </w:pPr>
    </w:p>
    <w:p>
      <w:pPr>
        <w:jc w:val="both"/>
        <w:ind w:right="160" w:firstLine="450"/>
        <w:spacing w:after="0" w:line="256" w:lineRule="auto"/>
        <w:rPr>
          <w:sz w:val="20"/>
          <w:szCs w:val="20"/>
          <w:color w:val="auto"/>
        </w:rPr>
      </w:pPr>
      <w:r>
        <w:rPr>
          <w:rFonts w:ascii="Times New Roman" w:cs="Times New Roman" w:eastAsia="Times New Roman" w:hAnsi="Times New Roman"/>
          <w:sz w:val="18"/>
          <w:szCs w:val="18"/>
          <w:color w:val="auto"/>
        </w:rPr>
        <w:t>The Code requires reporting of adjusted cost basis information for covered securities, which generally include shares of a RIC acquired after January 1, 2012, to the IRS and to taxpayers. Stockholders should contact their financial intermediaries with respect to reporting of cost basis and available elections for their accounts.</w:t>
      </w:r>
    </w:p>
    <w:p>
      <w:pPr>
        <w:spacing w:after="0" w:line="180" w:lineRule="exact"/>
        <w:rPr>
          <w:sz w:val="20"/>
          <w:szCs w:val="20"/>
          <w:color w:val="auto"/>
        </w:rPr>
      </w:pPr>
    </w:p>
    <w:p>
      <w:pPr>
        <w:ind w:right="460" w:firstLine="450"/>
        <w:spacing w:after="0" w:line="282" w:lineRule="auto"/>
        <w:rPr>
          <w:sz w:val="20"/>
          <w:szCs w:val="20"/>
          <w:color w:val="auto"/>
        </w:rPr>
      </w:pPr>
      <w:r>
        <w:rPr>
          <w:rFonts w:ascii="Times New Roman" w:cs="Times New Roman" w:eastAsia="Times New Roman" w:hAnsi="Times New Roman"/>
          <w:sz w:val="16"/>
          <w:szCs w:val="16"/>
          <w:color w:val="auto"/>
        </w:rPr>
        <w:t>A U.S. stockholder (other than an “exempt recipient,” including a “C” corporation and certain other persons who, when required, demonstrate their exempt status) may be subject to federal income tax withholding (“backup withholding”) at the applicable rate from all taxable distributions to any U.S. stockholder (1) who fails to furnish a correct taxpayer identification number or a certificate that such stockholder is exempt from backup withholding, or</w:t>
      </w:r>
    </w:p>
    <w:p>
      <w:pPr>
        <w:spacing w:after="0" w:line="1" w:lineRule="exact"/>
        <w:rPr>
          <w:sz w:val="20"/>
          <w:szCs w:val="20"/>
          <w:color w:val="auto"/>
        </w:rPr>
      </w:pPr>
    </w:p>
    <w:p>
      <w:pPr>
        <w:ind w:right="60" w:firstLine="5"/>
        <w:spacing w:after="0" w:line="245" w:lineRule="auto"/>
        <w:tabs>
          <w:tab w:leader="none" w:pos="24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Backup withholding is not an additional tax. Any amount withheld under backup withholding is allowed as a credit against the U.S. stockholder’s federal income tax liability and may entitle such stockholder to a refund, provided that proper information is timely provided to the IRS.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Tax-Exempt U.S. Stockholders</w:t>
      </w:r>
    </w:p>
    <w:p>
      <w:pPr>
        <w:spacing w:after="0" w:line="111" w:lineRule="exact"/>
        <w:rPr>
          <w:sz w:val="20"/>
          <w:szCs w:val="20"/>
          <w:color w:val="auto"/>
        </w:rPr>
      </w:pPr>
    </w:p>
    <w:p>
      <w:pPr>
        <w:ind w:firstLine="450"/>
        <w:spacing w:after="0" w:line="246" w:lineRule="auto"/>
        <w:rPr>
          <w:sz w:val="20"/>
          <w:szCs w:val="20"/>
          <w:color w:val="auto"/>
        </w:rPr>
      </w:pPr>
      <w:r>
        <w:rPr>
          <w:rFonts w:ascii="Times New Roman" w:cs="Times New Roman" w:eastAsia="Times New Roman" w:hAnsi="Times New Roman"/>
          <w:sz w:val="18"/>
          <w:szCs w:val="18"/>
          <w:color w:val="auto"/>
        </w:rPr>
        <w:t>A U.S. stockholder that is a tax-exempt organization for U.S. federal income tax purposes and therefore generally exempt from U.S. federal income taxation may nevertheless be subject to taxation to the extent that it is considered to derive unrelated business taxable income (“UBTI”). The direct conduct by a tax-exempt U.S. stockholder of the activities that we propose to conduct could give rise to UBTI. However, a RIC is a corporation for U.S. federal income tax purposes and its business activities generally will not be attributed to its shareholders for purposes of determining their treatment under current law. Therefore, a tax-exempt U.S. stockholder should not be subject to U.S. federal income taxation solely as a result of such stockholder’s direct or indirect ownership of our shares and receipt of distributions with respect to such shares (regardless of whether we incur indebtedness). Moreover, under current law, if we incur indebtedness, such indebtedness will not be attributed to a tax-exempt U.S. stockholder. Therefore, a tax-exempt U.S. stockholder should not be treated as earning income from “debt-financed property” and distributions we pay should not be treated as “unrelated debt-financed income” solely as a result of indebtedness that it incurs. Certain tax-exempt private universities are subject to an additional 1.4% excise tax on their “net investment income,” including income from interest, dividends, and capital gains. Proposals periodically are made to change the treatment of “blocker” investment vehicles interposed between tax-exempt investors and non-qualifying investments. In the event that any such proposals were to be adopted and applied to RICs, the treatment of dividends payable to tax-exempt investors could be adversely affected. In addition, special rules would apply if we were to invest in certain real estate mortgage investment conduits or taxable mortgage pools, which we do not currently plan to do, that could result in a tax-exempt U.S. stockholder recognizing income that would be treated as UBTI.</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Non-U.S. Stockholders</w:t>
      </w:r>
    </w:p>
    <w:p>
      <w:pPr>
        <w:spacing w:after="0" w:line="111" w:lineRule="exact"/>
        <w:rPr>
          <w:sz w:val="20"/>
          <w:szCs w:val="20"/>
          <w:color w:val="auto"/>
        </w:rPr>
      </w:pPr>
    </w:p>
    <w:p>
      <w:pPr>
        <w:ind w:right="40" w:firstLine="450"/>
        <w:spacing w:after="0" w:line="256" w:lineRule="auto"/>
        <w:rPr>
          <w:sz w:val="20"/>
          <w:szCs w:val="20"/>
          <w:color w:val="auto"/>
        </w:rPr>
      </w:pPr>
      <w:r>
        <w:rPr>
          <w:rFonts w:ascii="Times New Roman" w:cs="Times New Roman" w:eastAsia="Times New Roman" w:hAnsi="Times New Roman"/>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80" w:lineRule="exact"/>
        <w:rPr>
          <w:sz w:val="20"/>
          <w:szCs w:val="20"/>
          <w:color w:val="auto"/>
        </w:rPr>
      </w:pPr>
    </w:p>
    <w:p>
      <w:pPr>
        <w:ind w:right="60" w:firstLine="450"/>
        <w:spacing w:after="0" w:line="250" w:lineRule="auto"/>
        <w:rPr>
          <w:sz w:val="20"/>
          <w:szCs w:val="20"/>
          <w:color w:val="auto"/>
        </w:rPr>
      </w:pPr>
      <w:r>
        <w:rPr>
          <w:rFonts w:ascii="Times New Roman" w:cs="Times New Roman" w:eastAsia="Times New Roman" w:hAnsi="Times New Roman"/>
          <w:sz w:val="18"/>
          <w:szCs w:val="18"/>
          <w:color w:val="auto"/>
        </w:rPr>
        <w:t>Subject to the discussions below, distributions of our “investment company taxable income” to Non-U.S. stockholders (including interest income and net short-term capital gain) are generally expected to be subject to withholding of U.S. federal taxes at a 30% rate (or lower rate provided by an applicable treaty) to the extent of our current and accumulated earnings and profits. If the distributions are effectively connected with a U.S. trade or business of the Non-U.S. stockholder, we will not be required to withhold U.S. federal tax if the Non-U.S. stockholder complies with applicable certification and disclosure requirements, although the distributions will be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40"/>
          </w:cols>
          <w:pgMar w:left="320" w:top="292" w:right="339" w:bottom="1440" w:gutter="0" w:footer="0" w:header="0"/>
        </w:sectPr>
      </w:pPr>
    </w:p>
    <w:bookmarkStart w:id="81" w:name="page82"/>
    <w:bookmarkEnd w:id="81"/>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5">
                      <a:extLst>
                        <a:ext uri="{28A0092B-C50C-407E-A947-70E740481C1C}"/>
                      </a:extLst>
                    </a:blip>
                    <a:srcRect/>
                    <a:stretch>
                      <a:fillRect/>
                    </a:stretch>
                  </pic:blipFill>
                  <pic:spPr bwMode="auto">
                    <a:xfrm>
                      <a:off x="0" y="0"/>
                      <a:ext cx="7178040" cy="54610"/>
                    </a:xfrm>
                    <a:prstGeom prst="rect">
                      <a:avLst/>
                    </a:prstGeom>
                    <a:noFill/>
                  </pic:spPr>
                </pic:pic>
              </a:graphicData>
            </a:graphic>
          </wp:anchor>
        </w:drawing>
        <w:t>subject to U.S. federal income tax at the rates applicable to U.S. persons. Special certification requirements apply to a Non-U.S. stockholder that is a foreign partnership or a foreign trust, and such entities are urged to consult their own tax advisors. Backup withholding will not be applied to payments that have been subject to the 30% (or lower applicable treaty rate) withholding tax described in this paragraph.</w:t>
      </w:r>
    </w:p>
    <w:p>
      <w:pPr>
        <w:spacing w:after="0" w:line="180" w:lineRule="exact"/>
        <w:rPr>
          <w:sz w:val="20"/>
          <w:szCs w:val="20"/>
          <w:color w:val="auto"/>
        </w:rPr>
      </w:pPr>
    </w:p>
    <w:p>
      <w:pPr>
        <w:ind w:right="60" w:firstLine="450"/>
        <w:spacing w:after="0" w:line="286" w:lineRule="auto"/>
        <w:rPr>
          <w:sz w:val="20"/>
          <w:szCs w:val="20"/>
          <w:color w:val="auto"/>
        </w:rPr>
      </w:pPr>
      <w:r>
        <w:rPr>
          <w:rFonts w:ascii="Times New Roman" w:cs="Times New Roman" w:eastAsia="Times New Roman" w:hAnsi="Times New Roman"/>
          <w:sz w:val="16"/>
          <w:szCs w:val="16"/>
          <w:color w:val="auto"/>
        </w:rPr>
        <w:t>In addition, with respect to certain distributions made by RICs to Non-U.S. stockholders, no withholding is required and the distributions generally are not subject to U.S. federal income tax if (i) the distributions are properly designated in a notice timely delivered to our stockholders as “interest-related dividends” or “short-term capital gain dividends,” (ii) the distributions are derived from sources specified in the Code for such dividends and (iii) certain other requirements are satisfied. Nevertheless, it should be noted that in the case of shares of our stock held through an intermediary, the intermediary may have withheld U.S. federal income tax even if we designated the payment as an interest-related dividend or as a short-term capital gain dividend. Moreover, depending on the circumstances, we may designate all, some or none of our potentially eligible dividends as ineligible for this exemption from withholding.</w:t>
      </w:r>
    </w:p>
    <w:p>
      <w:pPr>
        <w:spacing w:after="0" w:line="158" w:lineRule="exact"/>
        <w:rPr>
          <w:sz w:val="20"/>
          <w:szCs w:val="20"/>
          <w:color w:val="auto"/>
        </w:rPr>
      </w:pPr>
    </w:p>
    <w:p>
      <w:pPr>
        <w:jc w:val="both"/>
        <w:ind w:firstLine="450"/>
        <w:spacing w:after="0" w:line="249" w:lineRule="auto"/>
        <w:rPr>
          <w:sz w:val="20"/>
          <w:szCs w:val="20"/>
          <w:color w:val="auto"/>
        </w:rPr>
      </w:pPr>
      <w:r>
        <w:rPr>
          <w:rFonts w:ascii="Times New Roman" w:cs="Times New Roman" w:eastAsia="Times New Roman" w:hAnsi="Times New Roman"/>
          <w:sz w:val="18"/>
          <w:szCs w:val="18"/>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in the case of an individual stockholder, the stockholder is present in the United States for a period or periods aggregating 183 days or more during the year of the sale or the receipt of the distributions or gains and certain other conditions are met.</w:t>
      </w:r>
    </w:p>
    <w:p>
      <w:pPr>
        <w:spacing w:after="0" w:line="185" w:lineRule="exact"/>
        <w:rPr>
          <w:sz w:val="20"/>
          <w:szCs w:val="20"/>
          <w:color w:val="auto"/>
        </w:rPr>
      </w:pPr>
    </w:p>
    <w:p>
      <w:pPr>
        <w:ind w:right="20" w:firstLine="450"/>
        <w:spacing w:after="0" w:line="249" w:lineRule="auto"/>
        <w:rPr>
          <w:sz w:val="20"/>
          <w:szCs w:val="20"/>
          <w:color w:val="auto"/>
        </w:rPr>
      </w:pPr>
      <w:r>
        <w:rPr>
          <w:rFonts w:ascii="Times New Roman" w:cs="Times New Roman" w:eastAsia="Times New Roman" w:hAnsi="Times New Roman"/>
          <w:sz w:val="18"/>
          <w:szCs w:val="18"/>
          <w:color w:val="auto"/>
        </w:rPr>
        <w:t>We are required to withhold U.S. tax (at a 30% rate) on payments of taxable dividends made to certain non-U.S. entities that fail to comply (or be deemed compliant) with extensive reporting and withholding requirements designed to inform the U.S. Department of the Treasury of U.S.-owned foreign investment accounts. Stockholders may be requested to provide additional information to the withholding agents to enable the withholding agents to determine whether withholding is required. A non-U.S. stockholder may be exempt from the withholding described in this paragraph under an applicable intergovernmental agreement between the U.S. and a foreign government, provided that the non-U.S. stockholder and the applicable foreign government comply with the terms of such agreement.</w:t>
      </w:r>
    </w:p>
    <w:p>
      <w:pPr>
        <w:spacing w:after="0" w:line="185" w:lineRule="exact"/>
        <w:rPr>
          <w:sz w:val="20"/>
          <w:szCs w:val="20"/>
          <w:color w:val="auto"/>
        </w:rPr>
      </w:pPr>
    </w:p>
    <w:p>
      <w:pPr>
        <w:ind w:firstLine="450"/>
        <w:spacing w:after="0" w:line="247" w:lineRule="auto"/>
        <w:rPr>
          <w:sz w:val="20"/>
          <w:szCs w:val="20"/>
          <w:color w:val="auto"/>
        </w:rPr>
      </w:pPr>
      <w:r>
        <w:rPr>
          <w:rFonts w:ascii="Times New Roman" w:cs="Times New Roman" w:eastAsia="Times New Roman" w:hAnsi="Times New Roman"/>
          <w:sz w:val="18"/>
          <w:szCs w:val="18"/>
          <w:color w:val="auto"/>
        </w:rPr>
        <w:t>If we distribute our net capital gains in the form of deemed rather than actual distributions (which we may do in the future), a Non-U.S. stockholder will be entitled to claim a U.S. federal income tax credit or tax refund equal to the stockholder’s allocable share of the tax we pay on the capital gains deemed to have been distributed. In order to obtain the refund, the Non-U.S. stockholder would be required to obtain a U.S. taxpayer identification number and file a U.S. federal income tax return even if the Non-U.S. stockholder would not otherwise be required to obtain a U.S. taxpayer identification number or file a U.S.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of our common stock may not be appropriate for a Non-U.S. stockholder.</w:t>
      </w:r>
    </w:p>
    <w:p>
      <w:pPr>
        <w:spacing w:after="0" w:line="191" w:lineRule="exact"/>
        <w:rPr>
          <w:sz w:val="20"/>
          <w:szCs w:val="20"/>
          <w:color w:val="auto"/>
        </w:rPr>
      </w:pPr>
    </w:p>
    <w:p>
      <w:pPr>
        <w:ind w:right="60" w:firstLine="450"/>
        <w:spacing w:after="0" w:line="249" w:lineRule="auto"/>
        <w:rPr>
          <w:sz w:val="20"/>
          <w:szCs w:val="20"/>
          <w:color w:val="auto"/>
        </w:rPr>
      </w:pPr>
      <w:r>
        <w:rPr>
          <w:rFonts w:ascii="Times New Roman" w:cs="Times New Roman" w:eastAsia="Times New Roman" w:hAnsi="Times New Roman"/>
          <w:sz w:val="18"/>
          <w:szCs w:val="18"/>
          <w:color w:val="auto"/>
        </w:rPr>
        <w:t>We have the ability to declare and pay a large portion of any distribution qualifying as a dividend for U.S. federal income tax purposes in shares of our stock. Generally, were we to declare such a distribution, each Non-U.S. stockholder generally would be treated as having received a taxable distribution (including for purposes of the application of the withholding tax rules discussed above) on the date the distribution is received in an amount equal to the cash that such Non-U.S. stockholder would have received if the entire distribution had been paid in cash, even if such Non-U.S. stockholder received all or most of the distribution in shares of our stock. In such a circumstance, all or substantially all of the cash that would otherwise be distributed to a Non-U.S. stockholder may be withheld or shares of our stock may be withheld and sold to fund the applicable withholding.</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80"/>
          </w:cols>
          <w:pgMar w:left="320" w:top="292" w:right="399" w:bottom="1440" w:gutter="0" w:footer="0" w:header="0"/>
        </w:sectPr>
      </w:pPr>
    </w:p>
    <w:bookmarkStart w:id="82" w:name="page83"/>
    <w:bookmarkEnd w:id="82"/>
    <w:p>
      <w:pPr>
        <w:ind w:firstLine="45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6">
                      <a:extLst>
                        <a:ext uri="{28A0092B-C50C-407E-A947-70E740481C1C}"/>
                      </a:extLst>
                    </a:blip>
                    <a:srcRect/>
                    <a:stretch>
                      <a:fillRect/>
                    </a:stretch>
                  </pic:blipFill>
                  <pic:spPr bwMode="auto">
                    <a:xfrm>
                      <a:off x="0" y="0"/>
                      <a:ext cx="7178040" cy="54610"/>
                    </a:xfrm>
                    <a:prstGeom prst="rect">
                      <a:avLst/>
                    </a:prstGeom>
                    <a:noFill/>
                  </pic:spPr>
                </pic:pic>
              </a:graphicData>
            </a:graphic>
          </wp:anchor>
        </w:drawing>
        <w:t>A Non-U.S. stockholder who is a non-resident alien individual, and who is otherwise subject to withholding of federal income tax, may be subject to information reporting and backup tax withholding of federal income tax on distributions unless the Non-U.S. stockholder provides us or the distribution paying agent with an IRS Form W-8BEN, IRS Form W-8BEN-E, or other applicable IRS Form W-8, or otherwise meets documentary evidence requirements for establishing that it is a Non-U.S. stockholder or otherwise establishes an exemption from backup withholding.</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Non-U.S. stockholders may also be subject to U.S. estate tax with respect to their investment in our common shares.</w:t>
      </w:r>
    </w:p>
    <w:p>
      <w:pPr>
        <w:spacing w:after="0" w:line="214" w:lineRule="exact"/>
        <w:rPr>
          <w:sz w:val="20"/>
          <w:szCs w:val="20"/>
          <w:color w:val="auto"/>
        </w:rPr>
      </w:pPr>
    </w:p>
    <w:p>
      <w:pPr>
        <w:ind w:right="80" w:firstLine="450"/>
        <w:spacing w:after="0" w:line="268" w:lineRule="auto"/>
        <w:rPr>
          <w:sz w:val="20"/>
          <w:szCs w:val="20"/>
          <w:color w:val="auto"/>
        </w:rPr>
      </w:pPr>
      <w:r>
        <w:rPr>
          <w:rFonts w:ascii="Times New Roman" w:cs="Times New Roman" w:eastAsia="Times New Roman" w:hAnsi="Times New Roman"/>
          <w:sz w:val="18"/>
          <w:szCs w:val="18"/>
          <w:color w:val="auto"/>
        </w:rPr>
        <w:t>Non-U.S. persons should consult their own tax advisors with respect to the U.S. federal income tax and withholding tax, and state, local and foreign tax consequences of an investment in the shares.</w:t>
      </w:r>
    </w:p>
    <w:p>
      <w:pPr>
        <w:spacing w:after="0" w:line="1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80"/>
          </w:cols>
          <w:pgMar w:left="320" w:top="292" w:right="39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7">
                      <a:extLst>
                        <a:ext uri="{28A0092B-C50C-407E-A947-70E740481C1C}"/>
                      </a:extLst>
                    </a:blip>
                    <a:srcRect/>
                    <a:stretch>
                      <a:fillRect/>
                    </a:stretch>
                  </pic:blipFill>
                  <pic:spPr bwMode="auto">
                    <a:xfrm>
                      <a:off x="0" y="0"/>
                      <a:ext cx="7178040" cy="54610"/>
                    </a:xfrm>
                    <a:prstGeom prst="rect">
                      <a:avLst/>
                    </a:prstGeom>
                    <a:noFill/>
                  </pic:spPr>
                </pic:pic>
              </a:graphicData>
            </a:graphic>
          </wp:anchor>
        </w:drawing>
        <w:t>PLAN OF DISTRIBUTION</w:t>
      </w:r>
    </w:p>
    <w:p>
      <w:pPr>
        <w:spacing w:after="0" w:line="216" w:lineRule="exact"/>
        <w:rPr>
          <w:sz w:val="20"/>
          <w:szCs w:val="20"/>
          <w:color w:val="auto"/>
        </w:rPr>
      </w:pPr>
    </w:p>
    <w:p>
      <w:pPr>
        <w:ind w:right="140" w:firstLine="450"/>
        <w:spacing w:after="0" w:line="303" w:lineRule="auto"/>
        <w:rPr>
          <w:sz w:val="20"/>
          <w:szCs w:val="20"/>
          <w:color w:val="auto"/>
        </w:rPr>
      </w:pPr>
      <w:r>
        <w:rPr>
          <w:rFonts w:ascii="Times New Roman" w:cs="Times New Roman" w:eastAsia="Times New Roman" w:hAnsi="Times New Roman"/>
          <w:sz w:val="16"/>
          <w:szCs w:val="16"/>
          <w:color w:val="auto"/>
        </w:rPr>
        <w:t>We may sell the securities in any of three ways (or in any combination): (a) through underwriters or dealers; (b) directly to a limited number of purchasers or to a single purchaser; or (c) through agents. The securities may also be sold “at-the-market” to or through a market maker or into an existing trading market for the securities, on an exchange or otherwise. The prospectus supplement will set forth the terms of the offering of such securities, including:</w:t>
      </w:r>
    </w:p>
    <w:p>
      <w:pPr>
        <w:spacing w:after="0" w:line="53" w:lineRule="exact"/>
        <w:rPr>
          <w:sz w:val="20"/>
          <w:szCs w:val="20"/>
          <w:color w:val="auto"/>
        </w:rPr>
      </w:pPr>
    </w:p>
    <w:p>
      <w:pPr>
        <w:ind w:left="1000" w:hanging="442"/>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 and the amounts of securities underwritten or purchased by each of them;</w:t>
      </w:r>
    </w:p>
    <w:p>
      <w:pPr>
        <w:spacing w:after="0" w:line="121" w:lineRule="exact"/>
        <w:rPr>
          <w:rFonts w:ascii="Times New Roman" w:cs="Times New Roman" w:eastAsia="Times New Roman" w:hAnsi="Times New Roman"/>
          <w:sz w:val="18"/>
          <w:szCs w:val="18"/>
          <w:color w:val="auto"/>
        </w:rPr>
      </w:pPr>
    </w:p>
    <w:p>
      <w:pPr>
        <w:ind w:left="1000" w:right="80" w:hanging="442"/>
        <w:spacing w:after="0" w:line="268"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of the securities and the proceeds to us and any discounts, commissions or concessions allowed or reallowed or paid to dealers; and</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exchanges on which the securities may be listed.</w:t>
      </w: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offering price and any discounts or concessions allowed or reallowed or paid to dealers may be changed from time to time.</w:t>
      </w:r>
    </w:p>
    <w:p>
      <w:pPr>
        <w:spacing w:after="0" w:line="214"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We may offer our shares of common stock in a public offering at-the-market to a select group of investors, in which case a stockholder may not be able to participate in such offering and a stockholder will experience dilution unless the stockholder purchases additional shares of our common stock in the secondary market at the same or lower price.</w:t>
      </w:r>
    </w:p>
    <w:p>
      <w:pPr>
        <w:spacing w:after="0" w:line="180" w:lineRule="exact"/>
        <w:rPr>
          <w:sz w:val="20"/>
          <w:szCs w:val="20"/>
          <w:color w:val="auto"/>
        </w:rPr>
      </w:pPr>
    </w:p>
    <w:p>
      <w:pPr>
        <w:jc w:val="both"/>
        <w:ind w:right="240" w:firstLine="450"/>
        <w:spacing w:after="0" w:line="282" w:lineRule="auto"/>
        <w:rPr>
          <w:sz w:val="20"/>
          <w:szCs w:val="20"/>
          <w:color w:val="auto"/>
        </w:rPr>
      </w:pPr>
      <w:r>
        <w:rPr>
          <w:rFonts w:ascii="Times New Roman" w:cs="Times New Roman" w:eastAsia="Times New Roman" w:hAnsi="Times New Roman"/>
          <w:sz w:val="16"/>
          <w:szCs w:val="16"/>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w:t>
      </w:r>
    </w:p>
    <w:p>
      <w:pPr>
        <w:spacing w:after="0" w:line="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Generally, the underwriters’ obligations to purchase the securities will be subject to certain conditions precedent. The underwriters will be obligated to purchase all of the securities if they purchase any of the securities.</w:t>
      </w:r>
    </w:p>
    <w:p>
      <w:pPr>
        <w:spacing w:after="0" w:line="186" w:lineRule="exact"/>
        <w:rPr>
          <w:sz w:val="20"/>
          <w:szCs w:val="20"/>
          <w:color w:val="auto"/>
        </w:rPr>
      </w:pPr>
    </w:p>
    <w:p>
      <w:pPr>
        <w:jc w:val="both"/>
        <w:ind w:right="340" w:firstLine="450"/>
        <w:spacing w:after="0" w:line="256" w:lineRule="auto"/>
        <w:rPr>
          <w:sz w:val="20"/>
          <w:szCs w:val="20"/>
          <w:color w:val="auto"/>
        </w:rPr>
      </w:pPr>
      <w:r>
        <w:rPr>
          <w:rFonts w:ascii="Times New Roman" w:cs="Times New Roman" w:eastAsia="Times New Roman" w:hAnsi="Times New Roman"/>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10% of the aggregate offering price of the securities as set forth on the cover page of the supplement to this prospectus.</w:t>
      </w:r>
    </w:p>
    <w:p>
      <w:pPr>
        <w:spacing w:after="0" w:line="180" w:lineRule="exact"/>
        <w:rPr>
          <w:sz w:val="20"/>
          <w:szCs w:val="20"/>
          <w:color w:val="auto"/>
        </w:rPr>
      </w:pPr>
    </w:p>
    <w:p>
      <w:pPr>
        <w:ind w:right="700" w:firstLine="450"/>
        <w:spacing w:after="0" w:line="268" w:lineRule="auto"/>
        <w:rPr>
          <w:sz w:val="20"/>
          <w:szCs w:val="20"/>
          <w:color w:val="auto"/>
        </w:rPr>
      </w:pPr>
      <w:r>
        <w:rPr>
          <w:rFonts w:ascii="Times New Roman" w:cs="Times New Roman" w:eastAsia="Times New Roman" w:hAnsi="Times New Roman"/>
          <w:sz w:val="18"/>
          <w:szCs w:val="18"/>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169" w:lineRule="exact"/>
        <w:rPr>
          <w:sz w:val="20"/>
          <w:szCs w:val="20"/>
          <w:color w:val="auto"/>
        </w:rPr>
      </w:pPr>
    </w:p>
    <w:p>
      <w:pPr>
        <w:ind w:right="140" w:firstLine="450"/>
        <w:spacing w:after="0" w:line="252" w:lineRule="auto"/>
        <w:rPr>
          <w:sz w:val="20"/>
          <w:szCs w:val="20"/>
          <w:color w:val="auto"/>
        </w:rPr>
      </w:pPr>
      <w:r>
        <w:rPr>
          <w:rFonts w:ascii="Times New Roman" w:cs="Times New Roman" w:eastAsia="Times New Roman" w:hAnsi="Times New Roman"/>
          <w:sz w:val="18"/>
          <w:szCs w:val="18"/>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w:t>
      </w:r>
    </w:p>
    <w:p>
      <w:pPr>
        <w:spacing w:after="0" w:line="183" w:lineRule="exact"/>
        <w:rPr>
          <w:sz w:val="20"/>
          <w:szCs w:val="20"/>
          <w:color w:val="auto"/>
        </w:rPr>
      </w:pPr>
    </w:p>
    <w:p>
      <w:pPr>
        <w:ind w:right="80" w:firstLine="450"/>
        <w:spacing w:after="0" w:line="289" w:lineRule="auto"/>
        <w:rPr>
          <w:sz w:val="20"/>
          <w:szCs w:val="20"/>
          <w:color w:val="auto"/>
        </w:rPr>
      </w:pPr>
      <w:r>
        <w:rPr>
          <w:rFonts w:ascii="Times New Roman" w:cs="Times New Roman" w:eastAsia="Times New Roman" w:hAnsi="Times New Roman"/>
          <w:sz w:val="16"/>
          <w:szCs w:val="16"/>
          <w:color w:val="auto"/>
        </w:rPr>
        <w:t>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 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40"/>
          </w:cols>
          <w:pgMar w:left="320" w:top="290" w:right="339" w:bottom="1440" w:gutter="0" w:footer="0" w:header="0"/>
        </w:sectPr>
      </w:pPr>
    </w:p>
    <w:bookmarkStart w:id="84" w:name="page85"/>
    <w:bookmarkEnd w:id="84"/>
    <w:p>
      <w:pPr>
        <w:ind w:firstLine="450"/>
        <w:spacing w:after="0" w:line="28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8">
                      <a:extLst>
                        <a:ext uri="{28A0092B-C50C-407E-A947-70E740481C1C}"/>
                      </a:extLst>
                    </a:blip>
                    <a:srcRect/>
                    <a:stretch>
                      <a:fillRect/>
                    </a:stretch>
                  </pic:blipFill>
                  <pic:spPr bwMode="auto">
                    <a:xfrm>
                      <a:off x="0" y="0"/>
                      <a:ext cx="7178040" cy="54610"/>
                    </a:xfrm>
                    <a:prstGeom prst="rect">
                      <a:avLst/>
                    </a:prstGeom>
                    <a:noFill/>
                  </pic:spPr>
                </pic:pic>
              </a:graphicData>
            </a:graphic>
          </wp:anchor>
        </w:drawing>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20"/>
          </w:cols>
          <w:pgMar w:left="320" w:top="292" w:right="359" w:bottom="1440" w:gutter="0" w:footer="0" w:header="0"/>
        </w:sectPr>
      </w:pPr>
    </w:p>
    <w:bookmarkStart w:id="85" w:name="page86"/>
    <w:bookmarkEnd w:id="8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9">
                      <a:extLst>
                        <a:ext uri="{28A0092B-C50C-407E-A947-70E740481C1C}"/>
                      </a:extLst>
                    </a:blip>
                    <a:srcRect/>
                    <a:stretch>
                      <a:fillRect/>
                    </a:stretch>
                  </pic:blipFill>
                  <pic:spPr bwMode="auto">
                    <a:xfrm>
                      <a:off x="0" y="0"/>
                      <a:ext cx="7178040" cy="54610"/>
                    </a:xfrm>
                    <a:prstGeom prst="rect">
                      <a:avLst/>
                    </a:prstGeom>
                    <a:noFill/>
                  </pic:spPr>
                </pic:pic>
              </a:graphicData>
            </a:graphic>
          </wp:anchor>
        </w:drawing>
        <w:t>SUB-ADMINISTRATOR, CUSTODIAN, TRANSFER AGENT AND TRUSTEE</w:t>
      </w:r>
    </w:p>
    <w:p>
      <w:pPr>
        <w:spacing w:after="0" w:line="216" w:lineRule="exact"/>
        <w:rPr>
          <w:sz w:val="20"/>
          <w:szCs w:val="20"/>
          <w:color w:val="auto"/>
        </w:rPr>
      </w:pPr>
    </w:p>
    <w:p>
      <w:pPr>
        <w:ind w:right="80" w:firstLine="450"/>
        <w:spacing w:after="0" w:line="254" w:lineRule="auto"/>
        <w:rPr>
          <w:sz w:val="20"/>
          <w:szCs w:val="20"/>
          <w:color w:val="auto"/>
        </w:rPr>
      </w:pPr>
      <w:r>
        <w:rPr>
          <w:rFonts w:ascii="Times New Roman" w:cs="Times New Roman" w:eastAsia="Times New Roman" w:hAnsi="Times New Roman"/>
          <w:sz w:val="18"/>
          <w:szCs w:val="18"/>
          <w:color w:val="auto"/>
        </w:rPr>
        <w:t>BNY Mellon Investment Servicing (US) Inc., a subsidiary of The Bank of New York Mellon, provides administrative and accounting services to us under a sub-administration and accounting services agreement and serves as custodian for PFLT Investment Holdings, LLC, a subsidiary of PennantPark Floating Rate Capital Ltd. The Bank of New York Mellon provides custodian services to us pursuant to a custodian services agreement. The principal business address of The Bank of New York Mellon is 240 Greenwich Street, New York, NY 10286. Equiniti Trust Company, LLC (f/k/a American Stock Transfer &amp; Trust Company, LLC) acts as our transfer agent, distribution paying agent and registrar. Equiniti also serves as trustee under our 2026 Notes. The principal business address of Equiniti is 48 Wall Street, 22</w:t>
      </w:r>
      <w:r>
        <w:rPr>
          <w:rFonts w:ascii="Times New Roman" w:cs="Times New Roman" w:eastAsia="Times New Roman" w:hAnsi="Times New Roman"/>
          <w:sz w:val="21"/>
          <w:szCs w:val="21"/>
          <w:color w:val="auto"/>
          <w:vertAlign w:val="superscript"/>
        </w:rPr>
        <w:t>nd</w:t>
      </w:r>
      <w:r>
        <w:rPr>
          <w:rFonts w:ascii="Times New Roman" w:cs="Times New Roman" w:eastAsia="Times New Roman" w:hAnsi="Times New Roman"/>
          <w:sz w:val="18"/>
          <w:szCs w:val="18"/>
          <w:color w:val="auto"/>
        </w:rPr>
        <w:t xml:space="preserve"> Floor, New York, NY 10005, telephone number: (800) 468-9716.</w:t>
      </w:r>
    </w:p>
    <w:p>
      <w:pPr>
        <w:spacing w:after="0" w:line="123" w:lineRule="exact"/>
        <w:rPr>
          <w:sz w:val="20"/>
          <w:szCs w:val="20"/>
          <w:color w:val="auto"/>
        </w:rPr>
      </w:pPr>
    </w:p>
    <w:p>
      <w:pPr>
        <w:ind w:right="60" w:firstLine="450"/>
        <w:spacing w:after="0" w:line="249" w:lineRule="auto"/>
        <w:rPr>
          <w:sz w:val="20"/>
          <w:szCs w:val="20"/>
          <w:color w:val="auto"/>
        </w:rPr>
      </w:pPr>
      <w:r>
        <w:rPr>
          <w:rFonts w:ascii="Times New Roman" w:cs="Times New Roman" w:eastAsia="Times New Roman" w:hAnsi="Times New Roman"/>
          <w:sz w:val="18"/>
          <w:szCs w:val="18"/>
          <w:color w:val="auto"/>
        </w:rPr>
        <w:t>In addition, Wilmington Trust, National Association, serves as custodian for PennantPark CLO VIII, LLC, a subsidiary of PennantPark Floating Rate Capital Ltd., in connection with certain financing matters. The principal business address of Wilmington Trust, National Association is 1100 North Market Street, Wilmington, Delaware 19890, telephone number: (302) 651-1000. In addition, U.S. Bank National Association serves as custodian for PennantPark Floating Rate Funding I, LLC, PennantPark Floating Rate Funding II, LLC, PennantPark CLO I, LLC and PennantPark CLO I, Ltd., each a subsidiary of PennantPark Floating Rate Capital Ltd., in connection with certain financing matters. The principal business address of U.S. Bank National Association is One Federal Street, Third Floor, Boston, Massachusetts 02110, telephone number: (617) 603-6461.</w:t>
      </w: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16" w:lineRule="exact"/>
        <w:rPr>
          <w:sz w:val="20"/>
          <w:szCs w:val="20"/>
          <w:color w:val="auto"/>
        </w:rPr>
      </w:pPr>
    </w:p>
    <w:p>
      <w:pPr>
        <w:ind w:right="540" w:firstLine="450"/>
        <w:spacing w:after="0" w:line="256" w:lineRule="auto"/>
        <w:rPr>
          <w:sz w:val="20"/>
          <w:szCs w:val="20"/>
          <w:color w:val="auto"/>
        </w:rPr>
      </w:pPr>
      <w:r>
        <w:rPr>
          <w:rFonts w:ascii="Times New Roman" w:cs="Times New Roman" w:eastAsia="Times New Roman" w:hAnsi="Times New Roman"/>
          <w:sz w:val="18"/>
          <w:szCs w:val="18"/>
          <w:color w:val="auto"/>
        </w:rPr>
        <w:t>Certain legal matters regarding the securities offered by this prospectus will be passed upon for us by Dechert LLP, Boston, Massachusetts and by Venable LLP, as special Maryland counsel. Certain legal matters will be passed upon for underwriters, if any, by the counsel named in the prospectus supplement, if any.</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16" w:lineRule="exact"/>
        <w:rPr>
          <w:sz w:val="20"/>
          <w:szCs w:val="20"/>
          <w:color w:val="auto"/>
        </w:rPr>
      </w:pPr>
    </w:p>
    <w:p>
      <w:pPr>
        <w:ind w:firstLine="450"/>
        <w:spacing w:after="0" w:line="248" w:lineRule="auto"/>
        <w:rPr>
          <w:sz w:val="20"/>
          <w:szCs w:val="20"/>
          <w:color w:val="auto"/>
        </w:rPr>
      </w:pPr>
      <w:r>
        <w:rPr>
          <w:rFonts w:ascii="Times New Roman" w:cs="Times New Roman" w:eastAsia="Times New Roman" w:hAnsi="Times New Roman"/>
          <w:sz w:val="18"/>
          <w:szCs w:val="18"/>
          <w:color w:val="auto"/>
        </w:rPr>
        <w:t>The consolidated financial statements of PennantPark Floating Rate Capital Ltd. and Subsidiaries (the Company) as of September 30, 2023 and 2022 and for each of the years in the three-year period ended September 30, 2023 and the effectiveness of internal control over financial reporting as of September 30, 2023 incorporated in this Prospectus by reference from the PennantPark Floating Rate Capital Ltd. Annual Report on Form 10-K for the year ended September 30, 2023 have been audited by RSM US LLP, an independent registered public accounting firm, as stated in their report thereon (which report expresses an unqualified opinion and includes an emphasis of matter paragraph relating to the reclassification of certain amounts presented therewithin of the 2022 and 2021 financial statements), incorporated herein by reference, and have been incorporated in this Prospectus and Registration Statement in reliance upon such report and upon the authority of such firm as experts in accounting and auditing.</w:t>
      </w:r>
    </w:p>
    <w:p>
      <w:pPr>
        <w:spacing w:after="0" w:line="187" w:lineRule="exact"/>
        <w:rPr>
          <w:sz w:val="20"/>
          <w:szCs w:val="20"/>
          <w:color w:val="auto"/>
        </w:rPr>
      </w:pPr>
    </w:p>
    <w:p>
      <w:pPr>
        <w:ind w:right="320" w:firstLine="450"/>
        <w:spacing w:after="0" w:line="252" w:lineRule="auto"/>
        <w:rPr>
          <w:sz w:val="20"/>
          <w:szCs w:val="20"/>
          <w:color w:val="auto"/>
        </w:rPr>
      </w:pPr>
      <w:r>
        <w:rPr>
          <w:rFonts w:ascii="Times New Roman" w:cs="Times New Roman" w:eastAsia="Times New Roman" w:hAnsi="Times New Roman"/>
          <w:sz w:val="18"/>
          <w:szCs w:val="18"/>
          <w:color w:val="auto"/>
        </w:rPr>
        <w:t xml:space="preserve">The report of RSM US LLP dated December 7, 2023, on the effectiveness of internal control over financial reporting as of September 30, 2023, expressed an opinion that PennantPark Floating Rate Capital Ltd. had not maintained effective internal control over financial reporting as of September 30, 2023,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issued by the Committee of Sponsoring Organizations of the Treadway Commission in 2013.</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INDEPENDENT AUDITOR</w:t>
      </w:r>
    </w:p>
    <w:p>
      <w:pPr>
        <w:spacing w:after="0" w:line="216" w:lineRule="exact"/>
        <w:rPr>
          <w:sz w:val="20"/>
          <w:szCs w:val="20"/>
          <w:color w:val="auto"/>
        </w:rPr>
      </w:pPr>
    </w:p>
    <w:p>
      <w:pPr>
        <w:ind w:right="320" w:firstLine="450"/>
        <w:spacing w:after="0" w:line="252" w:lineRule="auto"/>
        <w:rPr>
          <w:sz w:val="20"/>
          <w:szCs w:val="20"/>
          <w:color w:val="auto"/>
        </w:rPr>
      </w:pPr>
      <w:r>
        <w:rPr>
          <w:rFonts w:ascii="Times New Roman" w:cs="Times New Roman" w:eastAsia="Times New Roman" w:hAnsi="Times New Roman"/>
          <w:sz w:val="18"/>
          <w:szCs w:val="18"/>
          <w:color w:val="auto"/>
        </w:rPr>
        <w:t>The consolidated financial statements of PennantPark Senior Secured Loan Fund I LLC as of September 30, 2023, September 30, 2022 and September 30, 2021 and for the years then ended included as Exhibits 99.3 and 99.4 in our Annual Report on Form 10-K for the fiscal year ended September 30, 2023 have been incorporated herein by reference, and have been incorporated in this Prospectus and Registration Statement in reliance upon such report and upon the authority of such firm as experts in accounting and auditing.</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20"/>
          </w:cols>
          <w:pgMar w:left="320" w:top="290" w:right="35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0">
                      <a:extLst>
                        <a:ext uri="{28A0092B-C50C-407E-A947-70E740481C1C}"/>
                      </a:extLst>
                    </a:blip>
                    <a:srcRect/>
                    <a:stretch>
                      <a:fillRect/>
                    </a:stretch>
                  </pic:blipFill>
                  <pic:spPr bwMode="auto">
                    <a:xfrm>
                      <a:off x="0" y="0"/>
                      <a:ext cx="7178040" cy="54610"/>
                    </a:xfrm>
                    <a:prstGeom prst="rect">
                      <a:avLst/>
                    </a:prstGeom>
                    <a:noFill/>
                  </pic:spPr>
                </pic:pic>
              </a:graphicData>
            </a:graphic>
          </wp:anchor>
        </w:drawing>
        <w:t>INCORPORATION BY REFERENCE</w:t>
      </w:r>
    </w:p>
    <w:p>
      <w:pPr>
        <w:spacing w:after="0" w:line="216" w:lineRule="exact"/>
        <w:rPr>
          <w:sz w:val="20"/>
          <w:szCs w:val="20"/>
          <w:color w:val="auto"/>
        </w:rPr>
      </w:pPr>
    </w:p>
    <w:p>
      <w:pPr>
        <w:ind w:firstLine="450"/>
        <w:spacing w:after="0" w:line="303" w:lineRule="auto"/>
        <w:rPr>
          <w:sz w:val="20"/>
          <w:szCs w:val="20"/>
          <w:color w:val="auto"/>
        </w:rPr>
      </w:pPr>
      <w:r>
        <w:rPr>
          <w:rFonts w:ascii="Times New Roman" w:cs="Times New Roman" w:eastAsia="Times New Roman" w:hAnsi="Times New Roman"/>
          <w:sz w:val="16"/>
          <w:szCs w:val="16"/>
          <w:color w:val="auto"/>
        </w:rPr>
        <w:t>This prospectus is part of a registration statement that we have filed with the SEC. Pursuant to the Small Business Credit Availability Act, we are allowed to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document.</w:t>
      </w:r>
    </w:p>
    <w:p>
      <w:pPr>
        <w:spacing w:after="0" w:line="145" w:lineRule="exact"/>
        <w:rPr>
          <w:sz w:val="20"/>
          <w:szCs w:val="20"/>
          <w:color w:val="auto"/>
        </w:rPr>
      </w:pPr>
    </w:p>
    <w:p>
      <w:pPr>
        <w:ind w:right="20" w:firstLine="450"/>
        <w:spacing w:after="0" w:line="248" w:lineRule="auto"/>
        <w:rPr>
          <w:sz w:val="20"/>
          <w:szCs w:val="20"/>
          <w:color w:val="auto"/>
        </w:rPr>
      </w:pPr>
      <w:r>
        <w:rPr>
          <w:rFonts w:ascii="Times New Roman" w:cs="Times New Roman" w:eastAsia="Times New Roman" w:hAnsi="Times New Roman"/>
          <w:sz w:val="18"/>
          <w:szCs w:val="18"/>
          <w:color w:val="auto"/>
        </w:rPr>
        <w:t>We incorporate by reference into this prospectus additional documents that we may file with the SEC under Section 13(a), 13(c), 14 or 15(d) of the Exchange Act until all of the securities offered by this prospectus and any accompanying prospectus supplement have been sold or we otherwise terminate the offering of these securities, including all such documents we may file with the SEC after the date of the initial registration statement and prior to effectiveness of the registration statement; provided, however, that information “furnished” under Item 2.02 or Item 7.01 of Form 8-K or other information “furnished” to the SEC which is not deemed filed is not incorporated by reference in this prospectus and any accompanying prospectus supplement. Information that we file with the SEC will automatically update and may supersede information in this prospectus, any accompanying prospectus supplement, and information previously filed with the SEC.</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This prospectus and any prospectus supplement incorporates by reference the documents set forth below that have previously been filed with the SEC:</w:t>
      </w:r>
    </w:p>
    <w:p>
      <w:pPr>
        <w:spacing w:after="0" w:line="145" w:lineRule="exact"/>
        <w:rPr>
          <w:sz w:val="20"/>
          <w:szCs w:val="20"/>
          <w:color w:val="auto"/>
        </w:rPr>
      </w:pPr>
    </w:p>
    <w:p>
      <w:pPr>
        <w:ind w:left="1000" w:hanging="442"/>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2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September 30, 2023, filed on December 8, 2023;</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w:t>
      </w:r>
      <w:hyperlink r:id="rId70">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December 13, 2023;</w:t>
      </w:r>
    </w:p>
    <w:p>
      <w:pPr>
        <w:spacing w:after="0" w:line="121" w:lineRule="exact"/>
        <w:rPr>
          <w:rFonts w:ascii="Times New Roman" w:cs="Times New Roman" w:eastAsia="Times New Roman" w:hAnsi="Times New Roman"/>
          <w:sz w:val="18"/>
          <w:szCs w:val="18"/>
          <w:color w:val="auto"/>
        </w:rPr>
      </w:pPr>
    </w:p>
    <w:p>
      <w:pPr>
        <w:ind w:left="1000" w:right="280" w:hanging="442"/>
        <w:spacing w:after="0" w:line="268" w:lineRule="auto"/>
        <w:tabs>
          <w:tab w:leader="none" w:pos="1000" w:val="left"/>
        </w:tabs>
        <w:numPr>
          <w:ilvl w:val="0"/>
          <w:numId w:val="52"/>
        </w:numPr>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auto"/>
          </w:rPr>
          <w:t xml:space="preserve">Our Quarterly Reports on Form 10-Q for the fiscal quarters ended December 31, 2023 and March 31, 2024, filed with the SEC on </w:t>
        </w:r>
        <w:r>
          <w:rPr>
            <w:rFonts w:ascii="Times New Roman" w:cs="Times New Roman" w:eastAsia="Times New Roman" w:hAnsi="Times New Roman"/>
            <w:sz w:val="18"/>
            <w:szCs w:val="18"/>
            <w:u w:val="single" w:color="auto"/>
            <w:color w:val="0000EE"/>
          </w:rPr>
          <w:t>February 7,</w:t>
        </w:r>
      </w:hyperlink>
      <w:r>
        <w:rPr>
          <w:rFonts w:ascii="Times New Roman" w:cs="Times New Roman" w:eastAsia="Times New Roman" w:hAnsi="Times New Roman"/>
          <w:sz w:val="18"/>
          <w:szCs w:val="18"/>
          <w:color w:val="auto"/>
        </w:rPr>
        <w:t xml:space="preserve"> </w:t>
      </w:r>
      <w:hyperlink r:id="rId121">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38">
        <w:r>
          <w:rPr>
            <w:rFonts w:ascii="Times New Roman" w:cs="Times New Roman" w:eastAsia="Times New Roman" w:hAnsi="Times New Roman"/>
            <w:sz w:val="18"/>
            <w:szCs w:val="18"/>
            <w:u w:val="single" w:color="auto"/>
            <w:color w:val="0000EE"/>
          </w:rPr>
          <w:t>May 8, 2024</w:t>
        </w:r>
      </w:hyperlink>
      <w:hyperlink r:id="rId121">
        <w:r>
          <w:rPr>
            <w:rFonts w:ascii="Times New Roman" w:cs="Times New Roman" w:eastAsia="Times New Roman" w:hAnsi="Times New Roman"/>
            <w:sz w:val="18"/>
            <w:szCs w:val="18"/>
            <w:color w:val="000000"/>
          </w:rPr>
          <w:t>, respectively;</w:t>
        </w:r>
      </w:hyperlink>
    </w:p>
    <w:p>
      <w:pPr>
        <w:spacing w:after="0" w:line="77" w:lineRule="exact"/>
        <w:rPr>
          <w:rFonts w:ascii="Times New Roman" w:cs="Times New Roman" w:eastAsia="Times New Roman" w:hAnsi="Times New Roman"/>
          <w:sz w:val="18"/>
          <w:szCs w:val="18"/>
          <w:color w:val="0000EE"/>
        </w:rPr>
      </w:pPr>
    </w:p>
    <w:p>
      <w:pPr>
        <w:ind w:left="1000" w:right="360" w:hanging="442"/>
        <w:spacing w:after="0" w:line="268" w:lineRule="auto"/>
        <w:tabs>
          <w:tab w:leader="none" w:pos="1000" w:val="left"/>
        </w:tabs>
        <w:numPr>
          <w:ilvl w:val="0"/>
          <w:numId w:val="52"/>
        </w:numPr>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January 12,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8,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9,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27,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18,</w:t>
        </w:r>
      </w:hyperlink>
      <w:r>
        <w:rPr>
          <w:rFonts w:ascii="Times New Roman" w:cs="Times New Roman" w:eastAsia="Times New Roman" w:hAnsi="Times New Roman"/>
          <w:sz w:val="18"/>
          <w:szCs w:val="18"/>
          <w:color w:val="auto"/>
        </w:rPr>
        <w:t xml:space="preserve"> </w:t>
      </w:r>
      <w:hyperlink r:id="rId122">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123">
        <w:r>
          <w:rPr>
            <w:rFonts w:ascii="Times New Roman" w:cs="Times New Roman" w:eastAsia="Times New Roman" w:hAnsi="Times New Roman"/>
            <w:sz w:val="18"/>
            <w:szCs w:val="18"/>
            <w:u w:val="single" w:color="auto"/>
            <w:color w:val="0000EE"/>
          </w:rPr>
          <w:t>May 8, 2024</w:t>
        </w:r>
      </w:hyperlink>
      <w:hyperlink r:id="rId122">
        <w:r>
          <w:rPr>
            <w:rFonts w:ascii="Times New Roman" w:cs="Times New Roman" w:eastAsia="Times New Roman" w:hAnsi="Times New Roman"/>
            <w:sz w:val="18"/>
            <w:szCs w:val="18"/>
            <w:color w:val="000000"/>
          </w:rPr>
          <w:t>; and</w:t>
        </w:r>
      </w:hyperlink>
    </w:p>
    <w:p>
      <w:pPr>
        <w:spacing w:after="0" w:line="77" w:lineRule="exact"/>
        <w:rPr>
          <w:rFonts w:ascii="Times New Roman" w:cs="Times New Roman" w:eastAsia="Times New Roman" w:hAnsi="Times New Roman"/>
          <w:sz w:val="18"/>
          <w:szCs w:val="18"/>
          <w:color w:val="0000EE"/>
        </w:rPr>
      </w:pPr>
    </w:p>
    <w:p>
      <w:pPr>
        <w:ind w:left="1000" w:right="60" w:hanging="442"/>
        <w:spacing w:after="0" w:line="252"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w:t>
      </w:r>
      <w:hyperlink r:id="rId124">
        <w:r>
          <w:rPr>
            <w:rFonts w:ascii="Times New Roman" w:cs="Times New Roman" w:eastAsia="Times New Roman" w:hAnsi="Times New Roman"/>
            <w:sz w:val="18"/>
            <w:szCs w:val="18"/>
            <w:u w:val="single" w:color="auto"/>
            <w:color w:val="0000EE"/>
          </w:rPr>
          <w:t>Exhibit 4.4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of our Annual Report on Form 10-K for the fiscal year ended September 30, 2019 (File No. 814-00891), as filed with the SEC on November 20, 2019, which updated the description thereof referenced in our Registration Statement on </w:t>
      </w:r>
      <w:hyperlink r:id="rId125">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001-35127), as filed with the SEC on April 7, 2011, including any amendment or report filed for the purpose of updating such description prior to the termination of the offering of the common stock registered hereby.</w:t>
      </w:r>
    </w:p>
    <w:p>
      <w:pPr>
        <w:spacing w:after="0" w:line="183" w:lineRule="exact"/>
        <w:rPr>
          <w:rFonts w:ascii="Times New Roman" w:cs="Times New Roman" w:eastAsia="Times New Roman" w:hAnsi="Times New Roman"/>
          <w:sz w:val="18"/>
          <w:szCs w:val="18"/>
          <w:color w:val="auto"/>
        </w:rPr>
      </w:pPr>
    </w:p>
    <w:p>
      <w:pPr>
        <w:ind w:left="460"/>
        <w:spacing w:after="0"/>
        <w:rPr>
          <w:sz w:val="20"/>
          <w:szCs w:val="20"/>
          <w:color w:val="auto"/>
        </w:rPr>
      </w:pPr>
      <w:r>
        <w:rPr>
          <w:rFonts w:ascii="Times New Roman" w:cs="Times New Roman" w:eastAsia="Times New Roman" w:hAnsi="Times New Roman"/>
          <w:sz w:val="18"/>
          <w:szCs w:val="18"/>
          <w:color w:val="auto"/>
        </w:rPr>
        <w:t>To obtain copies of these filings, see “Available Information.”</w:t>
      </w:r>
    </w:p>
    <w:p>
      <w:pPr>
        <w:spacing w:after="0" w:line="200" w:lineRule="exact"/>
        <w:rPr>
          <w:rFonts w:ascii="Times New Roman" w:cs="Times New Roman" w:eastAsia="Times New Roman" w:hAnsi="Times New Roman"/>
          <w:sz w:val="18"/>
          <w:szCs w:val="18"/>
          <w:color w:val="auto"/>
        </w:rPr>
      </w:pPr>
    </w:p>
    <w:p>
      <w:pPr>
        <w:spacing w:after="0" w:line="223"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16" w:lineRule="exact"/>
        <w:rPr>
          <w:rFonts w:ascii="Times New Roman" w:cs="Times New Roman" w:eastAsia="Times New Roman" w:hAnsi="Times New Roman"/>
          <w:sz w:val="18"/>
          <w:szCs w:val="18"/>
          <w:color w:val="auto"/>
        </w:rPr>
      </w:pPr>
    </w:p>
    <w:p>
      <w:pPr>
        <w:ind w:firstLine="450"/>
        <w:spacing w:after="0" w:line="286" w:lineRule="auto"/>
        <w:rPr>
          <w:sz w:val="20"/>
          <w:szCs w:val="20"/>
          <w:color w:val="auto"/>
        </w:rPr>
      </w:pPr>
      <w:r>
        <w:rPr>
          <w:rFonts w:ascii="Times New Roman" w:cs="Times New Roman" w:eastAsia="Times New Roman" w:hAnsi="Times New Roman"/>
          <w:sz w:val="16"/>
          <w:szCs w:val="16"/>
          <w:color w:val="auto"/>
        </w:rPr>
        <w:t>This prospectus is part of a registration statement we filed with the SEC. This prospectus does not contain all of the information set forth in the registration statement, some of which is contained in exhibits to the registration statement as permitted by the rules and regulations of the SEC. For further information with respect to us and the securities we are offering under this prospectus, we refer you to the registration statement, including the exhibits filed as a part of the registration statement. Statements contained in this prospectus concerning the contents of any contract or any other document are not necessarily complete. If a contract or other document has been filed as an exhibit to the registration statement, please see the copy of the contract or document that has been filed. Each statement in this prospectus relating to a contract or document filed as an exhibit is qualified in all respects by the filed exhibit.</w:t>
      </w:r>
    </w:p>
    <w:p>
      <w:pPr>
        <w:spacing w:after="0" w:line="92"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40"/>
          </w:cols>
          <w:pgMar w:left="320" w:top="290" w:right="339" w:bottom="1440" w:gutter="0" w:footer="0" w:header="0"/>
        </w:sectPr>
      </w:pPr>
    </w:p>
    <w:bookmarkStart w:id="87" w:name="page88"/>
    <w:bookmarkEnd w:id="87"/>
    <w:p>
      <w:pPr>
        <w:ind w:firstLine="450"/>
        <w:spacing w:after="0" w:line="24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6">
                      <a:extLst>
                        <a:ext uri="{28A0092B-C50C-407E-A947-70E740481C1C}"/>
                      </a:extLst>
                    </a:blip>
                    <a:srcRect/>
                    <a:stretch>
                      <a:fillRect/>
                    </a:stretch>
                  </pic:blipFill>
                  <pic:spPr bwMode="auto">
                    <a:xfrm>
                      <a:off x="0" y="0"/>
                      <a:ext cx="7178040" cy="54610"/>
                    </a:xfrm>
                    <a:prstGeom prst="rect">
                      <a:avLst/>
                    </a:prstGeom>
                    <a:noFill/>
                  </pic:spPr>
                </pic:pic>
              </a:graphicData>
            </a:graphic>
          </wp:anchor>
        </w:drawing>
        <w:t xml:space="preserve">We file with or submit to the SEC annual, quarterly and current periodic reports, proxy statements and other information meeting the informational requirements of the Exchange Act. This information is available free of charge by calling us collect at (786) 297-9500 or on our website at </w:t>
      </w:r>
      <w:r>
        <w:rPr>
          <w:rFonts w:ascii="Times New Roman" w:cs="Times New Roman" w:eastAsia="Times New Roman" w:hAnsi="Times New Roman"/>
          <w:sz w:val="18"/>
          <w:szCs w:val="18"/>
          <w:i w:val="1"/>
          <w:iCs w:val="1"/>
          <w:u w:val="single" w:color="auto"/>
          <w:color w:val="auto"/>
        </w:rPr>
        <w:t>www.pennantpark.com</w:t>
      </w:r>
      <w:r>
        <w:rPr>
          <w:rFonts w:ascii="Times New Roman" w:cs="Times New Roman" w:eastAsia="Times New Roman" w:hAnsi="Times New Roman"/>
          <w:sz w:val="18"/>
          <w:szCs w:val="18"/>
          <w:color w:val="auto"/>
        </w:rPr>
        <w:t>. Except for the documents incorporated by reference into this prospectus and any accompanying prospectus supplement, the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on our website is not part of this prospectus or any accompanying prospectus supplement. The SEC maintains an Internet website that contains reports, proxy and information statements and other information filed electronically by us with the SEC which are available free of charge on the SEC’s Internet website at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color w:val="auto"/>
        </w:rPr>
        <w:t>. Copies of these reports, proxy and information statements and other information may be obtained, after paying a duplicating fee, by sending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request by email to: publicinfo@sec.gov.</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20"/>
          </w:cols>
          <w:pgMar w:left="320" w:top="292" w:right="359" w:bottom="1440" w:gutter="0" w:footer="0" w:header="0"/>
        </w:sectPr>
      </w:pPr>
    </w:p>
    <w:bookmarkStart w:id="88" w:name="page89"/>
    <w:bookmarkEnd w:id="88"/>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7">
                      <a:extLst>
                        <a:ext uri="{28A0092B-C50C-407E-A947-70E740481C1C}"/>
                      </a:extLst>
                    </a:blip>
                    <a:srcRect/>
                    <a:stretch>
                      <a:fillRect/>
                    </a:stretch>
                  </pic:blipFill>
                  <pic:spPr bwMode="auto">
                    <a:xfrm>
                      <a:off x="0" y="0"/>
                      <a:ext cx="7178040" cy="54610"/>
                    </a:xfrm>
                    <a:prstGeom prst="rect">
                      <a:avLst/>
                    </a:prstGeom>
                    <a:noFill/>
                  </pic:spPr>
                </pic:pic>
              </a:graphicData>
            </a:graphic>
          </wp:anchor>
        </w:drawing>
        <w:t>PART C</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25.</w:t>
            </w:r>
          </w:p>
        </w:tc>
        <w:tc>
          <w:tcPr>
            <w:tcW w:w="103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4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1 </w:t>
            </w:r>
          </w:p>
        </w:tc>
        <w:tc>
          <w:tcPr>
            <w:tcW w:w="10300" w:type="dxa"/>
            <w:vAlign w:val="bottom"/>
          </w:tcPr>
          <w:p>
            <w:pPr>
              <w:ind w:left="520"/>
              <w:spacing w:after="0"/>
              <w:rPr>
                <w:sz w:val="20"/>
                <w:szCs w:val="20"/>
                <w:color w:val="auto"/>
              </w:rPr>
            </w:pPr>
            <w:r>
              <w:rPr>
                <w:rFonts w:ascii="Times New Roman" w:cs="Times New Roman" w:eastAsia="Times New Roman" w:hAnsi="Times New Roman"/>
                <w:sz w:val="18"/>
                <w:szCs w:val="18"/>
                <w:i w:val="1"/>
                <w:iCs w:val="1"/>
                <w:color w:val="auto"/>
              </w:rPr>
              <w:t>Financial Statements.</w:t>
            </w:r>
          </w:p>
        </w:tc>
      </w:tr>
      <w:tr>
        <w:trPr>
          <w:trHeight w:val="298"/>
        </w:trPr>
        <w:tc>
          <w:tcPr>
            <w:tcW w:w="860" w:type="dxa"/>
            <w:vAlign w:val="bottom"/>
          </w:tcPr>
          <w:p>
            <w:pPr>
              <w:spacing w:after="0"/>
              <w:rPr>
                <w:sz w:val="24"/>
                <w:szCs w:val="24"/>
                <w:color w:val="auto"/>
              </w:rPr>
            </w:pPr>
          </w:p>
        </w:tc>
        <w:tc>
          <w:tcPr>
            <w:tcW w:w="1030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7"/>
              </w:rPr>
              <w:t>The consolidated financial statements as of September 30, 2023 and September 30, 2022 and for each of the three years in the period ended</w:t>
            </w:r>
          </w:p>
        </w:tc>
      </w:tr>
      <w:tr>
        <w:trPr>
          <w:trHeight w:val="211"/>
        </w:trPr>
        <w:tc>
          <w:tcPr>
            <w:tcW w:w="860" w:type="dxa"/>
            <w:vAlign w:val="bottom"/>
          </w:tcPr>
          <w:p>
            <w:pPr>
              <w:spacing w:after="0"/>
              <w:rPr>
                <w:sz w:val="18"/>
                <w:szCs w:val="18"/>
                <w:color w:val="auto"/>
              </w:rPr>
            </w:pPr>
          </w:p>
        </w:tc>
        <w:tc>
          <w:tcPr>
            <w:tcW w:w="1030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9"/>
              </w:rPr>
              <w:t>September 30, 2023 and management’s assessment of the effectiveness of internal control over financial reporting (which is included in</w:t>
            </w:r>
          </w:p>
        </w:tc>
      </w:tr>
      <w:tr>
        <w:trPr>
          <w:trHeight w:val="211"/>
        </w:trPr>
        <w:tc>
          <w:tcPr>
            <w:tcW w:w="860" w:type="dxa"/>
            <w:vAlign w:val="bottom"/>
          </w:tcPr>
          <w:p>
            <w:pPr>
              <w:spacing w:after="0"/>
              <w:rPr>
                <w:sz w:val="18"/>
                <w:szCs w:val="18"/>
                <w:color w:val="auto"/>
              </w:rPr>
            </w:pPr>
          </w:p>
        </w:tc>
        <w:tc>
          <w:tcPr>
            <w:tcW w:w="1030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7"/>
              </w:rPr>
              <w:t>Management’s Report on Internal Control over Financial Reporting) as of September 30, 2023 have been incorporated by reference in this</w:t>
            </w:r>
          </w:p>
        </w:tc>
      </w:tr>
      <w:tr>
        <w:trPr>
          <w:trHeight w:val="228"/>
        </w:trPr>
        <w:tc>
          <w:tcPr>
            <w:tcW w:w="860" w:type="dxa"/>
            <w:vAlign w:val="bottom"/>
          </w:tcPr>
          <w:p>
            <w:pPr>
              <w:spacing w:after="0"/>
              <w:rPr>
                <w:sz w:val="19"/>
                <w:szCs w:val="19"/>
                <w:color w:val="auto"/>
              </w:rPr>
            </w:pPr>
          </w:p>
        </w:tc>
        <w:tc>
          <w:tcPr>
            <w:tcW w:w="103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registration statement in “Part A—Information Required in a Prospectus.”</w:t>
            </w:r>
          </w:p>
        </w:tc>
      </w:tr>
      <w:tr>
        <w:trPr>
          <w:trHeight w:val="3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10300" w:type="dxa"/>
            <w:vAlign w:val="bottom"/>
          </w:tcPr>
          <w:p>
            <w:pPr>
              <w:ind w:left="520"/>
              <w:spacing w:after="0"/>
              <w:rPr>
                <w:sz w:val="20"/>
                <w:szCs w:val="20"/>
                <w:color w:val="auto"/>
              </w:rPr>
            </w:pPr>
            <w:r>
              <w:rPr>
                <w:rFonts w:ascii="Times New Roman" w:cs="Times New Roman" w:eastAsia="Times New Roman" w:hAnsi="Times New Roman"/>
                <w:sz w:val="18"/>
                <w:szCs w:val="18"/>
                <w:i w:val="1"/>
                <w:iCs w:val="1"/>
                <w:color w:val="auto"/>
              </w:rPr>
              <w:t>Exhibits.</w:t>
            </w:r>
          </w:p>
        </w:tc>
      </w:tr>
    </w:tbl>
    <w:p>
      <w:pPr>
        <w:spacing w:after="0" w:line="88" w:lineRule="exact"/>
        <w:rPr>
          <w:sz w:val="20"/>
          <w:szCs w:val="20"/>
          <w:color w:val="auto"/>
        </w:rPr>
      </w:pPr>
    </w:p>
    <w:p>
      <w:pPr>
        <w:ind w:left="1380" w:right="300" w:hanging="1006"/>
        <w:spacing w:after="0" w:line="268" w:lineRule="auto"/>
        <w:tabs>
          <w:tab w:leader="none" w:pos="1380" w:val="left"/>
        </w:tabs>
        <w:numPr>
          <w:ilvl w:val="0"/>
          <w:numId w:val="53"/>
        </w:numPr>
        <w:rPr>
          <w:rFonts w:ascii="Times New Roman" w:cs="Times New Roman" w:eastAsia="Times New Roman" w:hAnsi="Times New Roman"/>
          <w:sz w:val="18"/>
          <w:szCs w:val="18"/>
          <w:u w:val="single" w:color="auto"/>
          <w:color w:val="0000EE"/>
        </w:rPr>
      </w:pPr>
      <w:hyperlink r:id="rId128">
        <w:r>
          <w:rPr>
            <w:rFonts w:ascii="Times New Roman" w:cs="Times New Roman" w:eastAsia="Times New Roman" w:hAnsi="Times New Roman"/>
            <w:sz w:val="18"/>
            <w:szCs w:val="18"/>
            <w:u w:val="single" w:color="auto"/>
            <w:color w:val="0000EE"/>
          </w:rPr>
          <w:t>Articles of Amendment and Restatement of the Registrant (Incorporated by reference to Exhibit 99(A) to the Registrant’s Pre-Effective</w:t>
        </w:r>
      </w:hyperlink>
      <w:r>
        <w:rPr>
          <w:rFonts w:ascii="Times New Roman" w:cs="Times New Roman" w:eastAsia="Times New Roman" w:hAnsi="Times New Roman"/>
          <w:sz w:val="18"/>
          <w:szCs w:val="18"/>
          <w:u w:val="single" w:color="auto"/>
          <w:color w:val="0000EE"/>
        </w:rPr>
        <w:t xml:space="preserve"> </w:t>
      </w:r>
      <w:hyperlink r:id="rId128">
        <w:r>
          <w:rPr>
            <w:rFonts w:ascii="Times New Roman" w:cs="Times New Roman" w:eastAsia="Times New Roman" w:hAnsi="Times New Roman"/>
            <w:sz w:val="18"/>
            <w:szCs w:val="18"/>
            <w:u w:val="single" w:color="auto"/>
            <w:color w:val="0000EE"/>
          </w:rPr>
          <w:t>Amendment No. 3 to the Registration Statement on Form N-2 (File No. 333-170243), filed on March 29, 2011).</w:t>
        </w:r>
      </w:hyperlink>
    </w:p>
    <w:p>
      <w:pPr>
        <w:spacing w:after="0" w:line="64" w:lineRule="exact"/>
        <w:rPr>
          <w:rFonts w:ascii="Times New Roman" w:cs="Times New Roman" w:eastAsia="Times New Roman" w:hAnsi="Times New Roman"/>
          <w:sz w:val="18"/>
          <w:szCs w:val="18"/>
          <w:u w:val="single" w:color="auto"/>
          <w:color w:val="0000EE"/>
        </w:rPr>
      </w:pPr>
    </w:p>
    <w:p>
      <w:pPr>
        <w:ind w:left="1380" w:right="120" w:hanging="1006"/>
        <w:spacing w:after="0" w:line="268" w:lineRule="auto"/>
        <w:tabs>
          <w:tab w:leader="none" w:pos="1380" w:val="left"/>
        </w:tabs>
        <w:numPr>
          <w:ilvl w:val="0"/>
          <w:numId w:val="53"/>
        </w:numPr>
        <w:rPr>
          <w:rFonts w:ascii="Times New Roman" w:cs="Times New Roman" w:eastAsia="Times New Roman" w:hAnsi="Times New Roman"/>
          <w:sz w:val="18"/>
          <w:szCs w:val="18"/>
          <w:u w:val="single" w:color="auto"/>
          <w:color w:val="0000EE"/>
        </w:rPr>
      </w:pPr>
      <w:hyperlink r:id="rId129">
        <w:r>
          <w:rPr>
            <w:rFonts w:ascii="Times New Roman" w:cs="Times New Roman" w:eastAsia="Times New Roman" w:hAnsi="Times New Roman"/>
            <w:sz w:val="18"/>
            <w:szCs w:val="18"/>
            <w:u w:val="single" w:color="auto"/>
            <w:color w:val="0000EE"/>
          </w:rPr>
          <w:t>Second Amended and Restated Bylaws of the Registrant (Incorporated by reference to Exhibit 3.2 to the Registrant’s Quarterly Report on</w:t>
        </w:r>
      </w:hyperlink>
      <w:r>
        <w:rPr>
          <w:rFonts w:ascii="Times New Roman" w:cs="Times New Roman" w:eastAsia="Times New Roman" w:hAnsi="Times New Roman"/>
          <w:sz w:val="18"/>
          <w:szCs w:val="18"/>
          <w:u w:val="single" w:color="auto"/>
          <w:color w:val="0000EE"/>
        </w:rPr>
        <w:t xml:space="preserve"> </w:t>
      </w:r>
      <w:hyperlink r:id="rId129">
        <w:r>
          <w:rPr>
            <w:rFonts w:ascii="Times New Roman" w:cs="Times New Roman" w:eastAsia="Times New Roman" w:hAnsi="Times New Roman"/>
            <w:sz w:val="18"/>
            <w:szCs w:val="18"/>
            <w:u w:val="single" w:color="auto"/>
            <w:color w:val="0000EE"/>
          </w:rPr>
          <w:t>Form 10-Q (File No. 814-00891), filed on May 11, 2020).</w:t>
        </w:r>
      </w:hyperlink>
    </w:p>
    <w:p>
      <w:pPr>
        <w:spacing w:after="0" w:line="47" w:lineRule="exact"/>
        <w:rPr>
          <w:rFonts w:ascii="Times New Roman" w:cs="Times New Roman" w:eastAsia="Times New Roman" w:hAnsi="Times New Roman"/>
          <w:sz w:val="18"/>
          <w:szCs w:val="18"/>
          <w:color w:val="auto"/>
        </w:rPr>
      </w:pPr>
    </w:p>
    <w:tbl>
      <w:tblPr>
        <w:tblLayout w:type="fixed"/>
        <w:tblInd w:w="38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(d)(1)</w:t>
            </w:r>
          </w:p>
        </w:tc>
        <w:tc>
          <w:tcPr>
            <w:tcW w:w="9720" w:type="dxa"/>
            <w:vAlign w:val="bottom"/>
            <w:gridSpan w:val="19"/>
          </w:tcPr>
          <w:p>
            <w:pPr>
              <w:spacing w:after="0"/>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Form of Share Certificate (Incorporated by reference to Exhibit 99(D) to the Registrant’s Pre-Effective Amendment No. 5 to the</w:t>
              </w:r>
            </w:hyperlink>
          </w:p>
        </w:tc>
      </w:tr>
      <w:tr>
        <w:trPr>
          <w:trHeight w:val="191"/>
        </w:trPr>
        <w:tc>
          <w:tcPr>
            <w:tcW w:w="1000" w:type="dxa"/>
            <w:vAlign w:val="bottom"/>
          </w:tcPr>
          <w:p>
            <w:pPr>
              <w:spacing w:after="0"/>
              <w:rPr>
                <w:sz w:val="16"/>
                <w:szCs w:val="16"/>
                <w:color w:val="auto"/>
              </w:rPr>
            </w:pPr>
          </w:p>
        </w:tc>
        <w:tc>
          <w:tcPr>
            <w:tcW w:w="5900" w:type="dxa"/>
            <w:vAlign w:val="bottom"/>
            <w:tcBorders>
              <w:top w:val="single" w:sz="8" w:color="0000EE"/>
              <w:bottom w:val="single" w:sz="8" w:color="0000EE"/>
            </w:tcBorders>
            <w:gridSpan w:val="6"/>
          </w:tcPr>
          <w:p>
            <w:pPr>
              <w:spacing w:after="0" w:line="190" w:lineRule="exact"/>
              <w:rPr>
                <w:rFonts w:ascii="Times New Roman" w:cs="Times New Roman" w:eastAsia="Times New Roman" w:hAnsi="Times New Roman"/>
                <w:sz w:val="18"/>
                <w:szCs w:val="18"/>
                <w:color w:val="0000EE"/>
                <w:w w:val="97"/>
              </w:rPr>
            </w:pPr>
            <w:hyperlink r:id="rId130">
              <w:r>
                <w:rPr>
                  <w:rFonts w:ascii="Times New Roman" w:cs="Times New Roman" w:eastAsia="Times New Roman" w:hAnsi="Times New Roman"/>
                  <w:sz w:val="18"/>
                  <w:szCs w:val="18"/>
                  <w:color w:val="0000EE"/>
                  <w:w w:val="97"/>
                </w:rPr>
                <w:t>Registration Statement on Form N-2 (File No. 333-170243), filed on April 5, 2011).</w:t>
              </w:r>
            </w:hyperlink>
          </w:p>
        </w:tc>
        <w:tc>
          <w:tcPr>
            <w:tcW w:w="3080" w:type="dxa"/>
            <w:vAlign w:val="bottom"/>
            <w:tcBorders>
              <w:top w:val="single" w:sz="8" w:color="0000EE"/>
            </w:tcBorders>
            <w:gridSpan w:val="3"/>
          </w:tcPr>
          <w:p>
            <w:pPr>
              <w:spacing w:after="0"/>
              <w:rPr>
                <w:sz w:val="16"/>
                <w:szCs w:val="16"/>
                <w:color w:val="auto"/>
              </w:rPr>
            </w:pPr>
          </w:p>
        </w:tc>
        <w:tc>
          <w:tcPr>
            <w:tcW w:w="740" w:type="dxa"/>
            <w:vAlign w:val="bottom"/>
            <w:gridSpan w:val="10"/>
          </w:tcPr>
          <w:p>
            <w:pPr>
              <w:spacing w:after="0"/>
              <w:rPr>
                <w:sz w:val="16"/>
                <w:szCs w:val="16"/>
                <w:color w:val="auto"/>
              </w:rPr>
            </w:pPr>
          </w:p>
        </w:tc>
      </w:tr>
      <w:tr>
        <w:trPr>
          <w:trHeight w:val="29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(d)(2)</w:t>
            </w:r>
          </w:p>
        </w:tc>
        <w:tc>
          <w:tcPr>
            <w:tcW w:w="95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7"/>
              </w:rPr>
            </w:pPr>
            <w:hyperlink r:id="rId131">
              <w:r>
                <w:rPr>
                  <w:rFonts w:ascii="Times New Roman" w:cs="Times New Roman" w:eastAsia="Times New Roman" w:hAnsi="Times New Roman"/>
                  <w:sz w:val="18"/>
                  <w:szCs w:val="18"/>
                  <w:color w:val="0000EE"/>
                  <w:w w:val="97"/>
                </w:rPr>
                <w:t>Form of Subscription Certificate (Incorporated by reference to Exhibit 99(D)(2) to the Registrant’s Registration Statement on Form N-2</w:t>
              </w:r>
            </w:hyperlink>
          </w:p>
        </w:tc>
        <w:tc>
          <w:tcPr>
            <w:tcW w:w="180" w:type="dxa"/>
            <w:vAlign w:val="bottom"/>
            <w:gridSpan w:val="5"/>
          </w:tcPr>
          <w:p>
            <w:pPr>
              <w:spacing w:after="0"/>
              <w:rPr>
                <w:sz w:val="24"/>
                <w:szCs w:val="24"/>
                <w:color w:val="auto"/>
              </w:rPr>
            </w:pPr>
          </w:p>
        </w:tc>
      </w:tr>
      <w:tr>
        <w:trPr>
          <w:trHeight w:val="191"/>
        </w:trPr>
        <w:tc>
          <w:tcPr>
            <w:tcW w:w="1000" w:type="dxa"/>
            <w:vAlign w:val="bottom"/>
          </w:tcPr>
          <w:p>
            <w:pPr>
              <w:spacing w:after="0"/>
              <w:rPr>
                <w:sz w:val="16"/>
                <w:szCs w:val="16"/>
                <w:color w:val="auto"/>
              </w:rPr>
            </w:pPr>
          </w:p>
        </w:tc>
        <w:tc>
          <w:tcPr>
            <w:tcW w:w="9720" w:type="dxa"/>
            <w:vAlign w:val="bottom"/>
            <w:gridSpan w:val="19"/>
          </w:tcPr>
          <w:p>
            <w:pPr>
              <w:spacing w:after="0" w:line="190"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(File No. 333-180084), filed on March 14, 2012).</w:t>
              </w:r>
            </w:hyperlink>
          </w:p>
        </w:tc>
      </w:tr>
      <w:tr>
        <w:trPr>
          <w:trHeight w:val="20"/>
        </w:trPr>
        <w:tc>
          <w:tcPr>
            <w:tcW w:w="100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(d)(3)</w:t>
            </w:r>
          </w:p>
        </w:tc>
        <w:tc>
          <w:tcPr>
            <w:tcW w:w="9720" w:type="dxa"/>
            <w:vAlign w:val="bottom"/>
            <w:gridSpan w:val="19"/>
          </w:tcPr>
          <w:p>
            <w:pPr>
              <w:spacing w:after="0"/>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Form of Indenture (Incorporated by reference to Exhibit 99(D)(3) to the Registrant’s Registration Statement on Form N-2 (File</w:t>
              </w:r>
            </w:hyperlink>
          </w:p>
        </w:tc>
      </w:tr>
      <w:tr>
        <w:trPr>
          <w:trHeight w:val="191"/>
        </w:trPr>
        <w:tc>
          <w:tcPr>
            <w:tcW w:w="1000" w:type="dxa"/>
            <w:vAlign w:val="bottom"/>
          </w:tcPr>
          <w:p>
            <w:pPr>
              <w:spacing w:after="0"/>
              <w:rPr>
                <w:sz w:val="16"/>
                <w:szCs w:val="16"/>
                <w:color w:val="auto"/>
              </w:rPr>
            </w:pPr>
          </w:p>
        </w:tc>
        <w:tc>
          <w:tcPr>
            <w:tcW w:w="3100" w:type="dxa"/>
            <w:vAlign w:val="bottom"/>
            <w:tcBorders>
              <w:top w:val="single" w:sz="8" w:color="0000EE"/>
              <w:bottom w:val="single" w:sz="8" w:color="0000EE"/>
            </w:tcBorders>
            <w:gridSpan w:val="2"/>
          </w:tcPr>
          <w:p>
            <w:pPr>
              <w:spacing w:after="0" w:line="190" w:lineRule="exact"/>
              <w:rPr>
                <w:rFonts w:ascii="Times New Roman" w:cs="Times New Roman" w:eastAsia="Times New Roman" w:hAnsi="Times New Roman"/>
                <w:sz w:val="18"/>
                <w:szCs w:val="18"/>
                <w:color w:val="0000EE"/>
                <w:w w:val="96"/>
              </w:rPr>
            </w:pPr>
            <w:hyperlink r:id="rId132">
              <w:r>
                <w:rPr>
                  <w:rFonts w:ascii="Times New Roman" w:cs="Times New Roman" w:eastAsia="Times New Roman" w:hAnsi="Times New Roman"/>
                  <w:sz w:val="18"/>
                  <w:szCs w:val="18"/>
                  <w:color w:val="0000EE"/>
                  <w:w w:val="96"/>
                </w:rPr>
                <w:t>No. 333-180084), filed on March 14, 2012).</w:t>
              </w:r>
            </w:hyperlink>
          </w:p>
        </w:tc>
        <w:tc>
          <w:tcPr>
            <w:tcW w:w="5800" w:type="dxa"/>
            <w:vAlign w:val="bottom"/>
            <w:tcBorders>
              <w:top w:val="single" w:sz="8" w:color="0000EE"/>
            </w:tcBorders>
            <w:gridSpan w:val="6"/>
          </w:tcPr>
          <w:p>
            <w:pPr>
              <w:spacing w:after="0"/>
              <w:rPr>
                <w:sz w:val="16"/>
                <w:szCs w:val="16"/>
                <w:color w:val="auto"/>
              </w:rPr>
            </w:pPr>
          </w:p>
        </w:tc>
        <w:tc>
          <w:tcPr>
            <w:tcW w:w="820" w:type="dxa"/>
            <w:vAlign w:val="bottom"/>
            <w:gridSpan w:val="11"/>
          </w:tcPr>
          <w:p>
            <w:pPr>
              <w:spacing w:after="0"/>
              <w:rPr>
                <w:sz w:val="16"/>
                <w:szCs w:val="16"/>
                <w:color w:val="auto"/>
              </w:rPr>
            </w:pPr>
          </w:p>
        </w:tc>
      </w:tr>
      <w:tr>
        <w:trPr>
          <w:trHeight w:val="29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(d)(4)</w:t>
            </w:r>
          </w:p>
        </w:tc>
        <w:tc>
          <w:tcPr>
            <w:tcW w:w="972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7"/>
              </w:rPr>
            </w:pPr>
            <w:hyperlink r:id="rId133">
              <w:r>
                <w:rPr>
                  <w:rFonts w:ascii="Times New Roman" w:cs="Times New Roman" w:eastAsia="Times New Roman" w:hAnsi="Times New Roman"/>
                  <w:sz w:val="18"/>
                  <w:szCs w:val="18"/>
                  <w:color w:val="0000EE"/>
                  <w:w w:val="97"/>
                </w:rPr>
                <w:t>Form of Subscription Agent Agreement (Incorporated by reference to Exhibit 99(D)(4) to the Registrant’s Registration Statement on Form</w:t>
              </w:r>
            </w:hyperlink>
          </w:p>
        </w:tc>
      </w:tr>
      <w:tr>
        <w:trPr>
          <w:trHeight w:val="191"/>
        </w:trPr>
        <w:tc>
          <w:tcPr>
            <w:tcW w:w="1000" w:type="dxa"/>
            <w:vAlign w:val="bottom"/>
          </w:tcPr>
          <w:p>
            <w:pPr>
              <w:spacing w:after="0"/>
              <w:rPr>
                <w:sz w:val="16"/>
                <w:szCs w:val="16"/>
                <w:color w:val="auto"/>
              </w:rPr>
            </w:pPr>
          </w:p>
        </w:tc>
        <w:tc>
          <w:tcPr>
            <w:tcW w:w="9720" w:type="dxa"/>
            <w:vAlign w:val="bottom"/>
            <w:gridSpan w:val="19"/>
          </w:tcPr>
          <w:p>
            <w:pPr>
              <w:spacing w:after="0" w:line="190"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N-2 (File No. 333-180084), filed on March 14, 2012).</w:t>
              </w:r>
            </w:hyperlink>
          </w:p>
        </w:tc>
      </w:tr>
      <w:tr>
        <w:trPr>
          <w:trHeight w:val="20"/>
        </w:trPr>
        <w:tc>
          <w:tcPr>
            <w:tcW w:w="100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(d)(5)</w:t>
            </w:r>
          </w:p>
        </w:tc>
        <w:tc>
          <w:tcPr>
            <w:tcW w:w="96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6"/>
              </w:rPr>
            </w:pPr>
            <w:hyperlink r:id="rId134">
              <w:r>
                <w:rPr>
                  <w:rFonts w:ascii="Times New Roman" w:cs="Times New Roman" w:eastAsia="Times New Roman" w:hAnsi="Times New Roman"/>
                  <w:sz w:val="18"/>
                  <w:szCs w:val="18"/>
                  <w:color w:val="0000EE"/>
                  <w:w w:val="96"/>
                </w:rPr>
                <w:t>Form of Warrant Agreement (Incorporated by reference to Exhibit 99(D)(5) to the Registrant’s Registration Statement on Form N-2 (File</w:t>
              </w:r>
            </w:hyperlink>
          </w:p>
        </w:tc>
        <w:tc>
          <w:tcPr>
            <w:tcW w:w="100" w:type="dxa"/>
            <w:vAlign w:val="bottom"/>
            <w:gridSpan w:val="4"/>
          </w:tcPr>
          <w:p>
            <w:pPr>
              <w:spacing w:after="0"/>
              <w:rPr>
                <w:sz w:val="24"/>
                <w:szCs w:val="24"/>
                <w:color w:val="auto"/>
              </w:rPr>
            </w:pPr>
          </w:p>
        </w:tc>
      </w:tr>
      <w:tr>
        <w:trPr>
          <w:trHeight w:val="191"/>
        </w:trPr>
        <w:tc>
          <w:tcPr>
            <w:tcW w:w="1000" w:type="dxa"/>
            <w:vAlign w:val="bottom"/>
          </w:tcPr>
          <w:p>
            <w:pPr>
              <w:spacing w:after="0"/>
              <w:rPr>
                <w:sz w:val="16"/>
                <w:szCs w:val="16"/>
                <w:color w:val="auto"/>
              </w:rPr>
            </w:pPr>
          </w:p>
        </w:tc>
        <w:tc>
          <w:tcPr>
            <w:tcW w:w="3100" w:type="dxa"/>
            <w:vAlign w:val="bottom"/>
            <w:tcBorders>
              <w:bottom w:val="single" w:sz="8" w:color="0000EE"/>
            </w:tcBorders>
            <w:gridSpan w:val="2"/>
          </w:tcPr>
          <w:p>
            <w:pPr>
              <w:spacing w:after="0" w:line="190" w:lineRule="exact"/>
              <w:rPr>
                <w:rFonts w:ascii="Times New Roman" w:cs="Times New Roman" w:eastAsia="Times New Roman" w:hAnsi="Times New Roman"/>
                <w:sz w:val="18"/>
                <w:szCs w:val="18"/>
                <w:color w:val="0000EE"/>
                <w:w w:val="96"/>
              </w:rPr>
            </w:pPr>
            <w:hyperlink r:id="rId134">
              <w:r>
                <w:rPr>
                  <w:rFonts w:ascii="Times New Roman" w:cs="Times New Roman" w:eastAsia="Times New Roman" w:hAnsi="Times New Roman"/>
                  <w:sz w:val="18"/>
                  <w:szCs w:val="18"/>
                  <w:color w:val="0000EE"/>
                  <w:w w:val="96"/>
                </w:rPr>
                <w:t>No. 333-180084), filed on March 14, 2012).</w:t>
              </w:r>
            </w:hyperlink>
          </w:p>
        </w:tc>
        <w:tc>
          <w:tcPr>
            <w:tcW w:w="6620" w:type="dxa"/>
            <w:vAlign w:val="bottom"/>
            <w:gridSpan w:val="17"/>
          </w:tcPr>
          <w:p>
            <w:pPr>
              <w:spacing w:after="0"/>
              <w:rPr>
                <w:sz w:val="16"/>
                <w:szCs w:val="16"/>
                <w:color w:val="auto"/>
              </w:rPr>
            </w:pPr>
          </w:p>
        </w:tc>
      </w:tr>
      <w:tr>
        <w:trPr>
          <w:trHeight w:val="29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(d)(6)</w:t>
            </w:r>
          </w:p>
        </w:tc>
        <w:tc>
          <w:tcPr>
            <w:tcW w:w="94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6"/>
              </w:rPr>
            </w:pPr>
            <w:hyperlink r:id="rId135">
              <w:r>
                <w:rPr>
                  <w:rFonts w:ascii="Times New Roman" w:cs="Times New Roman" w:eastAsia="Times New Roman" w:hAnsi="Times New Roman"/>
                  <w:sz w:val="18"/>
                  <w:szCs w:val="18"/>
                  <w:color w:val="0000EE"/>
                  <w:w w:val="96"/>
                </w:rPr>
                <w:t>Form T-1 Statement of Eligibility with respect to the Form of Indenture (Incorporated by reference to Exhibit (d)(6) to the Registrant’s</w:t>
              </w:r>
            </w:hyperlink>
          </w:p>
        </w:tc>
        <w:tc>
          <w:tcPr>
            <w:tcW w:w="280" w:type="dxa"/>
            <w:vAlign w:val="bottom"/>
            <w:gridSpan w:val="8"/>
          </w:tcPr>
          <w:p>
            <w:pPr>
              <w:spacing w:after="0"/>
              <w:rPr>
                <w:sz w:val="24"/>
                <w:szCs w:val="24"/>
                <w:color w:val="auto"/>
              </w:rPr>
            </w:pPr>
          </w:p>
        </w:tc>
      </w:tr>
      <w:tr>
        <w:trPr>
          <w:trHeight w:val="191"/>
        </w:trPr>
        <w:tc>
          <w:tcPr>
            <w:tcW w:w="1000" w:type="dxa"/>
            <w:vAlign w:val="bottom"/>
          </w:tcPr>
          <w:p>
            <w:pPr>
              <w:spacing w:after="0"/>
              <w:rPr>
                <w:sz w:val="16"/>
                <w:szCs w:val="16"/>
                <w:color w:val="auto"/>
              </w:rPr>
            </w:pPr>
          </w:p>
        </w:tc>
        <w:tc>
          <w:tcPr>
            <w:tcW w:w="5940" w:type="dxa"/>
            <w:vAlign w:val="bottom"/>
            <w:tcBorders>
              <w:bottom w:val="single" w:sz="8" w:color="0000EE"/>
            </w:tcBorders>
            <w:gridSpan w:val="7"/>
          </w:tcPr>
          <w:p>
            <w:pPr>
              <w:spacing w:after="0" w:line="190" w:lineRule="exact"/>
              <w:rPr>
                <w:rFonts w:ascii="Times New Roman" w:cs="Times New Roman" w:eastAsia="Times New Roman" w:hAnsi="Times New Roman"/>
                <w:sz w:val="18"/>
                <w:szCs w:val="18"/>
                <w:color w:val="0000EE"/>
                <w:w w:val="97"/>
              </w:rPr>
            </w:pPr>
            <w:hyperlink r:id="rId135">
              <w:r>
                <w:rPr>
                  <w:rFonts w:ascii="Times New Roman" w:cs="Times New Roman" w:eastAsia="Times New Roman" w:hAnsi="Times New Roman"/>
                  <w:sz w:val="18"/>
                  <w:szCs w:val="18"/>
                  <w:color w:val="0000EE"/>
                  <w:w w:val="97"/>
                </w:rPr>
                <w:t>Registration Statement on Form N-2 (File No. 333-279726), filed on May 24, 2024).</w:t>
              </w:r>
            </w:hyperlink>
          </w:p>
        </w:tc>
        <w:tc>
          <w:tcPr>
            <w:tcW w:w="3780" w:type="dxa"/>
            <w:vAlign w:val="bottom"/>
            <w:gridSpan w:val="12"/>
          </w:tcPr>
          <w:p>
            <w:pPr>
              <w:spacing w:after="0"/>
              <w:rPr>
                <w:sz w:val="16"/>
                <w:szCs w:val="16"/>
                <w:color w:val="auto"/>
              </w:rPr>
            </w:pPr>
          </w:p>
        </w:tc>
      </w:tr>
      <w:tr>
        <w:trPr>
          <w:trHeight w:val="29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(d)(7)</w:t>
            </w:r>
          </w:p>
        </w:tc>
        <w:tc>
          <w:tcPr>
            <w:tcW w:w="95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7"/>
              </w:rPr>
            </w:pPr>
            <w:hyperlink r:id="rId136">
              <w:r>
                <w:rPr>
                  <w:rFonts w:ascii="Times New Roman" w:cs="Times New Roman" w:eastAsia="Times New Roman" w:hAnsi="Times New Roman"/>
                  <w:sz w:val="18"/>
                  <w:szCs w:val="18"/>
                  <w:color w:val="0000EE"/>
                  <w:w w:val="97"/>
                </w:rPr>
                <w:t>Form of Articles Supplementary (Incorporated by reference to Exhibit 99(D)(7) to the Registrant’s Registration Statement on Form N-2</w:t>
              </w:r>
            </w:hyperlink>
          </w:p>
        </w:tc>
        <w:tc>
          <w:tcPr>
            <w:tcW w:w="200" w:type="dxa"/>
            <w:vAlign w:val="bottom"/>
            <w:gridSpan w:val="6"/>
          </w:tcPr>
          <w:p>
            <w:pPr>
              <w:spacing w:after="0"/>
              <w:rPr>
                <w:sz w:val="24"/>
                <w:szCs w:val="24"/>
                <w:color w:val="auto"/>
              </w:rPr>
            </w:pPr>
          </w:p>
        </w:tc>
      </w:tr>
      <w:tr>
        <w:trPr>
          <w:trHeight w:val="191"/>
        </w:trPr>
        <w:tc>
          <w:tcPr>
            <w:tcW w:w="1000" w:type="dxa"/>
            <w:vAlign w:val="bottom"/>
          </w:tcPr>
          <w:p>
            <w:pPr>
              <w:spacing w:after="0"/>
              <w:rPr>
                <w:sz w:val="16"/>
                <w:szCs w:val="16"/>
                <w:color w:val="auto"/>
              </w:rPr>
            </w:pPr>
          </w:p>
        </w:tc>
        <w:tc>
          <w:tcPr>
            <w:tcW w:w="9720" w:type="dxa"/>
            <w:vAlign w:val="bottom"/>
            <w:gridSpan w:val="19"/>
          </w:tcPr>
          <w:p>
            <w:pPr>
              <w:spacing w:after="0" w:line="190"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(File No. 333-180084), filed on March 14, 2012).</w:t>
              </w:r>
            </w:hyperlink>
          </w:p>
        </w:tc>
      </w:tr>
      <w:tr>
        <w:trPr>
          <w:trHeight w:val="20"/>
        </w:trPr>
        <w:tc>
          <w:tcPr>
            <w:tcW w:w="100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426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(d)(8)</w:t>
            </w:r>
          </w:p>
        </w:tc>
        <w:tc>
          <w:tcPr>
            <w:tcW w:w="9720" w:type="dxa"/>
            <w:vAlign w:val="bottom"/>
            <w:gridSpan w:val="19"/>
          </w:tcPr>
          <w:p>
            <w:pPr>
              <w:spacing w:after="0"/>
              <w:rPr>
                <w:rFonts w:ascii="Times New Roman" w:cs="Times New Roman" w:eastAsia="Times New Roman" w:hAnsi="Times New Roman"/>
                <w:sz w:val="18"/>
                <w:szCs w:val="18"/>
                <w:color w:val="0000EE"/>
                <w:w w:val="97"/>
              </w:rPr>
            </w:pPr>
            <w:hyperlink r:id="rId137">
              <w:r>
                <w:rPr>
                  <w:rFonts w:ascii="Times New Roman" w:cs="Times New Roman" w:eastAsia="Times New Roman" w:hAnsi="Times New Roman"/>
                  <w:sz w:val="18"/>
                  <w:szCs w:val="18"/>
                  <w:color w:val="0000EE"/>
                  <w:w w:val="97"/>
                </w:rPr>
                <w:t>Indenture, dated as of September 19, 2019, by and among PennantPark CLO I, Ltd., as issuer, PennantPark CLO I, LLC, as co-issuer, and</w:t>
              </w:r>
            </w:hyperlink>
          </w:p>
        </w:tc>
      </w:tr>
      <w:tr>
        <w:trPr>
          <w:trHeight w:val="191"/>
        </w:trPr>
        <w:tc>
          <w:tcPr>
            <w:tcW w:w="1000" w:type="dxa"/>
            <w:vAlign w:val="bottom"/>
          </w:tcPr>
          <w:p>
            <w:pPr>
              <w:spacing w:after="0"/>
              <w:rPr>
                <w:sz w:val="16"/>
                <w:szCs w:val="16"/>
                <w:color w:val="auto"/>
              </w:rPr>
            </w:pPr>
          </w:p>
        </w:tc>
        <w:tc>
          <w:tcPr>
            <w:tcW w:w="9500" w:type="dxa"/>
            <w:vAlign w:val="bottom"/>
            <w:tcBorders>
              <w:top w:val="single" w:sz="8" w:color="0000EE"/>
              <w:bottom w:val="single" w:sz="8" w:color="0000EE"/>
            </w:tcBorders>
            <w:gridSpan w:val="12"/>
          </w:tcPr>
          <w:p>
            <w:pPr>
              <w:spacing w:after="0" w:line="190" w:lineRule="exact"/>
              <w:rPr>
                <w:rFonts w:ascii="Times New Roman" w:cs="Times New Roman" w:eastAsia="Times New Roman" w:hAnsi="Times New Roman"/>
                <w:sz w:val="18"/>
                <w:szCs w:val="18"/>
                <w:color w:val="0000EE"/>
                <w:w w:val="97"/>
              </w:rPr>
            </w:pPr>
            <w:hyperlink r:id="rId137">
              <w:r>
                <w:rPr>
                  <w:rFonts w:ascii="Times New Roman" w:cs="Times New Roman" w:eastAsia="Times New Roman" w:hAnsi="Times New Roman"/>
                  <w:sz w:val="18"/>
                  <w:szCs w:val="18"/>
                  <w:color w:val="0000EE"/>
                  <w:w w:val="97"/>
                </w:rPr>
                <w:t>U.S. Bank National Association, as trustee and as collateral agent (Incorporated by reference to Exhibit 99.2 to the Registrant’s Current</w:t>
              </w:r>
            </w:hyperlink>
          </w:p>
        </w:tc>
        <w:tc>
          <w:tcPr>
            <w:tcW w:w="160" w:type="dxa"/>
            <w:vAlign w:val="bottom"/>
            <w:tcBorders>
              <w:top w:val="single" w:sz="8" w:color="0000EE"/>
            </w:tcBorders>
            <w:gridSpan w:val="4"/>
          </w:tcPr>
          <w:p>
            <w:pPr>
              <w:spacing w:after="0"/>
              <w:rPr>
                <w:sz w:val="16"/>
                <w:szCs w:val="16"/>
                <w:color w:val="auto"/>
              </w:rPr>
            </w:pPr>
          </w:p>
        </w:tc>
        <w:tc>
          <w:tcPr>
            <w:tcW w:w="60" w:type="dxa"/>
            <w:vAlign w:val="bottom"/>
            <w:gridSpan w:val="3"/>
          </w:tcPr>
          <w:p>
            <w:pPr>
              <w:spacing w:after="0"/>
              <w:rPr>
                <w:sz w:val="16"/>
                <w:szCs w:val="16"/>
                <w:color w:val="auto"/>
              </w:rPr>
            </w:pPr>
          </w:p>
        </w:tc>
      </w:tr>
      <w:tr>
        <w:trPr>
          <w:trHeight w:val="191"/>
        </w:trPr>
        <w:tc>
          <w:tcPr>
            <w:tcW w:w="1000" w:type="dxa"/>
            <w:vAlign w:val="bottom"/>
          </w:tcPr>
          <w:p>
            <w:pPr>
              <w:spacing w:after="0"/>
              <w:rPr>
                <w:sz w:val="16"/>
                <w:szCs w:val="16"/>
                <w:color w:val="auto"/>
              </w:rPr>
            </w:pPr>
          </w:p>
        </w:tc>
        <w:tc>
          <w:tcPr>
            <w:tcW w:w="5160" w:type="dxa"/>
            <w:vAlign w:val="bottom"/>
            <w:tcBorders>
              <w:bottom w:val="single" w:sz="8" w:color="0000EE"/>
            </w:tcBorders>
            <w:gridSpan w:val="5"/>
          </w:tcPr>
          <w:p>
            <w:pPr>
              <w:spacing w:after="0" w:line="190" w:lineRule="exact"/>
              <w:rPr>
                <w:rFonts w:ascii="Times New Roman" w:cs="Times New Roman" w:eastAsia="Times New Roman" w:hAnsi="Times New Roman"/>
                <w:sz w:val="18"/>
                <w:szCs w:val="18"/>
                <w:color w:val="0000EE"/>
                <w:w w:val="97"/>
              </w:rPr>
            </w:pPr>
            <w:hyperlink r:id="rId137">
              <w:r>
                <w:rPr>
                  <w:rFonts w:ascii="Times New Roman" w:cs="Times New Roman" w:eastAsia="Times New Roman" w:hAnsi="Times New Roman"/>
                  <w:sz w:val="18"/>
                  <w:szCs w:val="18"/>
                  <w:color w:val="0000EE"/>
                  <w:w w:val="97"/>
                </w:rPr>
                <w:t>Report on Form 8-K (File No. 814-00891), filed on September 20, 2019).</w:t>
              </w:r>
            </w:hyperlink>
          </w:p>
        </w:tc>
        <w:tc>
          <w:tcPr>
            <w:tcW w:w="4560" w:type="dxa"/>
            <w:vAlign w:val="bottom"/>
            <w:gridSpan w:val="14"/>
          </w:tcPr>
          <w:p>
            <w:pPr>
              <w:spacing w:after="0"/>
              <w:rPr>
                <w:sz w:val="16"/>
                <w:szCs w:val="16"/>
                <w:color w:val="auto"/>
              </w:rPr>
            </w:pPr>
          </w:p>
        </w:tc>
      </w:tr>
      <w:tr>
        <w:trPr>
          <w:trHeight w:val="29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(d)(9)</w:t>
            </w:r>
          </w:p>
        </w:tc>
        <w:tc>
          <w:tcPr>
            <w:tcW w:w="94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6"/>
              </w:rPr>
            </w:pPr>
            <w:hyperlink r:id="rId138">
              <w:r>
                <w:rPr>
                  <w:rFonts w:ascii="Times New Roman" w:cs="Times New Roman" w:eastAsia="Times New Roman" w:hAnsi="Times New Roman"/>
                  <w:sz w:val="18"/>
                  <w:szCs w:val="18"/>
                  <w:color w:val="0000EE"/>
                  <w:w w:val="96"/>
                </w:rPr>
                <w:t>Indenture, dated as of March 23, 2021, by and between the Company and American Stock Transfer &amp; Trust Company, LLC, as trustee</w:t>
              </w:r>
            </w:hyperlink>
          </w:p>
        </w:tc>
        <w:tc>
          <w:tcPr>
            <w:tcW w:w="300" w:type="dxa"/>
            <w:vAlign w:val="bottom"/>
            <w:gridSpan w:val="9"/>
          </w:tcPr>
          <w:p>
            <w:pPr>
              <w:spacing w:after="0"/>
              <w:rPr>
                <w:sz w:val="24"/>
                <w:szCs w:val="24"/>
                <w:color w:val="auto"/>
              </w:rPr>
            </w:pPr>
          </w:p>
        </w:tc>
      </w:tr>
      <w:tr>
        <w:trPr>
          <w:trHeight w:val="191"/>
        </w:trPr>
        <w:tc>
          <w:tcPr>
            <w:tcW w:w="1000" w:type="dxa"/>
            <w:vAlign w:val="bottom"/>
          </w:tcPr>
          <w:p>
            <w:pPr>
              <w:spacing w:after="0"/>
              <w:rPr>
                <w:sz w:val="16"/>
                <w:szCs w:val="16"/>
                <w:color w:val="auto"/>
              </w:rPr>
            </w:pPr>
          </w:p>
        </w:tc>
        <w:tc>
          <w:tcPr>
            <w:tcW w:w="9700" w:type="dxa"/>
            <w:vAlign w:val="bottom"/>
            <w:tcBorders>
              <w:bottom w:val="single" w:sz="8" w:color="0000EE"/>
            </w:tcBorders>
            <w:gridSpan w:val="18"/>
          </w:tcPr>
          <w:p>
            <w:pPr>
              <w:spacing w:after="0" w:line="190" w:lineRule="exact"/>
              <w:rPr>
                <w:rFonts w:ascii="Times New Roman" w:cs="Times New Roman" w:eastAsia="Times New Roman" w:hAnsi="Times New Roman"/>
                <w:sz w:val="18"/>
                <w:szCs w:val="18"/>
                <w:color w:val="0000EE"/>
                <w:w w:val="97"/>
              </w:rPr>
            </w:pPr>
            <w:hyperlink r:id="rId138">
              <w:r>
                <w:rPr>
                  <w:rFonts w:ascii="Times New Roman" w:cs="Times New Roman" w:eastAsia="Times New Roman" w:hAnsi="Times New Roman"/>
                  <w:sz w:val="18"/>
                  <w:szCs w:val="18"/>
                  <w:color w:val="0000EE"/>
                  <w:w w:val="97"/>
                </w:rPr>
                <w:t>(Incorporated by reference to Exhibit 4.1 to the Registrant’s Current Report on Form 8-K (File No. 814-00891), filed on March 23, 2021).</w:t>
              </w:r>
            </w:hyperlink>
          </w:p>
        </w:tc>
        <w:tc>
          <w:tcPr>
            <w:tcW w:w="20" w:type="dxa"/>
            <w:vAlign w:val="bottom"/>
          </w:tcPr>
          <w:p>
            <w:pPr>
              <w:spacing w:after="0"/>
              <w:rPr>
                <w:sz w:val="16"/>
                <w:szCs w:val="16"/>
                <w:color w:val="auto"/>
              </w:rPr>
            </w:pPr>
          </w:p>
        </w:tc>
      </w:tr>
      <w:tr>
        <w:trPr>
          <w:trHeight w:val="29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(d)(10)</w:t>
            </w:r>
          </w:p>
        </w:tc>
        <w:tc>
          <w:tcPr>
            <w:tcW w:w="96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6"/>
              </w:rPr>
            </w:pPr>
            <w:hyperlink r:id="rId139">
              <w:r>
                <w:rPr>
                  <w:rFonts w:ascii="Times New Roman" w:cs="Times New Roman" w:eastAsia="Times New Roman" w:hAnsi="Times New Roman"/>
                  <w:sz w:val="18"/>
                  <w:szCs w:val="18"/>
                  <w:color w:val="0000EE"/>
                  <w:w w:val="96"/>
                </w:rPr>
                <w:t>First Supplemental Indenture, dated as of March 23, 2021, by and between the Company and American Stock Transfer &amp; Trust Company,</w:t>
              </w:r>
            </w:hyperlink>
          </w:p>
        </w:tc>
        <w:tc>
          <w:tcPr>
            <w:tcW w:w="40" w:type="dxa"/>
            <w:vAlign w:val="bottom"/>
            <w:gridSpan w:val="2"/>
          </w:tcPr>
          <w:p>
            <w:pPr>
              <w:spacing w:after="0"/>
              <w:rPr>
                <w:sz w:val="24"/>
                <w:szCs w:val="24"/>
                <w:color w:val="auto"/>
              </w:rPr>
            </w:pPr>
          </w:p>
        </w:tc>
      </w:tr>
      <w:tr>
        <w:trPr>
          <w:trHeight w:val="191"/>
        </w:trPr>
        <w:tc>
          <w:tcPr>
            <w:tcW w:w="1000" w:type="dxa"/>
            <w:vAlign w:val="bottom"/>
          </w:tcPr>
          <w:p>
            <w:pPr>
              <w:spacing w:after="0"/>
              <w:rPr>
                <w:sz w:val="16"/>
                <w:szCs w:val="16"/>
                <w:color w:val="auto"/>
              </w:rPr>
            </w:pPr>
          </w:p>
        </w:tc>
        <w:tc>
          <w:tcPr>
            <w:tcW w:w="9540" w:type="dxa"/>
            <w:vAlign w:val="bottom"/>
            <w:tcBorders>
              <w:bottom w:val="single" w:sz="8" w:color="0000EE"/>
            </w:tcBorders>
            <w:gridSpan w:val="14"/>
          </w:tcPr>
          <w:p>
            <w:pPr>
              <w:spacing w:after="0" w:line="190" w:lineRule="exact"/>
              <w:rPr>
                <w:rFonts w:ascii="Times New Roman" w:cs="Times New Roman" w:eastAsia="Times New Roman" w:hAnsi="Times New Roman"/>
                <w:sz w:val="18"/>
                <w:szCs w:val="18"/>
                <w:color w:val="0000EE"/>
                <w:w w:val="97"/>
              </w:rPr>
            </w:pPr>
            <w:hyperlink r:id="rId139">
              <w:r>
                <w:rPr>
                  <w:rFonts w:ascii="Times New Roman" w:cs="Times New Roman" w:eastAsia="Times New Roman" w:hAnsi="Times New Roman"/>
                  <w:sz w:val="18"/>
                  <w:szCs w:val="18"/>
                  <w:color w:val="0000EE"/>
                  <w:w w:val="97"/>
                </w:rPr>
                <w:t>LLC, as trustee (Incorporated by reference to Exhibit 4.2 to the Registrant’s Current Report on Form 8-K (File No. 814-00891), filed on</w:t>
              </w:r>
            </w:hyperlink>
          </w:p>
        </w:tc>
        <w:tc>
          <w:tcPr>
            <w:tcW w:w="180" w:type="dxa"/>
            <w:vAlign w:val="bottom"/>
            <w:gridSpan w:val="5"/>
          </w:tcPr>
          <w:p>
            <w:pPr>
              <w:spacing w:after="0"/>
              <w:rPr>
                <w:sz w:val="16"/>
                <w:szCs w:val="16"/>
                <w:color w:val="auto"/>
              </w:rPr>
            </w:pPr>
          </w:p>
        </w:tc>
      </w:tr>
      <w:tr>
        <w:trPr>
          <w:trHeight w:val="191"/>
        </w:trPr>
        <w:tc>
          <w:tcPr>
            <w:tcW w:w="1000" w:type="dxa"/>
            <w:vAlign w:val="bottom"/>
          </w:tcPr>
          <w:p>
            <w:pPr>
              <w:spacing w:after="0"/>
              <w:rPr>
                <w:sz w:val="16"/>
                <w:szCs w:val="16"/>
                <w:color w:val="auto"/>
              </w:rPr>
            </w:pPr>
          </w:p>
        </w:tc>
        <w:tc>
          <w:tcPr>
            <w:tcW w:w="1220" w:type="dxa"/>
            <w:vAlign w:val="bottom"/>
            <w:tcBorders>
              <w:bottom w:val="single" w:sz="8" w:color="0000EE"/>
            </w:tcBorders>
          </w:tcPr>
          <w:p>
            <w:pPr>
              <w:spacing w:after="0" w:line="190" w:lineRule="exact"/>
              <w:rPr>
                <w:rFonts w:ascii="Times New Roman" w:cs="Times New Roman" w:eastAsia="Times New Roman" w:hAnsi="Times New Roman"/>
                <w:sz w:val="18"/>
                <w:szCs w:val="18"/>
                <w:color w:val="0000EE"/>
                <w:w w:val="95"/>
              </w:rPr>
            </w:pPr>
            <w:hyperlink r:id="rId139">
              <w:r>
                <w:rPr>
                  <w:rFonts w:ascii="Times New Roman" w:cs="Times New Roman" w:eastAsia="Times New Roman" w:hAnsi="Times New Roman"/>
                  <w:sz w:val="18"/>
                  <w:szCs w:val="18"/>
                  <w:color w:val="0000EE"/>
                  <w:w w:val="95"/>
                </w:rPr>
                <w:t>March 23, 2021).</w:t>
              </w:r>
            </w:hyperlink>
          </w:p>
        </w:tc>
        <w:tc>
          <w:tcPr>
            <w:tcW w:w="8500" w:type="dxa"/>
            <w:vAlign w:val="bottom"/>
            <w:gridSpan w:val="18"/>
          </w:tcPr>
          <w:p>
            <w:pPr>
              <w:spacing w:after="0"/>
              <w:rPr>
                <w:sz w:val="16"/>
                <w:szCs w:val="16"/>
                <w:color w:val="auto"/>
              </w:rPr>
            </w:pPr>
          </w:p>
        </w:tc>
      </w:tr>
      <w:tr>
        <w:trPr>
          <w:trHeight w:val="387"/>
        </w:trPr>
        <w:tc>
          <w:tcPr>
            <w:tcW w:w="1000" w:type="dxa"/>
            <w:vAlign w:val="bottom"/>
          </w:tcPr>
          <w:p>
            <w:pPr>
              <w:spacing w:after="0"/>
              <w:rPr>
                <w:sz w:val="24"/>
                <w:szCs w:val="24"/>
                <w:color w:val="auto"/>
              </w:rPr>
            </w:pPr>
          </w:p>
        </w:tc>
        <w:tc>
          <w:tcPr>
            <w:tcW w:w="5160" w:type="dxa"/>
            <w:vAlign w:val="bottom"/>
            <w:gridSpan w:val="5"/>
          </w:tcPr>
          <w:p>
            <w:pPr>
              <w:ind w:left="4160"/>
              <w:spacing w:after="0"/>
              <w:rPr>
                <w:sz w:val="20"/>
                <w:szCs w:val="20"/>
                <w:color w:val="auto"/>
              </w:rPr>
            </w:pPr>
            <w:r>
              <w:rPr>
                <w:rFonts w:ascii="Times New Roman" w:cs="Times New Roman" w:eastAsia="Times New Roman" w:hAnsi="Times New Roman"/>
                <w:sz w:val="18"/>
                <w:szCs w:val="18"/>
                <w:color w:val="auto"/>
              </w:rPr>
              <w:t>86</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160"/>
          </w:cols>
          <w:pgMar w:left="320" w:top="290" w:right="419" w:bottom="1440" w:gutter="0" w:footer="0" w:header="0"/>
        </w:sectPr>
      </w:pPr>
    </w:p>
    <w:bookmarkStart w:id="89" w:name="page90"/>
    <w:bookmarkEnd w:id="89"/>
    <w:p>
      <w:pPr>
        <w:ind w:left="6"/>
        <w:spacing w:after="0"/>
        <w:tabs>
          <w:tab w:leader="none" w:pos="986"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0">
                      <a:extLst>
                        <a:ext uri="{28A0092B-C50C-407E-A947-70E740481C1C}"/>
                      </a:extLst>
                    </a:blip>
                    <a:srcRect/>
                    <a:stretch>
                      <a:fillRect/>
                    </a:stretch>
                  </pic:blipFill>
                  <pic:spPr bwMode="auto">
                    <a:xfrm>
                      <a:off x="0" y="0"/>
                      <a:ext cx="7178040" cy="54610"/>
                    </a:xfrm>
                    <a:prstGeom prst="rect">
                      <a:avLst/>
                    </a:prstGeom>
                    <a:noFill/>
                  </pic:spPr>
                </pic:pic>
              </a:graphicData>
            </a:graphic>
          </wp:anchor>
        </w:drawing>
        <w:t>(d)(11)</w:t>
      </w:r>
      <w:r>
        <w:rPr>
          <w:sz w:val="20"/>
          <w:szCs w:val="20"/>
          <w:color w:val="auto"/>
        </w:rPr>
        <w:tab/>
      </w:r>
      <w:hyperlink r:id="rId139">
        <w:r>
          <w:rPr>
            <w:rFonts w:ascii="Times New Roman" w:cs="Times New Roman" w:eastAsia="Times New Roman" w:hAnsi="Times New Roman"/>
            <w:sz w:val="18"/>
            <w:szCs w:val="18"/>
            <w:u w:val="single" w:color="auto"/>
            <w:color w:val="0000EE"/>
          </w:rPr>
          <w:t>Form of 4.25% Notes due 2026 (Incorporated by reference to Exhibit (d)(10) hereto).</w:t>
        </w:r>
      </w:hyperlink>
    </w:p>
    <w:p>
      <w:pPr>
        <w:spacing w:after="0" w:line="109" w:lineRule="exact"/>
        <w:rPr>
          <w:sz w:val="20"/>
          <w:szCs w:val="20"/>
          <w:color w:val="auto"/>
        </w:rPr>
      </w:pPr>
    </w:p>
    <w:p>
      <w:pPr>
        <w:ind w:left="1006" w:right="120" w:hanging="1006"/>
        <w:spacing w:after="0" w:line="256" w:lineRule="auto"/>
        <w:tabs>
          <w:tab w:leader="none" w:pos="1006" w:val="left"/>
        </w:tabs>
        <w:numPr>
          <w:ilvl w:val="0"/>
          <w:numId w:val="54"/>
        </w:numPr>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u w:val="single" w:color="auto"/>
            <w:color w:val="0000EE"/>
          </w:rPr>
          <w:t>Third Amended and Restated Investment Advisory Agreement, dated as of May 20, 2024, between PennantPark Floating Rate Capital Ltd.</w:t>
        </w:r>
      </w:hyperlink>
      <w:r>
        <w:rPr>
          <w:rFonts w:ascii="Times New Roman" w:cs="Times New Roman" w:eastAsia="Times New Roman" w:hAnsi="Times New Roman"/>
          <w:sz w:val="18"/>
          <w:szCs w:val="18"/>
          <w:u w:val="single" w:color="auto"/>
          <w:color w:val="0000EE"/>
        </w:rPr>
        <w:t xml:space="preserve"> </w:t>
      </w:r>
      <w:hyperlink r:id="rId141">
        <w:r>
          <w:rPr>
            <w:rFonts w:ascii="Times New Roman" w:cs="Times New Roman" w:eastAsia="Times New Roman" w:hAnsi="Times New Roman"/>
            <w:sz w:val="18"/>
            <w:szCs w:val="18"/>
            <w:u w:val="single" w:color="auto"/>
            <w:color w:val="0000EE"/>
          </w:rPr>
          <w:t>and PennantPark Investment Advisers, LLC (Incorporated by reference to Exhibit (g) to the Registrant’s pre-effective amendment to the</w:t>
        </w:r>
      </w:hyperlink>
      <w:r>
        <w:rPr>
          <w:rFonts w:ascii="Times New Roman" w:cs="Times New Roman" w:eastAsia="Times New Roman" w:hAnsi="Times New Roman"/>
          <w:sz w:val="18"/>
          <w:szCs w:val="18"/>
          <w:u w:val="single" w:color="auto"/>
          <w:color w:val="0000EE"/>
        </w:rPr>
        <w:t xml:space="preserve"> </w:t>
      </w:r>
      <w:hyperlink r:id="rId141">
        <w:r>
          <w:rPr>
            <w:rFonts w:ascii="Times New Roman" w:cs="Times New Roman" w:eastAsia="Times New Roman" w:hAnsi="Times New Roman"/>
            <w:sz w:val="18"/>
            <w:szCs w:val="18"/>
            <w:u w:val="single" w:color="auto"/>
            <w:color w:val="0000EE"/>
          </w:rPr>
          <w:t>Registration Statement on Form N-2 (File No. 333-279726) filed on June 21, 2024)</w:t>
        </w:r>
        <w:r>
          <w:rPr>
            <w:rFonts w:ascii="Times New Roman" w:cs="Times New Roman" w:eastAsia="Times New Roman" w:hAnsi="Times New Roman"/>
            <w:sz w:val="18"/>
            <w:szCs w:val="18"/>
            <w:color w:val="000000"/>
          </w:rPr>
          <w:t>.</w:t>
        </w:r>
      </w:hyperlink>
    </w:p>
    <w:p>
      <w:pPr>
        <w:spacing w:after="0" w:line="70" w:lineRule="exact"/>
        <w:rPr>
          <w:rFonts w:ascii="Times New Roman" w:cs="Times New Roman" w:eastAsia="Times New Roman" w:hAnsi="Times New Roman"/>
          <w:sz w:val="18"/>
          <w:szCs w:val="18"/>
          <w:u w:val="single" w:color="auto"/>
          <w:color w:val="0000EE"/>
        </w:rPr>
      </w:pPr>
    </w:p>
    <w:tbl>
      <w:tblPr>
        <w:tblLayout w:type="fixed"/>
        <w:tblInd w:w="6"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(h)(1)</w:t>
            </w:r>
          </w:p>
        </w:tc>
        <w:tc>
          <w:tcPr>
            <w:tcW w:w="96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7"/>
              </w:rPr>
            </w:pPr>
            <w:hyperlink r:id="rId142">
              <w:r>
                <w:rPr>
                  <w:rFonts w:ascii="Times New Roman" w:cs="Times New Roman" w:eastAsia="Times New Roman" w:hAnsi="Times New Roman"/>
                  <w:sz w:val="18"/>
                  <w:szCs w:val="18"/>
                  <w:color w:val="0000EE"/>
                  <w:w w:val="97"/>
                </w:rPr>
                <w:t>Form of Underwriting Agreement for equity (Incorporated by reference to Exhibit 99(H)(1) to the Registrant’s Registration Statement on</w:t>
              </w:r>
            </w:hyperlink>
          </w:p>
        </w:tc>
      </w:tr>
      <w:tr>
        <w:trPr>
          <w:trHeight w:val="191"/>
        </w:trPr>
        <w:tc>
          <w:tcPr>
            <w:tcW w:w="1000" w:type="dxa"/>
            <w:vAlign w:val="bottom"/>
          </w:tcPr>
          <w:p>
            <w:pPr>
              <w:spacing w:after="0"/>
              <w:rPr>
                <w:sz w:val="16"/>
                <w:szCs w:val="16"/>
                <w:color w:val="auto"/>
              </w:rPr>
            </w:pPr>
          </w:p>
        </w:tc>
        <w:tc>
          <w:tcPr>
            <w:tcW w:w="9620" w:type="dxa"/>
            <w:vAlign w:val="bottom"/>
            <w:gridSpan w:val="10"/>
          </w:tcPr>
          <w:p>
            <w:pPr>
              <w:spacing w:after="0" w:line="190"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Form N-2 (File No. 333-180084), filed on March 14, 2012).</w:t>
              </w:r>
            </w:hyperlink>
          </w:p>
        </w:tc>
      </w:tr>
      <w:tr>
        <w:trPr>
          <w:trHeight w:val="20"/>
        </w:trPr>
        <w:tc>
          <w:tcPr>
            <w:tcW w:w="1000" w:type="dxa"/>
            <w:vAlign w:val="bottom"/>
          </w:tcPr>
          <w:p>
            <w:pPr>
              <w:spacing w:after="0" w:line="20" w:lineRule="exact"/>
              <w:rPr>
                <w:sz w:val="1"/>
                <w:szCs w:val="1"/>
                <w:color w:val="auto"/>
              </w:rPr>
            </w:pPr>
          </w:p>
        </w:tc>
        <w:tc>
          <w:tcPr>
            <w:tcW w:w="4200" w:type="dxa"/>
            <w:vAlign w:val="bottom"/>
            <w:shd w:val="clear" w:color="auto" w:fill="0000EE"/>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9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(h)(2)</w:t>
            </w:r>
          </w:p>
        </w:tc>
        <w:tc>
          <w:tcPr>
            <w:tcW w:w="94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7"/>
              </w:rPr>
            </w:pPr>
            <w:hyperlink r:id="rId143">
              <w:r>
                <w:rPr>
                  <w:rFonts w:ascii="Times New Roman" w:cs="Times New Roman" w:eastAsia="Times New Roman" w:hAnsi="Times New Roman"/>
                  <w:sz w:val="18"/>
                  <w:szCs w:val="18"/>
                  <w:color w:val="0000EE"/>
                  <w:w w:val="97"/>
                </w:rPr>
                <w:t>Form of Underwriting Agreement for debt (Incorporated by reference to Exhibit 99(H)(2) to the Registrant’s Registration Statement on</w:t>
              </w:r>
            </w:hyperlink>
          </w:p>
        </w:tc>
        <w:tc>
          <w:tcPr>
            <w:tcW w:w="140" w:type="dxa"/>
            <w:vAlign w:val="bottom"/>
            <w:gridSpan w:val="2"/>
          </w:tcPr>
          <w:p>
            <w:pPr>
              <w:spacing w:after="0"/>
              <w:rPr>
                <w:sz w:val="24"/>
                <w:szCs w:val="24"/>
                <w:color w:val="auto"/>
              </w:rPr>
            </w:pPr>
          </w:p>
        </w:tc>
      </w:tr>
      <w:tr>
        <w:trPr>
          <w:trHeight w:val="191"/>
        </w:trPr>
        <w:tc>
          <w:tcPr>
            <w:tcW w:w="1000" w:type="dxa"/>
            <w:vAlign w:val="bottom"/>
          </w:tcPr>
          <w:p>
            <w:pPr>
              <w:spacing w:after="0"/>
              <w:rPr>
                <w:sz w:val="16"/>
                <w:szCs w:val="16"/>
                <w:color w:val="auto"/>
              </w:rPr>
            </w:pPr>
          </w:p>
        </w:tc>
        <w:tc>
          <w:tcPr>
            <w:tcW w:w="9620" w:type="dxa"/>
            <w:vAlign w:val="bottom"/>
            <w:gridSpan w:val="10"/>
          </w:tcPr>
          <w:p>
            <w:pPr>
              <w:spacing w:after="0" w:line="190"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Form N-2 (File No. 333-180084), filed on March 14, 2012).</w:t>
              </w:r>
            </w:hyperlink>
          </w:p>
        </w:tc>
      </w:tr>
      <w:tr>
        <w:trPr>
          <w:trHeight w:val="20"/>
        </w:trPr>
        <w:tc>
          <w:tcPr>
            <w:tcW w:w="1000" w:type="dxa"/>
            <w:vAlign w:val="bottom"/>
          </w:tcPr>
          <w:p>
            <w:pPr>
              <w:spacing w:after="0" w:line="20" w:lineRule="exact"/>
              <w:rPr>
                <w:sz w:val="1"/>
                <w:szCs w:val="1"/>
                <w:color w:val="auto"/>
              </w:rPr>
            </w:pPr>
          </w:p>
        </w:tc>
        <w:tc>
          <w:tcPr>
            <w:tcW w:w="4200" w:type="dxa"/>
            <w:vAlign w:val="bottom"/>
            <w:shd w:val="clear" w:color="auto" w:fill="0000EE"/>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9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(h)(3)</w:t>
            </w:r>
          </w:p>
        </w:tc>
        <w:tc>
          <w:tcPr>
            <w:tcW w:w="9620" w:type="dxa"/>
            <w:vAlign w:val="bottom"/>
            <w:gridSpan w:val="10"/>
          </w:tcPr>
          <w:p>
            <w:pPr>
              <w:spacing w:after="0"/>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Equity Distribution Agreement, dated as of August 11, 2023, by and among PennantPark Floating Rate Capital, Ltd., PennantPark</w:t>
              </w:r>
            </w:hyperlink>
          </w:p>
        </w:tc>
      </w:tr>
      <w:tr>
        <w:trPr>
          <w:trHeight w:val="191"/>
        </w:trPr>
        <w:tc>
          <w:tcPr>
            <w:tcW w:w="1000" w:type="dxa"/>
            <w:vAlign w:val="bottom"/>
          </w:tcPr>
          <w:p>
            <w:pPr>
              <w:spacing w:after="0"/>
              <w:rPr>
                <w:sz w:val="16"/>
                <w:szCs w:val="16"/>
                <w:color w:val="auto"/>
              </w:rPr>
            </w:pPr>
          </w:p>
        </w:tc>
        <w:tc>
          <w:tcPr>
            <w:tcW w:w="8920" w:type="dxa"/>
            <w:vAlign w:val="bottom"/>
            <w:tcBorders>
              <w:top w:val="single" w:sz="8" w:color="0000EE"/>
              <w:bottom w:val="single" w:sz="8" w:color="0000EE"/>
            </w:tcBorders>
            <w:gridSpan w:val="4"/>
          </w:tcPr>
          <w:p>
            <w:pPr>
              <w:spacing w:after="0" w:line="190" w:lineRule="exact"/>
              <w:rPr>
                <w:rFonts w:ascii="Times New Roman" w:cs="Times New Roman" w:eastAsia="Times New Roman" w:hAnsi="Times New Roman"/>
                <w:sz w:val="18"/>
                <w:szCs w:val="18"/>
                <w:color w:val="0000EE"/>
                <w:w w:val="97"/>
              </w:rPr>
            </w:pPr>
            <w:hyperlink r:id="rId144">
              <w:r>
                <w:rPr>
                  <w:rFonts w:ascii="Times New Roman" w:cs="Times New Roman" w:eastAsia="Times New Roman" w:hAnsi="Times New Roman"/>
                  <w:sz w:val="18"/>
                  <w:szCs w:val="18"/>
                  <w:color w:val="0000EE"/>
                  <w:w w:val="97"/>
                </w:rPr>
                <w:t>Investment Advisers, LLC, PennantPark Investment Administration, LLC and Citizens JMP Securities, LLC, as the sales agent</w:t>
              </w:r>
            </w:hyperlink>
          </w:p>
        </w:tc>
        <w:tc>
          <w:tcPr>
            <w:tcW w:w="200" w:type="dxa"/>
            <w:vAlign w:val="bottom"/>
            <w:tcBorders>
              <w:top w:val="single" w:sz="8" w:color="0000EE"/>
            </w:tcBorders>
          </w:tcPr>
          <w:p>
            <w:pPr>
              <w:spacing w:after="0"/>
              <w:rPr>
                <w:sz w:val="16"/>
                <w:szCs w:val="16"/>
                <w:color w:val="auto"/>
              </w:rPr>
            </w:pPr>
          </w:p>
        </w:tc>
        <w:tc>
          <w:tcPr>
            <w:tcW w:w="500" w:type="dxa"/>
            <w:vAlign w:val="bottom"/>
            <w:gridSpan w:val="5"/>
          </w:tcPr>
          <w:p>
            <w:pPr>
              <w:spacing w:after="0"/>
              <w:rPr>
                <w:sz w:val="16"/>
                <w:szCs w:val="16"/>
                <w:color w:val="auto"/>
              </w:rPr>
            </w:pPr>
          </w:p>
        </w:tc>
      </w:tr>
      <w:tr>
        <w:trPr>
          <w:trHeight w:val="191"/>
        </w:trPr>
        <w:tc>
          <w:tcPr>
            <w:tcW w:w="1000" w:type="dxa"/>
            <w:vAlign w:val="bottom"/>
          </w:tcPr>
          <w:p>
            <w:pPr>
              <w:spacing w:after="0"/>
              <w:rPr>
                <w:sz w:val="16"/>
                <w:szCs w:val="16"/>
                <w:color w:val="auto"/>
              </w:rPr>
            </w:pPr>
          </w:p>
        </w:tc>
        <w:tc>
          <w:tcPr>
            <w:tcW w:w="8400" w:type="dxa"/>
            <w:vAlign w:val="bottom"/>
            <w:tcBorders>
              <w:bottom w:val="single" w:sz="8" w:color="0000EE"/>
            </w:tcBorders>
            <w:gridSpan w:val="3"/>
          </w:tcPr>
          <w:p>
            <w:pPr>
              <w:spacing w:after="0" w:line="190" w:lineRule="exact"/>
              <w:rPr>
                <w:rFonts w:ascii="Times New Roman" w:cs="Times New Roman" w:eastAsia="Times New Roman" w:hAnsi="Times New Roman"/>
                <w:sz w:val="18"/>
                <w:szCs w:val="18"/>
                <w:color w:val="0000EE"/>
                <w:w w:val="96"/>
              </w:rPr>
            </w:pPr>
            <w:hyperlink r:id="rId144">
              <w:r>
                <w:rPr>
                  <w:rFonts w:ascii="Times New Roman" w:cs="Times New Roman" w:eastAsia="Times New Roman" w:hAnsi="Times New Roman"/>
                  <w:sz w:val="18"/>
                  <w:szCs w:val="18"/>
                  <w:color w:val="0000EE"/>
                  <w:w w:val="96"/>
                </w:rPr>
                <w:t>(Incorporated by reference to Exhibit 1.1 to the Registrant’s Form 8-K (File No. 814-00891), filed on August 11, 2023).</w:t>
              </w:r>
            </w:hyperlink>
          </w:p>
        </w:tc>
        <w:tc>
          <w:tcPr>
            <w:tcW w:w="1220" w:type="dxa"/>
            <w:vAlign w:val="bottom"/>
            <w:gridSpan w:val="7"/>
          </w:tcPr>
          <w:p>
            <w:pPr>
              <w:spacing w:after="0"/>
              <w:rPr>
                <w:sz w:val="16"/>
                <w:szCs w:val="16"/>
                <w:color w:val="auto"/>
              </w:rPr>
            </w:pPr>
          </w:p>
        </w:tc>
      </w:tr>
      <w:tr>
        <w:trPr>
          <w:trHeight w:val="29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(h)(4)</w:t>
            </w:r>
          </w:p>
        </w:tc>
        <w:tc>
          <w:tcPr>
            <w:tcW w:w="91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7"/>
              </w:rPr>
            </w:pPr>
            <w:hyperlink r:id="rId145">
              <w:r>
                <w:rPr>
                  <w:rFonts w:ascii="Times New Roman" w:cs="Times New Roman" w:eastAsia="Times New Roman" w:hAnsi="Times New Roman"/>
                  <w:sz w:val="18"/>
                  <w:szCs w:val="18"/>
                  <w:color w:val="0000EE"/>
                  <w:w w:val="97"/>
                </w:rPr>
                <w:t>Equity Distribution Agreement, dated as of August 11, 2023, by and among PennantPark Floating Rate Capital, Ltd., PennantPark</w:t>
              </w:r>
            </w:hyperlink>
          </w:p>
        </w:tc>
        <w:tc>
          <w:tcPr>
            <w:tcW w:w="480" w:type="dxa"/>
            <w:vAlign w:val="bottom"/>
            <w:gridSpan w:val="4"/>
          </w:tcPr>
          <w:p>
            <w:pPr>
              <w:spacing w:after="0"/>
              <w:rPr>
                <w:sz w:val="24"/>
                <w:szCs w:val="24"/>
                <w:color w:val="auto"/>
              </w:rPr>
            </w:pPr>
          </w:p>
        </w:tc>
      </w:tr>
      <w:tr>
        <w:trPr>
          <w:trHeight w:val="191"/>
        </w:trPr>
        <w:tc>
          <w:tcPr>
            <w:tcW w:w="1000" w:type="dxa"/>
            <w:vAlign w:val="bottom"/>
          </w:tcPr>
          <w:p>
            <w:pPr>
              <w:spacing w:after="0"/>
              <w:rPr>
                <w:sz w:val="16"/>
                <w:szCs w:val="16"/>
                <w:color w:val="auto"/>
              </w:rPr>
            </w:pPr>
          </w:p>
        </w:tc>
        <w:tc>
          <w:tcPr>
            <w:tcW w:w="9620" w:type="dxa"/>
            <w:vAlign w:val="bottom"/>
            <w:gridSpan w:val="10"/>
          </w:tcPr>
          <w:p>
            <w:pPr>
              <w:spacing w:after="0" w:line="190"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Investment Advisers, LLC, PennantPark Investment Administration, LLC and Raymond James &amp; Associates, Inc., as the sales agent</w:t>
              </w:r>
            </w:hyperlink>
          </w:p>
        </w:tc>
      </w:tr>
      <w:tr>
        <w:trPr>
          <w:trHeight w:val="191"/>
        </w:trPr>
        <w:tc>
          <w:tcPr>
            <w:tcW w:w="1000" w:type="dxa"/>
            <w:vAlign w:val="bottom"/>
          </w:tcPr>
          <w:p>
            <w:pPr>
              <w:spacing w:after="0"/>
              <w:rPr>
                <w:sz w:val="16"/>
                <w:szCs w:val="16"/>
                <w:color w:val="auto"/>
              </w:rPr>
            </w:pPr>
          </w:p>
        </w:tc>
        <w:tc>
          <w:tcPr>
            <w:tcW w:w="8400" w:type="dxa"/>
            <w:vAlign w:val="bottom"/>
            <w:tcBorders>
              <w:top w:val="single" w:sz="8" w:color="0000EE"/>
              <w:bottom w:val="single" w:sz="8" w:color="0000EE"/>
            </w:tcBorders>
            <w:gridSpan w:val="3"/>
          </w:tcPr>
          <w:p>
            <w:pPr>
              <w:spacing w:after="0" w:line="190" w:lineRule="exact"/>
              <w:rPr>
                <w:rFonts w:ascii="Times New Roman" w:cs="Times New Roman" w:eastAsia="Times New Roman" w:hAnsi="Times New Roman"/>
                <w:sz w:val="18"/>
                <w:szCs w:val="18"/>
                <w:color w:val="0000EE"/>
                <w:w w:val="96"/>
              </w:rPr>
            </w:pPr>
            <w:hyperlink r:id="rId145">
              <w:r>
                <w:rPr>
                  <w:rFonts w:ascii="Times New Roman" w:cs="Times New Roman" w:eastAsia="Times New Roman" w:hAnsi="Times New Roman"/>
                  <w:sz w:val="18"/>
                  <w:szCs w:val="18"/>
                  <w:color w:val="0000EE"/>
                  <w:w w:val="96"/>
                </w:rPr>
                <w:t>(Incorporated by reference to Exhibit 1.2 to the Registrant’s Form 8-K (File No. 814-00891), filed on August 11, 2023).</w:t>
              </w:r>
            </w:hyperlink>
          </w:p>
        </w:tc>
        <w:tc>
          <w:tcPr>
            <w:tcW w:w="900" w:type="dxa"/>
            <w:vAlign w:val="bottom"/>
            <w:tcBorders>
              <w:top w:val="single" w:sz="8" w:color="0000EE"/>
            </w:tcBorders>
            <w:gridSpan w:val="4"/>
          </w:tcPr>
          <w:p>
            <w:pPr>
              <w:spacing w:after="0"/>
              <w:rPr>
                <w:sz w:val="16"/>
                <w:szCs w:val="16"/>
                <w:color w:val="auto"/>
              </w:rPr>
            </w:pPr>
          </w:p>
        </w:tc>
        <w:tc>
          <w:tcPr>
            <w:tcW w:w="320" w:type="dxa"/>
            <w:vAlign w:val="bottom"/>
            <w:gridSpan w:val="3"/>
          </w:tcPr>
          <w:p>
            <w:pPr>
              <w:spacing w:after="0"/>
              <w:rPr>
                <w:sz w:val="16"/>
                <w:szCs w:val="16"/>
                <w:color w:val="auto"/>
              </w:rPr>
            </w:pPr>
          </w:p>
        </w:tc>
      </w:tr>
      <w:tr>
        <w:trPr>
          <w:trHeight w:val="29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(h)(5)</w:t>
            </w:r>
          </w:p>
        </w:tc>
        <w:tc>
          <w:tcPr>
            <w:tcW w:w="91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7"/>
              </w:rPr>
            </w:pPr>
            <w:hyperlink r:id="rId146">
              <w:r>
                <w:rPr>
                  <w:rFonts w:ascii="Times New Roman" w:cs="Times New Roman" w:eastAsia="Times New Roman" w:hAnsi="Times New Roman"/>
                  <w:sz w:val="18"/>
                  <w:szCs w:val="18"/>
                  <w:color w:val="0000EE"/>
                  <w:w w:val="97"/>
                </w:rPr>
                <w:t>Equity Distribution Agreement, dated as of August 11, 2023, by and among PennantPark Floating Rate Capital, Ltd., PennantPark</w:t>
              </w:r>
            </w:hyperlink>
          </w:p>
        </w:tc>
        <w:tc>
          <w:tcPr>
            <w:tcW w:w="480" w:type="dxa"/>
            <w:vAlign w:val="bottom"/>
            <w:gridSpan w:val="4"/>
          </w:tcPr>
          <w:p>
            <w:pPr>
              <w:spacing w:after="0"/>
              <w:rPr>
                <w:sz w:val="24"/>
                <w:szCs w:val="24"/>
                <w:color w:val="auto"/>
              </w:rPr>
            </w:pPr>
          </w:p>
        </w:tc>
      </w:tr>
      <w:tr>
        <w:trPr>
          <w:trHeight w:val="191"/>
        </w:trPr>
        <w:tc>
          <w:tcPr>
            <w:tcW w:w="1000" w:type="dxa"/>
            <w:vAlign w:val="bottom"/>
          </w:tcPr>
          <w:p>
            <w:pPr>
              <w:spacing w:after="0"/>
              <w:rPr>
                <w:sz w:val="16"/>
                <w:szCs w:val="16"/>
                <w:color w:val="auto"/>
              </w:rPr>
            </w:pPr>
          </w:p>
        </w:tc>
        <w:tc>
          <w:tcPr>
            <w:tcW w:w="9620" w:type="dxa"/>
            <w:vAlign w:val="bottom"/>
            <w:gridSpan w:val="10"/>
          </w:tcPr>
          <w:p>
            <w:pPr>
              <w:spacing w:after="0" w:line="190" w:lineRule="exact"/>
              <w:rPr>
                <w:rFonts w:ascii="Times New Roman" w:cs="Times New Roman" w:eastAsia="Times New Roman" w:hAnsi="Times New Roman"/>
                <w:sz w:val="18"/>
                <w:szCs w:val="18"/>
                <w:color w:val="0000EE"/>
                <w:w w:val="97"/>
              </w:rPr>
            </w:pPr>
            <w:hyperlink r:id="rId146">
              <w:r>
                <w:rPr>
                  <w:rFonts w:ascii="Times New Roman" w:cs="Times New Roman" w:eastAsia="Times New Roman" w:hAnsi="Times New Roman"/>
                  <w:sz w:val="18"/>
                  <w:szCs w:val="18"/>
                  <w:color w:val="0000EE"/>
                  <w:w w:val="97"/>
                </w:rPr>
                <w:t>Investment Advisers, LLC, PennantPark Investment Administration, LLC and Truist Securities, Inc., as the sales agent (Incorporated by</w:t>
              </w:r>
            </w:hyperlink>
          </w:p>
        </w:tc>
      </w:tr>
      <w:tr>
        <w:trPr>
          <w:trHeight w:val="191"/>
        </w:trPr>
        <w:tc>
          <w:tcPr>
            <w:tcW w:w="1000" w:type="dxa"/>
            <w:vAlign w:val="bottom"/>
          </w:tcPr>
          <w:p>
            <w:pPr>
              <w:spacing w:after="0"/>
              <w:rPr>
                <w:sz w:val="16"/>
                <w:szCs w:val="16"/>
                <w:color w:val="auto"/>
              </w:rPr>
            </w:pPr>
          </w:p>
        </w:tc>
        <w:tc>
          <w:tcPr>
            <w:tcW w:w="9540" w:type="dxa"/>
            <w:vAlign w:val="bottom"/>
            <w:tcBorders>
              <w:top w:val="single" w:sz="8" w:color="0000EE"/>
            </w:tcBorders>
            <w:gridSpan w:val="9"/>
          </w:tcPr>
          <w:p>
            <w:pPr>
              <w:spacing w:after="0" w:line="190"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reference to Exhibit 1.3 to the Registrant’s Form 8-K (File No. 814-00891), filed on August 11, 2023).</w:t>
              </w:r>
            </w:hyperlink>
          </w:p>
        </w:tc>
        <w:tc>
          <w:tcPr>
            <w:tcW w:w="80" w:type="dxa"/>
            <w:vAlign w:val="bottom"/>
          </w:tcPr>
          <w:p>
            <w:pPr>
              <w:spacing w:after="0"/>
              <w:rPr>
                <w:sz w:val="16"/>
                <w:szCs w:val="16"/>
                <w:color w:val="auto"/>
              </w:rPr>
            </w:pPr>
          </w:p>
        </w:tc>
      </w:tr>
      <w:tr>
        <w:trPr>
          <w:trHeight w:val="20"/>
        </w:trPr>
        <w:tc>
          <w:tcPr>
            <w:tcW w:w="1000" w:type="dxa"/>
            <w:vAlign w:val="bottom"/>
          </w:tcPr>
          <w:p>
            <w:pPr>
              <w:spacing w:after="0" w:line="20" w:lineRule="exact"/>
              <w:rPr>
                <w:sz w:val="1"/>
                <w:szCs w:val="1"/>
                <w:color w:val="auto"/>
              </w:rPr>
            </w:pPr>
          </w:p>
        </w:tc>
        <w:tc>
          <w:tcPr>
            <w:tcW w:w="4200" w:type="dxa"/>
            <w:vAlign w:val="bottom"/>
            <w:shd w:val="clear" w:color="auto" w:fill="0000EE"/>
          </w:tcPr>
          <w:p>
            <w:pPr>
              <w:spacing w:after="0" w:line="20" w:lineRule="exact"/>
              <w:rPr>
                <w:sz w:val="1"/>
                <w:szCs w:val="1"/>
                <w:color w:val="auto"/>
              </w:rPr>
            </w:pPr>
          </w:p>
        </w:tc>
        <w:tc>
          <w:tcPr>
            <w:tcW w:w="298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13" w:lineRule="exact"/>
        <w:rPr>
          <w:sz w:val="20"/>
          <w:szCs w:val="20"/>
          <w:color w:val="auto"/>
        </w:rPr>
      </w:pPr>
    </w:p>
    <w:p>
      <w:pPr>
        <w:jc w:val="both"/>
        <w:ind w:left="1006" w:right="140" w:hanging="1006"/>
        <w:spacing w:after="0" w:line="256" w:lineRule="auto"/>
        <w:tabs>
          <w:tab w:leader="none" w:pos="1006" w:val="left"/>
        </w:tabs>
        <w:numPr>
          <w:ilvl w:val="0"/>
          <w:numId w:val="55"/>
        </w:numPr>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u w:val="single" w:color="auto"/>
            <w:color w:val="0000EE"/>
          </w:rPr>
          <w:t>Custodian Agreement, dated as of April 7, 2011, between the Registrant and The Bank of New York Mellon (Incorporated by reference to</w:t>
        </w:r>
      </w:hyperlink>
      <w:r>
        <w:rPr>
          <w:rFonts w:ascii="Times New Roman" w:cs="Times New Roman" w:eastAsia="Times New Roman" w:hAnsi="Times New Roman"/>
          <w:sz w:val="18"/>
          <w:szCs w:val="18"/>
          <w:u w:val="single" w:color="auto"/>
          <w:color w:val="0000EE"/>
        </w:rPr>
        <w:t xml:space="preserve"> </w:t>
      </w:r>
      <w:hyperlink r:id="rId147">
        <w:r>
          <w:rPr>
            <w:rFonts w:ascii="Times New Roman" w:cs="Times New Roman" w:eastAsia="Times New Roman" w:hAnsi="Times New Roman"/>
            <w:sz w:val="18"/>
            <w:szCs w:val="18"/>
            <w:u w:val="single" w:color="auto"/>
            <w:color w:val="0000EE"/>
          </w:rPr>
          <w:t>Exhibit (j) to the Registrant’s pre-effective amendment to the Registration Statement on Form N-2 (File No. 333-279726) filed on June 21,</w:t>
        </w:r>
      </w:hyperlink>
      <w:r>
        <w:rPr>
          <w:rFonts w:ascii="Times New Roman" w:cs="Times New Roman" w:eastAsia="Times New Roman" w:hAnsi="Times New Roman"/>
          <w:sz w:val="18"/>
          <w:szCs w:val="18"/>
          <w:u w:val="single" w:color="auto"/>
          <w:color w:val="0000EE"/>
        </w:rPr>
        <w:t xml:space="preserve"> </w:t>
      </w:r>
      <w:hyperlink r:id="rId147">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hyperlink>
    </w:p>
    <w:p>
      <w:pPr>
        <w:spacing w:after="0" w:line="70" w:lineRule="exact"/>
        <w:rPr>
          <w:rFonts w:ascii="Times New Roman" w:cs="Times New Roman" w:eastAsia="Times New Roman" w:hAnsi="Times New Roman"/>
          <w:sz w:val="18"/>
          <w:szCs w:val="18"/>
          <w:u w:val="single" w:color="auto"/>
          <w:color w:val="0000EE"/>
        </w:rPr>
      </w:pPr>
    </w:p>
    <w:tbl>
      <w:tblPr>
        <w:tblLayout w:type="fixed"/>
        <w:tblInd w:w="6"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(k)(1)</w:t>
            </w:r>
          </w:p>
        </w:tc>
        <w:tc>
          <w:tcPr>
            <w:tcW w:w="98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6"/>
              </w:rPr>
            </w:pPr>
            <w:hyperlink r:id="rId148">
              <w:r>
                <w:rPr>
                  <w:rFonts w:ascii="Times New Roman" w:cs="Times New Roman" w:eastAsia="Times New Roman" w:hAnsi="Times New Roman"/>
                  <w:sz w:val="18"/>
                  <w:szCs w:val="18"/>
                  <w:color w:val="0000EE"/>
                  <w:w w:val="96"/>
                </w:rPr>
                <w:t>Stock Transfer Agency Agreement, dated as of April 7, 2011, between the Registrant and American Stock Transfer &amp; Trust Company, LLC</w:t>
              </w:r>
            </w:hyperlink>
          </w:p>
        </w:tc>
        <w:tc>
          <w:tcPr>
            <w:tcW w:w="60" w:type="dxa"/>
            <w:vAlign w:val="bottom"/>
            <w:gridSpan w:val="3"/>
          </w:tcPr>
          <w:p>
            <w:pPr>
              <w:spacing w:after="0"/>
              <w:rPr>
                <w:sz w:val="17"/>
                <w:szCs w:val="17"/>
                <w:color w:val="auto"/>
              </w:rPr>
            </w:pPr>
          </w:p>
        </w:tc>
      </w:tr>
      <w:tr>
        <w:trPr>
          <w:trHeight w:val="191"/>
        </w:trPr>
        <w:tc>
          <w:tcPr>
            <w:tcW w:w="1000" w:type="dxa"/>
            <w:vAlign w:val="bottom"/>
          </w:tcPr>
          <w:p>
            <w:pPr>
              <w:spacing w:after="0"/>
              <w:rPr>
                <w:sz w:val="16"/>
                <w:szCs w:val="16"/>
                <w:color w:val="auto"/>
              </w:rPr>
            </w:pPr>
          </w:p>
        </w:tc>
        <w:tc>
          <w:tcPr>
            <w:tcW w:w="9220" w:type="dxa"/>
            <w:vAlign w:val="bottom"/>
            <w:tcBorders>
              <w:bottom w:val="single" w:sz="8" w:color="0000EE"/>
            </w:tcBorders>
            <w:gridSpan w:val="8"/>
          </w:tcPr>
          <w:p>
            <w:pPr>
              <w:spacing w:after="0" w:line="190" w:lineRule="exact"/>
              <w:rPr>
                <w:rFonts w:ascii="Times New Roman" w:cs="Times New Roman" w:eastAsia="Times New Roman" w:hAnsi="Times New Roman"/>
                <w:sz w:val="18"/>
                <w:szCs w:val="18"/>
                <w:color w:val="0000EE"/>
                <w:w w:val="97"/>
              </w:rPr>
            </w:pPr>
            <w:hyperlink r:id="rId148">
              <w:r>
                <w:rPr>
                  <w:rFonts w:ascii="Times New Roman" w:cs="Times New Roman" w:eastAsia="Times New Roman" w:hAnsi="Times New Roman"/>
                  <w:sz w:val="18"/>
                  <w:szCs w:val="18"/>
                  <w:color w:val="0000EE"/>
                  <w:w w:val="97"/>
                </w:rPr>
                <w:t>(Incorporated by reference to Exhibit (k)(1) to the Registrant’s pre-effective amendment to the Registration Statement on Form N-2</w:t>
              </w:r>
            </w:hyperlink>
          </w:p>
        </w:tc>
        <w:tc>
          <w:tcPr>
            <w:tcW w:w="640" w:type="dxa"/>
            <w:vAlign w:val="bottom"/>
            <w:gridSpan w:val="9"/>
          </w:tcPr>
          <w:p>
            <w:pPr>
              <w:spacing w:after="0"/>
              <w:rPr>
                <w:sz w:val="16"/>
                <w:szCs w:val="16"/>
                <w:color w:val="auto"/>
              </w:rPr>
            </w:pPr>
          </w:p>
        </w:tc>
      </w:tr>
      <w:tr>
        <w:trPr>
          <w:trHeight w:val="191"/>
        </w:trPr>
        <w:tc>
          <w:tcPr>
            <w:tcW w:w="1000" w:type="dxa"/>
            <w:vAlign w:val="bottom"/>
          </w:tcPr>
          <w:p>
            <w:pPr>
              <w:spacing w:after="0"/>
              <w:rPr>
                <w:sz w:val="16"/>
                <w:szCs w:val="16"/>
                <w:color w:val="auto"/>
              </w:rPr>
            </w:pPr>
          </w:p>
        </w:tc>
        <w:tc>
          <w:tcPr>
            <w:tcW w:w="9860" w:type="dxa"/>
            <w:vAlign w:val="bottom"/>
            <w:gridSpan w:val="17"/>
          </w:tcPr>
          <w:p>
            <w:pPr>
              <w:spacing w:after="0" w:line="190"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(File No.333-279726) filed on June 21, 2024).</w:t>
              </w:r>
            </w:hyperlink>
          </w:p>
        </w:tc>
      </w:tr>
      <w:tr>
        <w:trPr>
          <w:trHeight w:val="20"/>
        </w:trPr>
        <w:tc>
          <w:tcPr>
            <w:tcW w:w="100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(k)(2)</w:t>
            </w:r>
          </w:p>
        </w:tc>
        <w:tc>
          <w:tcPr>
            <w:tcW w:w="9860" w:type="dxa"/>
            <w:vAlign w:val="bottom"/>
            <w:gridSpan w:val="17"/>
          </w:tcPr>
          <w:p>
            <w:pPr>
              <w:spacing w:after="0"/>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Amended and Restated Administration Agreement, dated as of May 20, 2024, between the Registrant and PennantPark Investment</w:t>
              </w:r>
            </w:hyperlink>
          </w:p>
        </w:tc>
      </w:tr>
      <w:tr>
        <w:trPr>
          <w:trHeight w:val="20"/>
        </w:trPr>
        <w:tc>
          <w:tcPr>
            <w:tcW w:w="100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1"/>
        </w:trPr>
        <w:tc>
          <w:tcPr>
            <w:tcW w:w="1000" w:type="dxa"/>
            <w:vAlign w:val="bottom"/>
          </w:tcPr>
          <w:p>
            <w:pPr>
              <w:spacing w:after="0"/>
              <w:rPr>
                <w:sz w:val="16"/>
                <w:szCs w:val="16"/>
                <w:color w:val="auto"/>
              </w:rPr>
            </w:pPr>
          </w:p>
        </w:tc>
        <w:tc>
          <w:tcPr>
            <w:tcW w:w="9860" w:type="dxa"/>
            <w:vAlign w:val="bottom"/>
            <w:gridSpan w:val="17"/>
          </w:tcPr>
          <w:p>
            <w:pPr>
              <w:spacing w:after="0" w:line="190" w:lineRule="exact"/>
              <w:rPr>
                <w:rFonts w:ascii="Times New Roman" w:cs="Times New Roman" w:eastAsia="Times New Roman" w:hAnsi="Times New Roman"/>
                <w:sz w:val="18"/>
                <w:szCs w:val="18"/>
                <w:color w:val="0000EE"/>
                <w:w w:val="97"/>
              </w:rPr>
            </w:pPr>
            <w:hyperlink r:id="rId149">
              <w:r>
                <w:rPr>
                  <w:rFonts w:ascii="Times New Roman" w:cs="Times New Roman" w:eastAsia="Times New Roman" w:hAnsi="Times New Roman"/>
                  <w:sz w:val="18"/>
                  <w:szCs w:val="18"/>
                  <w:color w:val="0000EE"/>
                  <w:w w:val="97"/>
                </w:rPr>
                <w:t>Administration, LLC (Incorporated by reference to Exhibit (k)(2) to the Registrant’s pre-effective amendment to the Registration Statement</w:t>
              </w:r>
            </w:hyperlink>
          </w:p>
        </w:tc>
      </w:tr>
      <w:tr>
        <w:trPr>
          <w:trHeight w:val="191"/>
        </w:trPr>
        <w:tc>
          <w:tcPr>
            <w:tcW w:w="1000" w:type="dxa"/>
            <w:vAlign w:val="bottom"/>
          </w:tcPr>
          <w:p>
            <w:pPr>
              <w:spacing w:after="0"/>
              <w:rPr>
                <w:sz w:val="16"/>
                <w:szCs w:val="16"/>
                <w:color w:val="auto"/>
              </w:rPr>
            </w:pPr>
          </w:p>
        </w:tc>
        <w:tc>
          <w:tcPr>
            <w:tcW w:w="9780" w:type="dxa"/>
            <w:vAlign w:val="bottom"/>
            <w:tcBorders>
              <w:top w:val="single" w:sz="8" w:color="0000EE"/>
            </w:tcBorders>
            <w:gridSpan w:val="13"/>
          </w:tcPr>
          <w:p>
            <w:pPr>
              <w:spacing w:after="0" w:line="190"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on Form N-2 (File No. 333-279726) filed on June 21, 2024).</w:t>
              </w:r>
            </w:hyperlink>
          </w:p>
        </w:tc>
        <w:tc>
          <w:tcPr>
            <w:tcW w:w="80" w:type="dxa"/>
            <w:vAlign w:val="bottom"/>
            <w:gridSpan w:val="4"/>
          </w:tcPr>
          <w:p>
            <w:pPr>
              <w:spacing w:after="0"/>
              <w:rPr>
                <w:sz w:val="16"/>
                <w:szCs w:val="16"/>
                <w:color w:val="auto"/>
              </w:rPr>
            </w:pPr>
          </w:p>
        </w:tc>
      </w:tr>
      <w:tr>
        <w:trPr>
          <w:trHeight w:val="20"/>
        </w:trPr>
        <w:tc>
          <w:tcPr>
            <w:tcW w:w="100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(k)(3)</w:t>
            </w:r>
          </w:p>
        </w:tc>
        <w:tc>
          <w:tcPr>
            <w:tcW w:w="9860" w:type="dxa"/>
            <w:vAlign w:val="bottom"/>
            <w:gridSpan w:val="17"/>
          </w:tcPr>
          <w:p>
            <w:pPr>
              <w:spacing w:after="0"/>
              <w:rPr>
                <w:rFonts w:ascii="Times New Roman" w:cs="Times New Roman" w:eastAsia="Times New Roman" w:hAnsi="Times New Roman"/>
                <w:sz w:val="18"/>
                <w:szCs w:val="18"/>
                <w:color w:val="0000EE"/>
                <w:w w:val="97"/>
              </w:rPr>
            </w:pPr>
            <w:hyperlink r:id="rId150">
              <w:r>
                <w:rPr>
                  <w:rFonts w:ascii="Times New Roman" w:cs="Times New Roman" w:eastAsia="Times New Roman" w:hAnsi="Times New Roman"/>
                  <w:sz w:val="18"/>
                  <w:szCs w:val="18"/>
                  <w:color w:val="0000EE"/>
                  <w:w w:val="97"/>
                </w:rPr>
                <w:t>Trademark License Agreement, dated as of April 7, 2011, between the Registrant and PennantPark Investment Advisers, LLC (Incorporated</w:t>
              </w:r>
            </w:hyperlink>
          </w:p>
        </w:tc>
      </w:tr>
      <w:tr>
        <w:trPr>
          <w:trHeight w:val="20"/>
        </w:trPr>
        <w:tc>
          <w:tcPr>
            <w:tcW w:w="100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740" w:type="dxa"/>
            <w:vAlign w:val="bottom"/>
            <w:gridSpan w:val="3"/>
            <w:shd w:val="clear" w:color="auto" w:fill="0000EE"/>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1"/>
        </w:trPr>
        <w:tc>
          <w:tcPr>
            <w:tcW w:w="1000" w:type="dxa"/>
            <w:vAlign w:val="bottom"/>
          </w:tcPr>
          <w:p>
            <w:pPr>
              <w:spacing w:after="0"/>
              <w:rPr>
                <w:sz w:val="16"/>
                <w:szCs w:val="16"/>
                <w:color w:val="auto"/>
              </w:rPr>
            </w:pPr>
          </w:p>
        </w:tc>
        <w:tc>
          <w:tcPr>
            <w:tcW w:w="9860" w:type="dxa"/>
            <w:vAlign w:val="bottom"/>
            <w:gridSpan w:val="17"/>
          </w:tcPr>
          <w:p>
            <w:pPr>
              <w:spacing w:after="0" w:line="190" w:lineRule="exact"/>
              <w:rPr>
                <w:rFonts w:ascii="Times New Roman" w:cs="Times New Roman" w:eastAsia="Times New Roman" w:hAnsi="Times New Roman"/>
                <w:sz w:val="18"/>
                <w:szCs w:val="18"/>
                <w:color w:val="0000EE"/>
                <w:w w:val="97"/>
              </w:rPr>
            </w:pPr>
            <w:hyperlink r:id="rId150">
              <w:r>
                <w:rPr>
                  <w:rFonts w:ascii="Times New Roman" w:cs="Times New Roman" w:eastAsia="Times New Roman" w:hAnsi="Times New Roman"/>
                  <w:sz w:val="18"/>
                  <w:szCs w:val="18"/>
                  <w:color w:val="0000EE"/>
                  <w:w w:val="97"/>
                </w:rPr>
                <w:t>by reference to Exhibit (k)(3) to the Registrant’s pre-effective amendment to the Registration Statement on Form N-2 (File No. 333-279726)</w:t>
              </w:r>
            </w:hyperlink>
          </w:p>
        </w:tc>
      </w:tr>
      <w:tr>
        <w:trPr>
          <w:trHeight w:val="191"/>
        </w:trPr>
        <w:tc>
          <w:tcPr>
            <w:tcW w:w="1000" w:type="dxa"/>
            <w:vAlign w:val="bottom"/>
          </w:tcPr>
          <w:p>
            <w:pPr>
              <w:spacing w:after="0"/>
              <w:rPr>
                <w:sz w:val="16"/>
                <w:szCs w:val="16"/>
                <w:color w:val="auto"/>
              </w:rPr>
            </w:pPr>
          </w:p>
        </w:tc>
        <w:tc>
          <w:tcPr>
            <w:tcW w:w="9840" w:type="dxa"/>
            <w:vAlign w:val="bottom"/>
            <w:tcBorders>
              <w:top w:val="single" w:sz="8" w:color="0000EE"/>
            </w:tcBorders>
            <w:gridSpan w:val="16"/>
          </w:tcPr>
          <w:p>
            <w:pPr>
              <w:spacing w:after="0" w:line="190"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filed on June 21, 2024)</w:t>
              </w:r>
              <w:r>
                <w:rPr>
                  <w:rFonts w:ascii="Times New Roman" w:cs="Times New Roman" w:eastAsia="Times New Roman" w:hAnsi="Times New Roman"/>
                  <w:sz w:val="18"/>
                  <w:szCs w:val="18"/>
                  <w:color w:val="000000"/>
                </w:rPr>
                <w:t>.</w:t>
              </w:r>
            </w:hyperlink>
          </w:p>
        </w:tc>
        <w:tc>
          <w:tcPr>
            <w:tcW w:w="20" w:type="dxa"/>
            <w:vAlign w:val="bottom"/>
          </w:tcPr>
          <w:p>
            <w:pPr>
              <w:spacing w:after="0"/>
              <w:rPr>
                <w:sz w:val="16"/>
                <w:szCs w:val="16"/>
                <w:color w:val="auto"/>
              </w:rPr>
            </w:pPr>
          </w:p>
        </w:tc>
      </w:tr>
      <w:tr>
        <w:trPr>
          <w:trHeight w:val="20"/>
        </w:trPr>
        <w:tc>
          <w:tcPr>
            <w:tcW w:w="100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740" w:type="dxa"/>
            <w:vAlign w:val="bottom"/>
            <w:gridSpan w:val="3"/>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r>
      <w:tr>
        <w:trPr>
          <w:trHeight w:val="3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(k)(4)</w:t>
            </w:r>
          </w:p>
        </w:tc>
        <w:tc>
          <w:tcPr>
            <w:tcW w:w="9860" w:type="dxa"/>
            <w:vAlign w:val="bottom"/>
            <w:gridSpan w:val="17"/>
          </w:tcPr>
          <w:p>
            <w:pPr>
              <w:spacing w:after="0"/>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Revolving Credit and Security Agreement, dated as of August 12, 2021, among PennantPark Floating Rate Funding I, LLC, as the</w:t>
              </w:r>
            </w:hyperlink>
          </w:p>
        </w:tc>
      </w:tr>
      <w:tr>
        <w:trPr>
          <w:trHeight w:val="20"/>
        </w:trPr>
        <w:tc>
          <w:tcPr>
            <w:tcW w:w="100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100" w:type="dxa"/>
            <w:vAlign w:val="bottom"/>
            <w:gridSpan w:val="4"/>
            <w:shd w:val="clear" w:color="auto" w:fill="0000EE"/>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r>
      <w:tr>
        <w:trPr>
          <w:trHeight w:val="191"/>
        </w:trPr>
        <w:tc>
          <w:tcPr>
            <w:tcW w:w="1000" w:type="dxa"/>
            <w:vAlign w:val="bottom"/>
          </w:tcPr>
          <w:p>
            <w:pPr>
              <w:spacing w:after="0"/>
              <w:rPr>
                <w:sz w:val="16"/>
                <w:szCs w:val="16"/>
                <w:color w:val="auto"/>
              </w:rPr>
            </w:pPr>
          </w:p>
        </w:tc>
        <w:tc>
          <w:tcPr>
            <w:tcW w:w="9600" w:type="dxa"/>
            <w:vAlign w:val="bottom"/>
            <w:tcBorders>
              <w:bottom w:val="single" w:sz="8" w:color="0000EE"/>
            </w:tcBorders>
            <w:gridSpan w:val="12"/>
          </w:tcPr>
          <w:p>
            <w:pPr>
              <w:spacing w:after="0" w:line="190" w:lineRule="exact"/>
              <w:rPr>
                <w:rFonts w:ascii="Times New Roman" w:cs="Times New Roman" w:eastAsia="Times New Roman" w:hAnsi="Times New Roman"/>
                <w:sz w:val="18"/>
                <w:szCs w:val="18"/>
                <w:color w:val="0000EE"/>
                <w:w w:val="96"/>
              </w:rPr>
            </w:pPr>
            <w:hyperlink r:id="rId151">
              <w:r>
                <w:rPr>
                  <w:rFonts w:ascii="Times New Roman" w:cs="Times New Roman" w:eastAsia="Times New Roman" w:hAnsi="Times New Roman"/>
                  <w:sz w:val="18"/>
                  <w:szCs w:val="18"/>
                  <w:color w:val="0000EE"/>
                  <w:w w:val="96"/>
                </w:rPr>
                <w:t>borrower, PennantPark Investment Advisers, LLC, as the collateral manager, the lenders from time to time party thereto, Truist Bank., as</w:t>
              </w:r>
            </w:hyperlink>
          </w:p>
        </w:tc>
        <w:tc>
          <w:tcPr>
            <w:tcW w:w="260" w:type="dxa"/>
            <w:vAlign w:val="bottom"/>
            <w:gridSpan w:val="5"/>
          </w:tcPr>
          <w:p>
            <w:pPr>
              <w:spacing w:after="0"/>
              <w:rPr>
                <w:sz w:val="16"/>
                <w:szCs w:val="16"/>
                <w:color w:val="auto"/>
              </w:rPr>
            </w:pPr>
          </w:p>
        </w:tc>
      </w:tr>
      <w:tr>
        <w:trPr>
          <w:trHeight w:val="191"/>
        </w:trPr>
        <w:tc>
          <w:tcPr>
            <w:tcW w:w="1000" w:type="dxa"/>
            <w:vAlign w:val="bottom"/>
          </w:tcPr>
          <w:p>
            <w:pPr>
              <w:spacing w:after="0"/>
              <w:rPr>
                <w:sz w:val="16"/>
                <w:szCs w:val="16"/>
                <w:color w:val="auto"/>
              </w:rPr>
            </w:pPr>
          </w:p>
        </w:tc>
        <w:tc>
          <w:tcPr>
            <w:tcW w:w="9360" w:type="dxa"/>
            <w:vAlign w:val="bottom"/>
            <w:tcBorders>
              <w:bottom w:val="single" w:sz="8" w:color="0000EE"/>
            </w:tcBorders>
            <w:gridSpan w:val="9"/>
          </w:tcPr>
          <w:p>
            <w:pPr>
              <w:spacing w:after="0" w:line="190" w:lineRule="exact"/>
              <w:rPr>
                <w:rFonts w:ascii="Times New Roman" w:cs="Times New Roman" w:eastAsia="Times New Roman" w:hAnsi="Times New Roman"/>
                <w:sz w:val="18"/>
                <w:szCs w:val="18"/>
                <w:color w:val="0000EE"/>
                <w:w w:val="97"/>
              </w:rPr>
            </w:pPr>
            <w:hyperlink r:id="rId151">
              <w:r>
                <w:rPr>
                  <w:rFonts w:ascii="Times New Roman" w:cs="Times New Roman" w:eastAsia="Times New Roman" w:hAnsi="Times New Roman"/>
                  <w:sz w:val="18"/>
                  <w:szCs w:val="18"/>
                  <w:color w:val="0000EE"/>
                  <w:w w:val="97"/>
                </w:rPr>
                <w:t>administrative agent, Truist Securities, Inc., as lead arranger, U.S. Bank National Association, as collateral agent, U.S. Bank National</w:t>
              </w:r>
            </w:hyperlink>
          </w:p>
        </w:tc>
        <w:tc>
          <w:tcPr>
            <w:tcW w:w="500" w:type="dxa"/>
            <w:vAlign w:val="bottom"/>
            <w:gridSpan w:val="8"/>
          </w:tcPr>
          <w:p>
            <w:pPr>
              <w:spacing w:after="0"/>
              <w:rPr>
                <w:sz w:val="16"/>
                <w:szCs w:val="16"/>
                <w:color w:val="auto"/>
              </w:rPr>
            </w:pPr>
          </w:p>
        </w:tc>
      </w:tr>
      <w:tr>
        <w:trPr>
          <w:trHeight w:val="191"/>
        </w:trPr>
        <w:tc>
          <w:tcPr>
            <w:tcW w:w="1000" w:type="dxa"/>
            <w:vAlign w:val="bottom"/>
          </w:tcPr>
          <w:p>
            <w:pPr>
              <w:spacing w:after="0"/>
              <w:rPr>
                <w:sz w:val="16"/>
                <w:szCs w:val="16"/>
                <w:color w:val="auto"/>
              </w:rPr>
            </w:pPr>
          </w:p>
        </w:tc>
        <w:tc>
          <w:tcPr>
            <w:tcW w:w="9860" w:type="dxa"/>
            <w:vAlign w:val="bottom"/>
            <w:tcBorders>
              <w:bottom w:val="single" w:sz="8" w:color="0000EE"/>
            </w:tcBorders>
            <w:gridSpan w:val="17"/>
          </w:tcPr>
          <w:p>
            <w:pPr>
              <w:spacing w:after="0" w:line="190" w:lineRule="exact"/>
              <w:rPr>
                <w:rFonts w:ascii="Times New Roman" w:cs="Times New Roman" w:eastAsia="Times New Roman" w:hAnsi="Times New Roman"/>
                <w:sz w:val="18"/>
                <w:szCs w:val="18"/>
                <w:color w:val="0000EE"/>
                <w:w w:val="97"/>
              </w:rPr>
            </w:pPr>
            <w:hyperlink r:id="rId151">
              <w:r>
                <w:rPr>
                  <w:rFonts w:ascii="Times New Roman" w:cs="Times New Roman" w:eastAsia="Times New Roman" w:hAnsi="Times New Roman"/>
                  <w:sz w:val="18"/>
                  <w:szCs w:val="18"/>
                  <w:color w:val="0000EE"/>
                  <w:w w:val="97"/>
                </w:rPr>
                <w:t>Association, as collateral administrator, U.S. Bank National Association, as backup collateral manager, and U.S. Bank National Association,</w:t>
              </w:r>
            </w:hyperlink>
          </w:p>
        </w:tc>
      </w:tr>
      <w:tr>
        <w:trPr>
          <w:trHeight w:val="191"/>
        </w:trPr>
        <w:tc>
          <w:tcPr>
            <w:tcW w:w="1000" w:type="dxa"/>
            <w:vAlign w:val="bottom"/>
          </w:tcPr>
          <w:p>
            <w:pPr>
              <w:spacing w:after="0"/>
              <w:rPr>
                <w:sz w:val="16"/>
                <w:szCs w:val="16"/>
                <w:color w:val="auto"/>
              </w:rPr>
            </w:pPr>
          </w:p>
        </w:tc>
        <w:tc>
          <w:tcPr>
            <w:tcW w:w="9860" w:type="dxa"/>
            <w:vAlign w:val="bottom"/>
            <w:gridSpan w:val="17"/>
          </w:tcPr>
          <w:p>
            <w:pPr>
              <w:spacing w:after="0" w:line="190"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as custodian (Incorporated by reference to Exhibit 10.1 to the Registrant’s Current Report on Form 8-K (File No. 814-00891), filed on</w:t>
              </w:r>
            </w:hyperlink>
          </w:p>
        </w:tc>
      </w:tr>
      <w:tr>
        <w:trPr>
          <w:trHeight w:val="191"/>
        </w:trPr>
        <w:tc>
          <w:tcPr>
            <w:tcW w:w="1000" w:type="dxa"/>
            <w:vAlign w:val="bottom"/>
          </w:tcPr>
          <w:p>
            <w:pPr>
              <w:spacing w:after="0"/>
              <w:rPr>
                <w:sz w:val="16"/>
                <w:szCs w:val="16"/>
                <w:color w:val="auto"/>
              </w:rPr>
            </w:pPr>
          </w:p>
        </w:tc>
        <w:tc>
          <w:tcPr>
            <w:tcW w:w="9400" w:type="dxa"/>
            <w:vAlign w:val="bottom"/>
            <w:tcBorders>
              <w:top w:val="single" w:sz="8" w:color="0000EE"/>
            </w:tcBorders>
            <w:gridSpan w:val="10"/>
          </w:tcPr>
          <w:p>
            <w:pPr>
              <w:spacing w:after="0" w:line="190"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August 18, 2021).</w:t>
              </w:r>
            </w:hyperlink>
          </w:p>
        </w:tc>
        <w:tc>
          <w:tcPr>
            <w:tcW w:w="460" w:type="dxa"/>
            <w:vAlign w:val="bottom"/>
            <w:gridSpan w:val="7"/>
          </w:tcPr>
          <w:p>
            <w:pPr>
              <w:spacing w:after="0"/>
              <w:rPr>
                <w:sz w:val="16"/>
                <w:szCs w:val="16"/>
                <w:color w:val="auto"/>
              </w:rPr>
            </w:pPr>
          </w:p>
        </w:tc>
      </w:tr>
      <w:tr>
        <w:trPr>
          <w:trHeight w:val="20"/>
        </w:trPr>
        <w:tc>
          <w:tcPr>
            <w:tcW w:w="100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100" w:type="dxa"/>
            <w:vAlign w:val="bottom"/>
            <w:gridSpan w:val="4"/>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r>
      <w:tr>
        <w:trPr>
          <w:trHeight w:val="29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(k)(5)</w:t>
            </w:r>
          </w:p>
        </w:tc>
        <w:tc>
          <w:tcPr>
            <w:tcW w:w="95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7"/>
              </w:rPr>
            </w:pPr>
            <w:hyperlink r:id="rId152">
              <w:r>
                <w:rPr>
                  <w:rFonts w:ascii="Times New Roman" w:cs="Times New Roman" w:eastAsia="Times New Roman" w:hAnsi="Times New Roman"/>
                  <w:sz w:val="18"/>
                  <w:szCs w:val="18"/>
                  <w:color w:val="0000EE"/>
                  <w:w w:val="97"/>
                </w:rPr>
                <w:t>Amended and Restated Purchase and Contribution Agreement, dated as of August 12, 2021, between PennantPark Floating Rate Capital</w:t>
              </w:r>
            </w:hyperlink>
          </w:p>
        </w:tc>
        <w:tc>
          <w:tcPr>
            <w:tcW w:w="300" w:type="dxa"/>
            <w:vAlign w:val="bottom"/>
            <w:gridSpan w:val="6"/>
          </w:tcPr>
          <w:p>
            <w:pPr>
              <w:spacing w:after="0"/>
              <w:rPr>
                <w:sz w:val="24"/>
                <w:szCs w:val="24"/>
                <w:color w:val="auto"/>
              </w:rPr>
            </w:pPr>
          </w:p>
        </w:tc>
      </w:tr>
      <w:tr>
        <w:trPr>
          <w:trHeight w:val="191"/>
        </w:trPr>
        <w:tc>
          <w:tcPr>
            <w:tcW w:w="1000" w:type="dxa"/>
            <w:vAlign w:val="bottom"/>
          </w:tcPr>
          <w:p>
            <w:pPr>
              <w:spacing w:after="0"/>
              <w:rPr>
                <w:sz w:val="16"/>
                <w:szCs w:val="16"/>
                <w:color w:val="auto"/>
              </w:rPr>
            </w:pPr>
          </w:p>
        </w:tc>
        <w:tc>
          <w:tcPr>
            <w:tcW w:w="9860" w:type="dxa"/>
            <w:vAlign w:val="bottom"/>
            <w:gridSpan w:val="17"/>
          </w:tcPr>
          <w:p>
            <w:pPr>
              <w:spacing w:after="0" w:line="190"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Ltd., as the seller, and PennantPark Floating Rate Funding I, LLC, as the buyer (Incorporated by reference to Exhibit 10.2 to the</w:t>
              </w:r>
            </w:hyperlink>
          </w:p>
        </w:tc>
      </w:tr>
      <w:tr>
        <w:trPr>
          <w:trHeight w:val="191"/>
        </w:trPr>
        <w:tc>
          <w:tcPr>
            <w:tcW w:w="1000" w:type="dxa"/>
            <w:vAlign w:val="bottom"/>
          </w:tcPr>
          <w:p>
            <w:pPr>
              <w:spacing w:after="0"/>
              <w:rPr>
                <w:sz w:val="16"/>
                <w:szCs w:val="16"/>
                <w:color w:val="auto"/>
              </w:rPr>
            </w:pPr>
          </w:p>
        </w:tc>
        <w:tc>
          <w:tcPr>
            <w:tcW w:w="8980" w:type="dxa"/>
            <w:vAlign w:val="bottom"/>
            <w:tcBorders>
              <w:top w:val="single" w:sz="8" w:color="0000EE"/>
            </w:tcBorders>
            <w:gridSpan w:val="6"/>
          </w:tcPr>
          <w:p>
            <w:pPr>
              <w:spacing w:after="0" w:line="190"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Registrant’s Current Report on Form 8-K (File No. 814-00891), filed on August 18, 2021).</w:t>
              </w:r>
            </w:hyperlink>
          </w:p>
        </w:tc>
        <w:tc>
          <w:tcPr>
            <w:tcW w:w="880" w:type="dxa"/>
            <w:vAlign w:val="bottom"/>
            <w:gridSpan w:val="11"/>
          </w:tcPr>
          <w:p>
            <w:pPr>
              <w:spacing w:after="0"/>
              <w:rPr>
                <w:sz w:val="16"/>
                <w:szCs w:val="16"/>
                <w:color w:val="auto"/>
              </w:rPr>
            </w:pPr>
          </w:p>
        </w:tc>
      </w:tr>
      <w:tr>
        <w:trPr>
          <w:trHeight w:val="387"/>
        </w:trPr>
        <w:tc>
          <w:tcPr>
            <w:tcW w:w="1000" w:type="dxa"/>
            <w:vAlign w:val="bottom"/>
          </w:tcPr>
          <w:p>
            <w:pPr>
              <w:spacing w:after="0"/>
              <w:rPr>
                <w:sz w:val="24"/>
                <w:szCs w:val="24"/>
                <w:color w:val="auto"/>
              </w:rPr>
            </w:pPr>
          </w:p>
        </w:tc>
        <w:tc>
          <w:tcPr>
            <w:tcW w:w="6360" w:type="dxa"/>
            <w:vAlign w:val="bottom"/>
            <w:tcBorders>
              <w:top w:val="single" w:sz="8" w:color="0000EE"/>
            </w:tcBorders>
            <w:gridSpan w:val="5"/>
          </w:tcPr>
          <w:p>
            <w:pPr>
              <w:ind w:left="4160"/>
              <w:spacing w:after="0"/>
              <w:rPr>
                <w:sz w:val="20"/>
                <w:szCs w:val="20"/>
                <w:color w:val="auto"/>
              </w:rPr>
            </w:pPr>
            <w:r>
              <w:rPr>
                <w:rFonts w:ascii="Times New Roman" w:cs="Times New Roman" w:eastAsia="Times New Roman" w:hAnsi="Times New Roman"/>
                <w:sz w:val="18"/>
                <w:szCs w:val="18"/>
                <w:color w:val="auto"/>
              </w:rPr>
              <w:t>87</w:t>
            </w:r>
          </w:p>
        </w:tc>
        <w:tc>
          <w:tcPr>
            <w:tcW w:w="2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0866"/>
          </w:cols>
          <w:pgMar w:left="694" w:top="292" w:right="339" w:bottom="1440" w:gutter="0" w:footer="0" w:header="0"/>
        </w:sectPr>
      </w:pPr>
    </w:p>
    <w:bookmarkStart w:id="90" w:name="page91"/>
    <w:bookmarkEnd w:id="9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3">
                      <a:extLst>
                        <a:ext uri="{28A0092B-C50C-407E-A947-70E740481C1C}"/>
                      </a:extLst>
                    </a:blip>
                    <a:srcRect/>
                    <a:stretch>
                      <a:fillRect/>
                    </a:stretch>
                  </pic:blipFill>
                  <pic:spPr bwMode="auto">
                    <a:xfrm>
                      <a:off x="0" y="0"/>
                      <a:ext cx="7178040" cy="546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(k)(6)</w:t>
            </w:r>
          </w:p>
        </w:tc>
        <w:tc>
          <w:tcPr>
            <w:tcW w:w="92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7"/>
              </w:rPr>
            </w:pPr>
            <w:hyperlink r:id="rId154">
              <w:r>
                <w:rPr>
                  <w:rFonts w:ascii="Times New Roman" w:cs="Times New Roman" w:eastAsia="Times New Roman" w:hAnsi="Times New Roman"/>
                  <w:sz w:val="18"/>
                  <w:szCs w:val="18"/>
                  <w:color w:val="0000EE"/>
                  <w:w w:val="97"/>
                </w:rPr>
                <w:t>Limited Liability Company Agreement of PennantPark Senior Secured Loan Fund I LLC, dated as of May 4, 2017, by and between</w:t>
              </w:r>
            </w:hyperlink>
          </w:p>
        </w:tc>
        <w:tc>
          <w:tcPr>
            <w:tcW w:w="620" w:type="dxa"/>
            <w:vAlign w:val="bottom"/>
            <w:gridSpan w:val="14"/>
          </w:tcPr>
          <w:p>
            <w:pPr>
              <w:spacing w:after="0"/>
              <w:rPr>
                <w:sz w:val="17"/>
                <w:szCs w:val="17"/>
                <w:color w:val="auto"/>
              </w:rPr>
            </w:pPr>
          </w:p>
        </w:tc>
      </w:tr>
      <w:tr>
        <w:trPr>
          <w:trHeight w:val="191"/>
        </w:trPr>
        <w:tc>
          <w:tcPr>
            <w:tcW w:w="1000" w:type="dxa"/>
            <w:vAlign w:val="bottom"/>
          </w:tcPr>
          <w:p>
            <w:pPr>
              <w:spacing w:after="0"/>
              <w:rPr>
                <w:sz w:val="16"/>
                <w:szCs w:val="16"/>
                <w:color w:val="auto"/>
              </w:rPr>
            </w:pPr>
          </w:p>
        </w:tc>
        <w:tc>
          <w:tcPr>
            <w:tcW w:w="9220" w:type="dxa"/>
            <w:vAlign w:val="bottom"/>
            <w:tcBorders>
              <w:bottom w:val="single" w:sz="8" w:color="0000EE"/>
            </w:tcBorders>
            <w:gridSpan w:val="13"/>
          </w:tcPr>
          <w:p>
            <w:pPr>
              <w:spacing w:after="0" w:line="190" w:lineRule="exact"/>
              <w:rPr>
                <w:rFonts w:ascii="Times New Roman" w:cs="Times New Roman" w:eastAsia="Times New Roman" w:hAnsi="Times New Roman"/>
                <w:sz w:val="18"/>
                <w:szCs w:val="18"/>
                <w:color w:val="0000EE"/>
                <w:w w:val="97"/>
              </w:rPr>
            </w:pPr>
            <w:hyperlink r:id="rId154">
              <w:r>
                <w:rPr>
                  <w:rFonts w:ascii="Times New Roman" w:cs="Times New Roman" w:eastAsia="Times New Roman" w:hAnsi="Times New Roman"/>
                  <w:sz w:val="18"/>
                  <w:szCs w:val="18"/>
                  <w:color w:val="0000EE"/>
                  <w:w w:val="97"/>
                </w:rPr>
                <w:t>PennantPark Floating Rate Capital Ltd. and Trinity Universal Insurance Company (Incorporated by reference to Exhibit 10.1 to the</w:t>
              </w:r>
            </w:hyperlink>
          </w:p>
        </w:tc>
        <w:tc>
          <w:tcPr>
            <w:tcW w:w="640" w:type="dxa"/>
            <w:vAlign w:val="bottom"/>
            <w:gridSpan w:val="15"/>
          </w:tcPr>
          <w:p>
            <w:pPr>
              <w:spacing w:after="0"/>
              <w:rPr>
                <w:sz w:val="16"/>
                <w:szCs w:val="16"/>
                <w:color w:val="auto"/>
              </w:rPr>
            </w:pPr>
          </w:p>
        </w:tc>
      </w:tr>
      <w:tr>
        <w:trPr>
          <w:trHeight w:val="191"/>
        </w:trPr>
        <w:tc>
          <w:tcPr>
            <w:tcW w:w="1000" w:type="dxa"/>
            <w:vAlign w:val="bottom"/>
          </w:tcPr>
          <w:p>
            <w:pPr>
              <w:spacing w:after="0"/>
              <w:rPr>
                <w:sz w:val="16"/>
                <w:szCs w:val="16"/>
                <w:color w:val="auto"/>
              </w:rPr>
            </w:pPr>
          </w:p>
        </w:tc>
        <w:tc>
          <w:tcPr>
            <w:tcW w:w="9860" w:type="dxa"/>
            <w:vAlign w:val="bottom"/>
            <w:gridSpan w:val="28"/>
          </w:tcPr>
          <w:p>
            <w:pPr>
              <w:spacing w:after="0" w:line="190"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Registrant’s Quarterly Report on Form 10-Q (File No. 814-00891), filed on August 8, 2017).</w:t>
              </w:r>
            </w:hyperlink>
          </w:p>
        </w:tc>
      </w:tr>
      <w:tr>
        <w:trPr>
          <w:trHeight w:val="20"/>
        </w:trPr>
        <w:tc>
          <w:tcPr>
            <w:tcW w:w="10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(k)(7)</w:t>
            </w:r>
          </w:p>
        </w:tc>
        <w:tc>
          <w:tcPr>
            <w:tcW w:w="9860" w:type="dxa"/>
            <w:vAlign w:val="bottom"/>
            <w:gridSpan w:val="28"/>
          </w:tcPr>
          <w:p>
            <w:pPr>
              <w:spacing w:after="0"/>
              <w:rPr>
                <w:rFonts w:ascii="Times New Roman" w:cs="Times New Roman" w:eastAsia="Times New Roman" w:hAnsi="Times New Roman"/>
                <w:sz w:val="18"/>
                <w:szCs w:val="18"/>
                <w:color w:val="0000EE"/>
                <w:w w:val="98"/>
              </w:rPr>
            </w:pPr>
            <w:hyperlink r:id="rId155">
              <w:r>
                <w:rPr>
                  <w:rFonts w:ascii="Times New Roman" w:cs="Times New Roman" w:eastAsia="Times New Roman" w:hAnsi="Times New Roman"/>
                  <w:sz w:val="18"/>
                  <w:szCs w:val="18"/>
                  <w:color w:val="0000EE"/>
                  <w:w w:val="98"/>
                </w:rPr>
                <w:t>Indemnification Agreement, dated as of November 15, 2016, between PennantPark Floating Rate Capital Ltd. and each of the directors and</w:t>
              </w:r>
            </w:hyperlink>
          </w:p>
        </w:tc>
      </w:tr>
      <w:tr>
        <w:trPr>
          <w:trHeight w:val="191"/>
        </w:trPr>
        <w:tc>
          <w:tcPr>
            <w:tcW w:w="1000" w:type="dxa"/>
            <w:vAlign w:val="bottom"/>
          </w:tcPr>
          <w:p>
            <w:pPr>
              <w:spacing w:after="0"/>
              <w:rPr>
                <w:sz w:val="16"/>
                <w:szCs w:val="16"/>
                <w:color w:val="auto"/>
              </w:rPr>
            </w:pPr>
          </w:p>
        </w:tc>
        <w:tc>
          <w:tcPr>
            <w:tcW w:w="9680" w:type="dxa"/>
            <w:vAlign w:val="bottom"/>
            <w:tcBorders>
              <w:top w:val="single" w:sz="8" w:color="0000EE"/>
              <w:bottom w:val="single" w:sz="8" w:color="0000EE"/>
            </w:tcBorders>
            <w:gridSpan w:val="21"/>
          </w:tcPr>
          <w:p>
            <w:pPr>
              <w:spacing w:after="0" w:line="190" w:lineRule="exact"/>
              <w:rPr>
                <w:rFonts w:ascii="Times New Roman" w:cs="Times New Roman" w:eastAsia="Times New Roman" w:hAnsi="Times New Roman"/>
                <w:sz w:val="18"/>
                <w:szCs w:val="18"/>
                <w:color w:val="0000EE"/>
                <w:w w:val="97"/>
              </w:rPr>
            </w:pPr>
            <w:hyperlink r:id="rId155">
              <w:r>
                <w:rPr>
                  <w:rFonts w:ascii="Times New Roman" w:cs="Times New Roman" w:eastAsia="Times New Roman" w:hAnsi="Times New Roman"/>
                  <w:sz w:val="18"/>
                  <w:szCs w:val="18"/>
                  <w:color w:val="0000EE"/>
                  <w:w w:val="97"/>
                </w:rPr>
                <w:t>officers listed on Schedule A attached thereto (Incorporated by reference to Exhibit 10.6 on the Registrant’s Annual Report on Form 10-K</w:t>
              </w:r>
            </w:hyperlink>
          </w:p>
        </w:tc>
        <w:tc>
          <w:tcPr>
            <w:tcW w:w="80" w:type="dxa"/>
            <w:vAlign w:val="bottom"/>
            <w:tcBorders>
              <w:top w:val="single" w:sz="8" w:color="0000EE"/>
            </w:tcBorders>
            <w:gridSpan w:val="2"/>
          </w:tcPr>
          <w:p>
            <w:pPr>
              <w:spacing w:after="0"/>
              <w:rPr>
                <w:sz w:val="16"/>
                <w:szCs w:val="16"/>
                <w:color w:val="auto"/>
              </w:rPr>
            </w:pPr>
          </w:p>
        </w:tc>
        <w:tc>
          <w:tcPr>
            <w:tcW w:w="100" w:type="dxa"/>
            <w:vAlign w:val="bottom"/>
            <w:gridSpan w:val="5"/>
          </w:tcPr>
          <w:p>
            <w:pPr>
              <w:spacing w:after="0"/>
              <w:rPr>
                <w:sz w:val="16"/>
                <w:szCs w:val="16"/>
                <w:color w:val="auto"/>
              </w:rPr>
            </w:pPr>
          </w:p>
        </w:tc>
      </w:tr>
      <w:tr>
        <w:trPr>
          <w:trHeight w:val="191"/>
        </w:trPr>
        <w:tc>
          <w:tcPr>
            <w:tcW w:w="1000" w:type="dxa"/>
            <w:vAlign w:val="bottom"/>
          </w:tcPr>
          <w:p>
            <w:pPr>
              <w:spacing w:after="0"/>
              <w:rPr>
                <w:sz w:val="16"/>
                <w:szCs w:val="16"/>
                <w:color w:val="auto"/>
              </w:rPr>
            </w:pPr>
          </w:p>
        </w:tc>
        <w:tc>
          <w:tcPr>
            <w:tcW w:w="9860" w:type="dxa"/>
            <w:vAlign w:val="bottom"/>
            <w:gridSpan w:val="28"/>
          </w:tcPr>
          <w:p>
            <w:pPr>
              <w:spacing w:after="0" w:line="190"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(File No. 814-00891), filed on November 22, 2016).</w:t>
              </w:r>
            </w:hyperlink>
          </w:p>
        </w:tc>
      </w:tr>
      <w:tr>
        <w:trPr>
          <w:trHeight w:val="20"/>
        </w:trPr>
        <w:tc>
          <w:tcPr>
            <w:tcW w:w="10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(k)(8)</w:t>
            </w:r>
          </w:p>
        </w:tc>
        <w:tc>
          <w:tcPr>
            <w:tcW w:w="94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6"/>
              </w:rPr>
            </w:pPr>
            <w:hyperlink r:id="rId156">
              <w:r>
                <w:rPr>
                  <w:rFonts w:ascii="Times New Roman" w:cs="Times New Roman" w:eastAsia="Times New Roman" w:hAnsi="Times New Roman"/>
                  <w:sz w:val="18"/>
                  <w:szCs w:val="18"/>
                  <w:color w:val="0000EE"/>
                  <w:w w:val="96"/>
                </w:rPr>
                <w:t>Credit Agreement, dated as of September 19, 2019, by and among PennantPark CLO I, Ltd., as borrower, PennantPark CLO I, LLC, as</w:t>
              </w:r>
            </w:hyperlink>
          </w:p>
        </w:tc>
        <w:tc>
          <w:tcPr>
            <w:tcW w:w="380" w:type="dxa"/>
            <w:vAlign w:val="bottom"/>
            <w:gridSpan w:val="13"/>
          </w:tcPr>
          <w:p>
            <w:pPr>
              <w:spacing w:after="0"/>
              <w:rPr>
                <w:sz w:val="24"/>
                <w:szCs w:val="24"/>
                <w:color w:val="auto"/>
              </w:rPr>
            </w:pPr>
          </w:p>
        </w:tc>
      </w:tr>
      <w:tr>
        <w:trPr>
          <w:trHeight w:val="191"/>
        </w:trPr>
        <w:tc>
          <w:tcPr>
            <w:tcW w:w="1000" w:type="dxa"/>
            <w:vAlign w:val="bottom"/>
          </w:tcPr>
          <w:p>
            <w:pPr>
              <w:spacing w:after="0"/>
              <w:rPr>
                <w:sz w:val="16"/>
                <w:szCs w:val="16"/>
                <w:color w:val="auto"/>
              </w:rPr>
            </w:pPr>
          </w:p>
        </w:tc>
        <w:tc>
          <w:tcPr>
            <w:tcW w:w="9760" w:type="dxa"/>
            <w:vAlign w:val="bottom"/>
            <w:tcBorders>
              <w:bottom w:val="single" w:sz="8" w:color="0000EE"/>
            </w:tcBorders>
            <w:gridSpan w:val="23"/>
          </w:tcPr>
          <w:p>
            <w:pPr>
              <w:spacing w:after="0" w:line="190" w:lineRule="exact"/>
              <w:rPr>
                <w:rFonts w:ascii="Times New Roman" w:cs="Times New Roman" w:eastAsia="Times New Roman" w:hAnsi="Times New Roman"/>
                <w:sz w:val="18"/>
                <w:szCs w:val="18"/>
                <w:color w:val="0000EE"/>
                <w:w w:val="97"/>
              </w:rPr>
            </w:pPr>
            <w:hyperlink r:id="rId156">
              <w:r>
                <w:rPr>
                  <w:rFonts w:ascii="Times New Roman" w:cs="Times New Roman" w:eastAsia="Times New Roman" w:hAnsi="Times New Roman"/>
                  <w:sz w:val="18"/>
                  <w:szCs w:val="18"/>
                  <w:color w:val="0000EE"/>
                  <w:w w:val="97"/>
                </w:rPr>
                <w:t>co-borrower, the various financial institutions party thereto from time to time, as lenders, and U.S. Bank National Association, as collateral</w:t>
              </w:r>
            </w:hyperlink>
          </w:p>
        </w:tc>
        <w:tc>
          <w:tcPr>
            <w:tcW w:w="100" w:type="dxa"/>
            <w:vAlign w:val="bottom"/>
            <w:gridSpan w:val="5"/>
          </w:tcPr>
          <w:p>
            <w:pPr>
              <w:spacing w:after="0"/>
              <w:rPr>
                <w:sz w:val="16"/>
                <w:szCs w:val="16"/>
                <w:color w:val="auto"/>
              </w:rPr>
            </w:pPr>
          </w:p>
        </w:tc>
      </w:tr>
      <w:tr>
        <w:trPr>
          <w:trHeight w:val="191"/>
        </w:trPr>
        <w:tc>
          <w:tcPr>
            <w:tcW w:w="1000" w:type="dxa"/>
            <w:vAlign w:val="bottom"/>
          </w:tcPr>
          <w:p>
            <w:pPr>
              <w:spacing w:after="0"/>
              <w:rPr>
                <w:sz w:val="16"/>
                <w:szCs w:val="16"/>
                <w:color w:val="auto"/>
              </w:rPr>
            </w:pPr>
          </w:p>
        </w:tc>
        <w:tc>
          <w:tcPr>
            <w:tcW w:w="9620" w:type="dxa"/>
            <w:vAlign w:val="bottom"/>
            <w:tcBorders>
              <w:bottom w:val="single" w:sz="8" w:color="0000EE"/>
            </w:tcBorders>
            <w:gridSpan w:val="19"/>
          </w:tcPr>
          <w:p>
            <w:pPr>
              <w:spacing w:after="0" w:line="190" w:lineRule="exact"/>
              <w:rPr>
                <w:rFonts w:ascii="Times New Roman" w:cs="Times New Roman" w:eastAsia="Times New Roman" w:hAnsi="Times New Roman"/>
                <w:sz w:val="18"/>
                <w:szCs w:val="18"/>
                <w:color w:val="0000EE"/>
                <w:w w:val="97"/>
              </w:rPr>
            </w:pPr>
            <w:hyperlink r:id="rId156">
              <w:r>
                <w:rPr>
                  <w:rFonts w:ascii="Times New Roman" w:cs="Times New Roman" w:eastAsia="Times New Roman" w:hAnsi="Times New Roman"/>
                  <w:sz w:val="18"/>
                  <w:szCs w:val="18"/>
                  <w:color w:val="0000EE"/>
                  <w:w w:val="97"/>
                </w:rPr>
                <w:t>agent and as loan agent (Incorporated by reference to Exhibit 99.3 to the Registrant’s Current Report on Form 8-K (File No. 814-00891),</w:t>
              </w:r>
            </w:hyperlink>
          </w:p>
        </w:tc>
        <w:tc>
          <w:tcPr>
            <w:tcW w:w="240" w:type="dxa"/>
            <w:vAlign w:val="bottom"/>
            <w:gridSpan w:val="9"/>
          </w:tcPr>
          <w:p>
            <w:pPr>
              <w:spacing w:after="0"/>
              <w:rPr>
                <w:sz w:val="16"/>
                <w:szCs w:val="16"/>
                <w:color w:val="auto"/>
              </w:rPr>
            </w:pPr>
          </w:p>
        </w:tc>
      </w:tr>
      <w:tr>
        <w:trPr>
          <w:trHeight w:val="191"/>
        </w:trPr>
        <w:tc>
          <w:tcPr>
            <w:tcW w:w="1000" w:type="dxa"/>
            <w:vAlign w:val="bottom"/>
          </w:tcPr>
          <w:p>
            <w:pPr>
              <w:spacing w:after="0"/>
              <w:rPr>
                <w:sz w:val="16"/>
                <w:szCs w:val="16"/>
                <w:color w:val="auto"/>
              </w:rPr>
            </w:pPr>
          </w:p>
        </w:tc>
        <w:tc>
          <w:tcPr>
            <w:tcW w:w="9860" w:type="dxa"/>
            <w:vAlign w:val="bottom"/>
            <w:gridSpan w:val="28"/>
          </w:tcPr>
          <w:p>
            <w:pPr>
              <w:spacing w:after="0" w:line="190"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filed on September 20, 2019).</w:t>
              </w:r>
            </w:hyperlink>
          </w:p>
        </w:tc>
      </w:tr>
      <w:tr>
        <w:trPr>
          <w:trHeight w:val="20"/>
        </w:trPr>
        <w:tc>
          <w:tcPr>
            <w:tcW w:w="10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(k)(9)</w:t>
            </w:r>
          </w:p>
        </w:tc>
        <w:tc>
          <w:tcPr>
            <w:tcW w:w="92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7"/>
              </w:rPr>
            </w:pPr>
            <w:hyperlink r:id="rId157">
              <w:r>
                <w:rPr>
                  <w:rFonts w:ascii="Times New Roman" w:cs="Times New Roman" w:eastAsia="Times New Roman" w:hAnsi="Times New Roman"/>
                  <w:sz w:val="18"/>
                  <w:szCs w:val="18"/>
                  <w:color w:val="0000EE"/>
                  <w:w w:val="97"/>
                </w:rPr>
                <w:t>Collateral Management Agreement, dated as of September 19, 2019, between PennantPark CLO I, Ltd., as issuer, and PennantPark</w:t>
              </w:r>
            </w:hyperlink>
          </w:p>
        </w:tc>
        <w:tc>
          <w:tcPr>
            <w:tcW w:w="660" w:type="dxa"/>
            <w:vAlign w:val="bottom"/>
            <w:gridSpan w:val="16"/>
          </w:tcPr>
          <w:p>
            <w:pPr>
              <w:spacing w:after="0"/>
              <w:rPr>
                <w:sz w:val="24"/>
                <w:szCs w:val="24"/>
                <w:color w:val="auto"/>
              </w:rPr>
            </w:pPr>
          </w:p>
        </w:tc>
      </w:tr>
      <w:tr>
        <w:trPr>
          <w:trHeight w:val="191"/>
        </w:trPr>
        <w:tc>
          <w:tcPr>
            <w:tcW w:w="1000" w:type="dxa"/>
            <w:vAlign w:val="bottom"/>
          </w:tcPr>
          <w:p>
            <w:pPr>
              <w:spacing w:after="0"/>
              <w:rPr>
                <w:sz w:val="16"/>
                <w:szCs w:val="16"/>
                <w:color w:val="auto"/>
              </w:rPr>
            </w:pPr>
          </w:p>
        </w:tc>
        <w:tc>
          <w:tcPr>
            <w:tcW w:w="9860" w:type="dxa"/>
            <w:vAlign w:val="bottom"/>
            <w:gridSpan w:val="28"/>
          </w:tcPr>
          <w:p>
            <w:pPr>
              <w:spacing w:after="0" w:line="190" w:lineRule="exact"/>
              <w:rPr>
                <w:rFonts w:ascii="Times New Roman" w:cs="Times New Roman" w:eastAsia="Times New Roman" w:hAnsi="Times New Roman"/>
                <w:sz w:val="18"/>
                <w:szCs w:val="18"/>
                <w:color w:val="0000EE"/>
                <w:w w:val="97"/>
              </w:rPr>
            </w:pPr>
            <w:hyperlink r:id="rId157">
              <w:r>
                <w:rPr>
                  <w:rFonts w:ascii="Times New Roman" w:cs="Times New Roman" w:eastAsia="Times New Roman" w:hAnsi="Times New Roman"/>
                  <w:sz w:val="18"/>
                  <w:szCs w:val="18"/>
                  <w:color w:val="0000EE"/>
                  <w:w w:val="97"/>
                </w:rPr>
                <w:t>Investment Advisers, LLC, as collateral manager (Incorporated by reference to Exhibit 99.4 to the Registrant’s Current Report on Form 8-K</w:t>
              </w:r>
            </w:hyperlink>
          </w:p>
        </w:tc>
      </w:tr>
      <w:tr>
        <w:trPr>
          <w:trHeight w:val="191"/>
        </w:trPr>
        <w:tc>
          <w:tcPr>
            <w:tcW w:w="1000" w:type="dxa"/>
            <w:vAlign w:val="bottom"/>
          </w:tcPr>
          <w:p>
            <w:pPr>
              <w:spacing w:after="0"/>
              <w:rPr>
                <w:sz w:val="16"/>
                <w:szCs w:val="16"/>
                <w:color w:val="auto"/>
              </w:rPr>
            </w:pPr>
          </w:p>
        </w:tc>
        <w:tc>
          <w:tcPr>
            <w:tcW w:w="3680" w:type="dxa"/>
            <w:vAlign w:val="bottom"/>
            <w:tcBorders>
              <w:top w:val="single" w:sz="8" w:color="0000EE"/>
              <w:bottom w:val="single" w:sz="8" w:color="0000EE"/>
            </w:tcBorders>
            <w:gridSpan w:val="7"/>
          </w:tcPr>
          <w:p>
            <w:pPr>
              <w:spacing w:after="0" w:line="190" w:lineRule="exact"/>
              <w:rPr>
                <w:rFonts w:ascii="Times New Roman" w:cs="Times New Roman" w:eastAsia="Times New Roman" w:hAnsi="Times New Roman"/>
                <w:sz w:val="18"/>
                <w:szCs w:val="18"/>
                <w:color w:val="0000EE"/>
                <w:w w:val="96"/>
              </w:rPr>
            </w:pPr>
            <w:hyperlink r:id="rId157">
              <w:r>
                <w:rPr>
                  <w:rFonts w:ascii="Times New Roman" w:cs="Times New Roman" w:eastAsia="Times New Roman" w:hAnsi="Times New Roman"/>
                  <w:sz w:val="18"/>
                  <w:szCs w:val="18"/>
                  <w:color w:val="0000EE"/>
                  <w:w w:val="96"/>
                </w:rPr>
                <w:t>(File No. 814-00891), filed on September 20, 2019).</w:t>
              </w:r>
            </w:hyperlink>
          </w:p>
        </w:tc>
        <w:tc>
          <w:tcPr>
            <w:tcW w:w="6140" w:type="dxa"/>
            <w:vAlign w:val="bottom"/>
            <w:tcBorders>
              <w:top w:val="single" w:sz="8" w:color="0000EE"/>
            </w:tcBorders>
            <w:gridSpan w:val="19"/>
          </w:tcPr>
          <w:p>
            <w:pPr>
              <w:spacing w:after="0"/>
              <w:rPr>
                <w:sz w:val="16"/>
                <w:szCs w:val="16"/>
                <w:color w:val="auto"/>
              </w:rPr>
            </w:pPr>
          </w:p>
        </w:tc>
        <w:tc>
          <w:tcPr>
            <w:tcW w:w="40" w:type="dxa"/>
            <w:vAlign w:val="bottom"/>
            <w:gridSpan w:val="2"/>
          </w:tcPr>
          <w:p>
            <w:pPr>
              <w:spacing w:after="0"/>
              <w:rPr>
                <w:sz w:val="16"/>
                <w:szCs w:val="16"/>
                <w:color w:val="auto"/>
              </w:rPr>
            </w:pPr>
          </w:p>
        </w:tc>
      </w:tr>
      <w:tr>
        <w:trPr>
          <w:trHeight w:val="3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(k)(10)</w:t>
            </w:r>
          </w:p>
        </w:tc>
        <w:tc>
          <w:tcPr>
            <w:tcW w:w="9860" w:type="dxa"/>
            <w:vAlign w:val="bottom"/>
            <w:gridSpan w:val="28"/>
          </w:tcPr>
          <w:p>
            <w:pPr>
              <w:spacing w:after="0"/>
              <w:rPr>
                <w:rFonts w:ascii="Times New Roman" w:cs="Times New Roman" w:eastAsia="Times New Roman" w:hAnsi="Times New Roman"/>
                <w:sz w:val="18"/>
                <w:szCs w:val="18"/>
                <w:color w:val="0000EE"/>
                <w:w w:val="97"/>
              </w:rPr>
            </w:pPr>
            <w:hyperlink r:id="rId158">
              <w:r>
                <w:rPr>
                  <w:rFonts w:ascii="Times New Roman" w:cs="Times New Roman" w:eastAsia="Times New Roman" w:hAnsi="Times New Roman"/>
                  <w:sz w:val="18"/>
                  <w:szCs w:val="18"/>
                  <w:color w:val="0000EE"/>
                  <w:w w:val="97"/>
                </w:rPr>
                <w:t>Master Loan Sale Agreement, dated as of September 19, 2019, among PennantPark Floating Rate Capital Ltd., as seller, PennantPark CLO I</w:t>
              </w:r>
            </w:hyperlink>
          </w:p>
        </w:tc>
      </w:tr>
      <w:tr>
        <w:trPr>
          <w:trHeight w:val="191"/>
        </w:trPr>
        <w:tc>
          <w:tcPr>
            <w:tcW w:w="1000" w:type="dxa"/>
            <w:vAlign w:val="bottom"/>
          </w:tcPr>
          <w:p>
            <w:pPr>
              <w:spacing w:after="0"/>
              <w:rPr>
                <w:sz w:val="16"/>
                <w:szCs w:val="16"/>
                <w:color w:val="auto"/>
              </w:rPr>
            </w:pPr>
          </w:p>
        </w:tc>
        <w:tc>
          <w:tcPr>
            <w:tcW w:w="9840" w:type="dxa"/>
            <w:vAlign w:val="bottom"/>
            <w:tcBorders>
              <w:top w:val="single" w:sz="8" w:color="0000EE"/>
            </w:tcBorders>
            <w:gridSpan w:val="27"/>
          </w:tcPr>
          <w:p>
            <w:pPr>
              <w:spacing w:after="0" w:line="190" w:lineRule="exact"/>
              <w:rPr>
                <w:rFonts w:ascii="Times New Roman" w:cs="Times New Roman" w:eastAsia="Times New Roman" w:hAnsi="Times New Roman"/>
                <w:sz w:val="18"/>
                <w:szCs w:val="18"/>
                <w:color w:val="0000EE"/>
                <w:w w:val="97"/>
              </w:rPr>
            </w:pPr>
            <w:hyperlink r:id="rId158">
              <w:r>
                <w:rPr>
                  <w:rFonts w:ascii="Times New Roman" w:cs="Times New Roman" w:eastAsia="Times New Roman" w:hAnsi="Times New Roman"/>
                  <w:sz w:val="18"/>
                  <w:szCs w:val="18"/>
                  <w:color w:val="0000EE"/>
                  <w:w w:val="97"/>
                </w:rPr>
                <w:t>Depositor, LLC, as intermediate seller, and PennantPark CLO I Ltd., as buyer (Incorporated by reference to Exhibit 99.5 to the Registrant’s</w:t>
              </w:r>
            </w:hyperlink>
          </w:p>
        </w:tc>
        <w:tc>
          <w:tcPr>
            <w:tcW w:w="20" w:type="dxa"/>
            <w:vAlign w:val="bottom"/>
          </w:tcPr>
          <w:p>
            <w:pPr>
              <w:spacing w:after="0"/>
              <w:rPr>
                <w:sz w:val="16"/>
                <w:szCs w:val="16"/>
                <w:color w:val="auto"/>
              </w:rPr>
            </w:pPr>
          </w:p>
        </w:tc>
      </w:tr>
      <w:tr>
        <w:trPr>
          <w:trHeight w:val="191"/>
        </w:trPr>
        <w:tc>
          <w:tcPr>
            <w:tcW w:w="1000" w:type="dxa"/>
            <w:vAlign w:val="bottom"/>
          </w:tcPr>
          <w:p>
            <w:pPr>
              <w:spacing w:after="0"/>
              <w:rPr>
                <w:sz w:val="16"/>
                <w:szCs w:val="16"/>
                <w:color w:val="auto"/>
              </w:rPr>
            </w:pPr>
          </w:p>
        </w:tc>
        <w:tc>
          <w:tcPr>
            <w:tcW w:w="5740" w:type="dxa"/>
            <w:vAlign w:val="bottom"/>
            <w:tcBorders>
              <w:top w:val="single" w:sz="8" w:color="0000EE"/>
              <w:bottom w:val="single" w:sz="8" w:color="0000EE"/>
            </w:tcBorders>
            <w:gridSpan w:val="8"/>
          </w:tcPr>
          <w:p>
            <w:pPr>
              <w:spacing w:after="0" w:line="190" w:lineRule="exact"/>
              <w:rPr>
                <w:rFonts w:ascii="Times New Roman" w:cs="Times New Roman" w:eastAsia="Times New Roman" w:hAnsi="Times New Roman"/>
                <w:sz w:val="18"/>
                <w:szCs w:val="18"/>
                <w:color w:val="0000EE"/>
                <w:w w:val="97"/>
              </w:rPr>
            </w:pPr>
            <w:hyperlink r:id="rId158">
              <w:r>
                <w:rPr>
                  <w:rFonts w:ascii="Times New Roman" w:cs="Times New Roman" w:eastAsia="Times New Roman" w:hAnsi="Times New Roman"/>
                  <w:sz w:val="18"/>
                  <w:szCs w:val="18"/>
                  <w:color w:val="0000EE"/>
                  <w:w w:val="97"/>
                </w:rPr>
                <w:t>Current Report on Form 8-K (File No. 814-00891), filed on September 20, 2019).</w:t>
              </w:r>
            </w:hyperlink>
          </w:p>
        </w:tc>
        <w:tc>
          <w:tcPr>
            <w:tcW w:w="4020" w:type="dxa"/>
            <w:vAlign w:val="bottom"/>
            <w:tcBorders>
              <w:top w:val="single" w:sz="8" w:color="0000EE"/>
            </w:tcBorders>
            <w:gridSpan w:val="15"/>
          </w:tcPr>
          <w:p>
            <w:pPr>
              <w:spacing w:after="0"/>
              <w:rPr>
                <w:sz w:val="16"/>
                <w:szCs w:val="16"/>
                <w:color w:val="auto"/>
              </w:rPr>
            </w:pPr>
          </w:p>
        </w:tc>
        <w:tc>
          <w:tcPr>
            <w:tcW w:w="100" w:type="dxa"/>
            <w:vAlign w:val="bottom"/>
            <w:gridSpan w:val="5"/>
          </w:tcPr>
          <w:p>
            <w:pPr>
              <w:spacing w:after="0"/>
              <w:rPr>
                <w:sz w:val="16"/>
                <w:szCs w:val="16"/>
                <w:color w:val="auto"/>
              </w:rPr>
            </w:pPr>
          </w:p>
        </w:tc>
      </w:tr>
      <w:tr>
        <w:trPr>
          <w:trHeight w:val="3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(k)(l1)</w:t>
            </w:r>
          </w:p>
        </w:tc>
        <w:tc>
          <w:tcPr>
            <w:tcW w:w="9860" w:type="dxa"/>
            <w:vAlign w:val="bottom"/>
            <w:gridSpan w:val="28"/>
          </w:tcPr>
          <w:p>
            <w:pPr>
              <w:spacing w:after="0"/>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Master Participation Agreement, dated as of September 19, 2019, between PennantPark Floating Rate Funding I, LLC, as seller and</w:t>
              </w:r>
            </w:hyperlink>
          </w:p>
        </w:tc>
      </w:tr>
      <w:tr>
        <w:trPr>
          <w:trHeight w:val="20"/>
        </w:trPr>
        <w:tc>
          <w:tcPr>
            <w:tcW w:w="10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760" w:type="dxa"/>
            <w:vAlign w:val="bottom"/>
            <w:gridSpan w:val="5"/>
            <w:shd w:val="clear" w:color="auto" w:fill="0000EE"/>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1"/>
        </w:trPr>
        <w:tc>
          <w:tcPr>
            <w:tcW w:w="1000" w:type="dxa"/>
            <w:vAlign w:val="bottom"/>
          </w:tcPr>
          <w:p>
            <w:pPr>
              <w:spacing w:after="0"/>
              <w:rPr>
                <w:sz w:val="16"/>
                <w:szCs w:val="16"/>
                <w:color w:val="auto"/>
              </w:rPr>
            </w:pPr>
          </w:p>
        </w:tc>
        <w:tc>
          <w:tcPr>
            <w:tcW w:w="9860" w:type="dxa"/>
            <w:vAlign w:val="bottom"/>
            <w:tcBorders>
              <w:bottom w:val="single" w:sz="8" w:color="0000EE"/>
            </w:tcBorders>
            <w:gridSpan w:val="28"/>
          </w:tcPr>
          <w:p>
            <w:pPr>
              <w:spacing w:after="0" w:line="190" w:lineRule="exact"/>
              <w:rPr>
                <w:rFonts w:ascii="Times New Roman" w:cs="Times New Roman" w:eastAsia="Times New Roman" w:hAnsi="Times New Roman"/>
                <w:sz w:val="18"/>
                <w:szCs w:val="18"/>
                <w:color w:val="0000EE"/>
                <w:w w:val="97"/>
              </w:rPr>
            </w:pPr>
            <w:hyperlink r:id="rId159">
              <w:r>
                <w:rPr>
                  <w:rFonts w:ascii="Times New Roman" w:cs="Times New Roman" w:eastAsia="Times New Roman" w:hAnsi="Times New Roman"/>
                  <w:sz w:val="18"/>
                  <w:szCs w:val="18"/>
                  <w:color w:val="0000EE"/>
                  <w:w w:val="97"/>
                </w:rPr>
                <w:t>PennantPark CLO I, Ltd., as buyer (Incorporated by reference to Exhibit 99.6 to the Registrant’s Current Report on Form 8-K (File No. 814-</w:t>
              </w:r>
            </w:hyperlink>
          </w:p>
        </w:tc>
      </w:tr>
      <w:tr>
        <w:trPr>
          <w:trHeight w:val="191"/>
        </w:trPr>
        <w:tc>
          <w:tcPr>
            <w:tcW w:w="1000" w:type="dxa"/>
            <w:vAlign w:val="bottom"/>
          </w:tcPr>
          <w:p>
            <w:pPr>
              <w:spacing w:after="0"/>
              <w:rPr>
                <w:sz w:val="16"/>
                <w:szCs w:val="16"/>
                <w:color w:val="auto"/>
              </w:rPr>
            </w:pPr>
          </w:p>
        </w:tc>
        <w:tc>
          <w:tcPr>
            <w:tcW w:w="2680" w:type="dxa"/>
            <w:vAlign w:val="bottom"/>
            <w:tcBorders>
              <w:bottom w:val="single" w:sz="8" w:color="0000EE"/>
            </w:tcBorders>
            <w:gridSpan w:val="5"/>
          </w:tcPr>
          <w:p>
            <w:pPr>
              <w:spacing w:after="0" w:line="190" w:lineRule="exact"/>
              <w:rPr>
                <w:rFonts w:ascii="Times New Roman" w:cs="Times New Roman" w:eastAsia="Times New Roman" w:hAnsi="Times New Roman"/>
                <w:sz w:val="18"/>
                <w:szCs w:val="18"/>
                <w:color w:val="0000EE"/>
                <w:w w:val="96"/>
              </w:rPr>
            </w:pPr>
            <w:hyperlink r:id="rId159">
              <w:r>
                <w:rPr>
                  <w:rFonts w:ascii="Times New Roman" w:cs="Times New Roman" w:eastAsia="Times New Roman" w:hAnsi="Times New Roman"/>
                  <w:sz w:val="18"/>
                  <w:szCs w:val="18"/>
                  <w:color w:val="0000EE"/>
                  <w:w w:val="96"/>
                </w:rPr>
                <w:t>00891)</w:t>
              </w:r>
              <w:r>
                <w:rPr>
                  <w:rFonts w:ascii="Times New Roman" w:cs="Times New Roman" w:eastAsia="Times New Roman" w:hAnsi="Times New Roman"/>
                  <w:sz w:val="18"/>
                  <w:szCs w:val="18"/>
                  <w:u w:val="single" w:color="auto"/>
                  <w:color w:val="0000EE"/>
                  <w:w w:val="96"/>
                </w:rPr>
                <w:t>,</w:t>
              </w:r>
              <w:r>
                <w:rPr>
                  <w:rFonts w:ascii="Times New Roman" w:cs="Times New Roman" w:eastAsia="Times New Roman" w:hAnsi="Times New Roman"/>
                  <w:sz w:val="18"/>
                  <w:szCs w:val="18"/>
                  <w:color w:val="0000EE"/>
                  <w:w w:val="96"/>
                </w:rPr>
                <w:t xml:space="preserve"> filed on September 20, 2019).</w:t>
              </w:r>
            </w:hyperlink>
          </w:p>
        </w:tc>
        <w:tc>
          <w:tcPr>
            <w:tcW w:w="7180" w:type="dxa"/>
            <w:vAlign w:val="bottom"/>
            <w:gridSpan w:val="23"/>
          </w:tcPr>
          <w:p>
            <w:pPr>
              <w:spacing w:after="0"/>
              <w:rPr>
                <w:sz w:val="16"/>
                <w:szCs w:val="16"/>
                <w:color w:val="auto"/>
              </w:rPr>
            </w:pPr>
          </w:p>
        </w:tc>
      </w:tr>
      <w:tr>
        <w:trPr>
          <w:trHeight w:val="3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(k)(12)</w:t>
            </w:r>
          </w:p>
        </w:tc>
        <w:tc>
          <w:tcPr>
            <w:tcW w:w="9860" w:type="dxa"/>
            <w:vAlign w:val="bottom"/>
            <w:gridSpan w:val="28"/>
          </w:tcPr>
          <w:p>
            <w:pPr>
              <w:spacing w:after="0"/>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Underwriting Agreement, dated August 8, 2022, among PennantPark Floating Rate Capital Ltd., PennantPark Investment Advisers, LLC,</w:t>
              </w:r>
            </w:hyperlink>
          </w:p>
        </w:tc>
      </w:tr>
      <w:tr>
        <w:trPr>
          <w:trHeight w:val="20"/>
        </w:trPr>
        <w:tc>
          <w:tcPr>
            <w:tcW w:w="10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460" w:type="dxa"/>
            <w:vAlign w:val="bottom"/>
            <w:gridSpan w:val="7"/>
            <w:shd w:val="clear" w:color="auto" w:fill="0000EE"/>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1"/>
        </w:trPr>
        <w:tc>
          <w:tcPr>
            <w:tcW w:w="1000" w:type="dxa"/>
            <w:vAlign w:val="bottom"/>
          </w:tcPr>
          <w:p>
            <w:pPr>
              <w:spacing w:after="0"/>
              <w:rPr>
                <w:sz w:val="16"/>
                <w:szCs w:val="16"/>
                <w:color w:val="auto"/>
              </w:rPr>
            </w:pPr>
          </w:p>
        </w:tc>
        <w:tc>
          <w:tcPr>
            <w:tcW w:w="9700" w:type="dxa"/>
            <w:vAlign w:val="bottom"/>
            <w:tcBorders>
              <w:bottom w:val="single" w:sz="8" w:color="0000EE"/>
            </w:tcBorders>
            <w:gridSpan w:val="22"/>
          </w:tcPr>
          <w:p>
            <w:pPr>
              <w:spacing w:after="0" w:line="190" w:lineRule="exact"/>
              <w:rPr>
                <w:rFonts w:ascii="Times New Roman" w:cs="Times New Roman" w:eastAsia="Times New Roman" w:hAnsi="Times New Roman"/>
                <w:sz w:val="18"/>
                <w:szCs w:val="18"/>
                <w:color w:val="0000EE"/>
                <w:w w:val="96"/>
              </w:rPr>
            </w:pPr>
            <w:hyperlink r:id="rId160">
              <w:r>
                <w:rPr>
                  <w:rFonts w:ascii="Times New Roman" w:cs="Times New Roman" w:eastAsia="Times New Roman" w:hAnsi="Times New Roman"/>
                  <w:sz w:val="18"/>
                  <w:szCs w:val="18"/>
                  <w:color w:val="0000EE"/>
                  <w:w w:val="96"/>
                </w:rPr>
                <w:t>PennantPark Investment Administration, LLC, and Morgan Stanley &amp; Co. LLC, Goldman Sachs &amp; Co. LLC, J.P. Morgan Securities LLC,</w:t>
              </w:r>
            </w:hyperlink>
          </w:p>
        </w:tc>
        <w:tc>
          <w:tcPr>
            <w:tcW w:w="160" w:type="dxa"/>
            <w:vAlign w:val="bottom"/>
            <w:gridSpan w:val="6"/>
          </w:tcPr>
          <w:p>
            <w:pPr>
              <w:spacing w:after="0"/>
              <w:rPr>
                <w:sz w:val="16"/>
                <w:szCs w:val="16"/>
                <w:color w:val="auto"/>
              </w:rPr>
            </w:pPr>
          </w:p>
        </w:tc>
      </w:tr>
      <w:tr>
        <w:trPr>
          <w:trHeight w:val="191"/>
        </w:trPr>
        <w:tc>
          <w:tcPr>
            <w:tcW w:w="1000" w:type="dxa"/>
            <w:vAlign w:val="bottom"/>
          </w:tcPr>
          <w:p>
            <w:pPr>
              <w:spacing w:after="0"/>
              <w:rPr>
                <w:sz w:val="16"/>
                <w:szCs w:val="16"/>
                <w:color w:val="auto"/>
              </w:rPr>
            </w:pPr>
          </w:p>
        </w:tc>
        <w:tc>
          <w:tcPr>
            <w:tcW w:w="9800" w:type="dxa"/>
            <w:vAlign w:val="bottom"/>
            <w:tcBorders>
              <w:bottom w:val="single" w:sz="8" w:color="0000EE"/>
            </w:tcBorders>
            <w:gridSpan w:val="25"/>
          </w:tcPr>
          <w:p>
            <w:pPr>
              <w:spacing w:after="0" w:line="190" w:lineRule="exact"/>
              <w:rPr>
                <w:rFonts w:ascii="Times New Roman" w:cs="Times New Roman" w:eastAsia="Times New Roman" w:hAnsi="Times New Roman"/>
                <w:sz w:val="18"/>
                <w:szCs w:val="18"/>
                <w:color w:val="0000EE"/>
                <w:w w:val="96"/>
              </w:rPr>
            </w:pPr>
            <w:hyperlink r:id="rId160">
              <w:r>
                <w:rPr>
                  <w:rFonts w:ascii="Times New Roman" w:cs="Times New Roman" w:eastAsia="Times New Roman" w:hAnsi="Times New Roman"/>
                  <w:sz w:val="18"/>
                  <w:szCs w:val="18"/>
                  <w:color w:val="0000EE"/>
                  <w:w w:val="96"/>
                </w:rPr>
                <w:t>Keefe, Bruyette &amp; Woods, Inc., RBC Capital Markets, LLC and Truist Securities, Inc., as representatives of the several underwriters named</w:t>
              </w:r>
            </w:hyperlink>
          </w:p>
        </w:tc>
        <w:tc>
          <w:tcPr>
            <w:tcW w:w="60" w:type="dxa"/>
            <w:vAlign w:val="bottom"/>
            <w:gridSpan w:val="3"/>
          </w:tcPr>
          <w:p>
            <w:pPr>
              <w:spacing w:after="0"/>
              <w:rPr>
                <w:sz w:val="16"/>
                <w:szCs w:val="16"/>
                <w:color w:val="auto"/>
              </w:rPr>
            </w:pPr>
          </w:p>
        </w:tc>
      </w:tr>
      <w:tr>
        <w:trPr>
          <w:trHeight w:val="191"/>
        </w:trPr>
        <w:tc>
          <w:tcPr>
            <w:tcW w:w="1000" w:type="dxa"/>
            <w:vAlign w:val="bottom"/>
          </w:tcPr>
          <w:p>
            <w:pPr>
              <w:spacing w:after="0"/>
              <w:rPr>
                <w:sz w:val="16"/>
                <w:szCs w:val="16"/>
                <w:color w:val="auto"/>
              </w:rPr>
            </w:pPr>
          </w:p>
        </w:tc>
        <w:tc>
          <w:tcPr>
            <w:tcW w:w="9860" w:type="dxa"/>
            <w:vAlign w:val="bottom"/>
            <w:gridSpan w:val="28"/>
          </w:tcPr>
          <w:p>
            <w:pPr>
              <w:spacing w:after="0" w:line="190" w:lineRule="exact"/>
              <w:rPr>
                <w:rFonts w:ascii="Times New Roman" w:cs="Times New Roman" w:eastAsia="Times New Roman" w:hAnsi="Times New Roman"/>
                <w:sz w:val="18"/>
                <w:szCs w:val="18"/>
                <w:color w:val="0000EE"/>
                <w:w w:val="97"/>
              </w:rPr>
            </w:pPr>
            <w:hyperlink r:id="rId160">
              <w:r>
                <w:rPr>
                  <w:rFonts w:ascii="Times New Roman" w:cs="Times New Roman" w:eastAsia="Times New Roman" w:hAnsi="Times New Roman"/>
                  <w:sz w:val="18"/>
                  <w:szCs w:val="18"/>
                  <w:color w:val="0000EE"/>
                  <w:w w:val="97"/>
                </w:rPr>
                <w:t>on Schedule A thereto (Incorporated by reference to Exhibit 1.1 to the Registrant’s Current Report on Form 8-K (File No. 814-00891), filed</w:t>
              </w:r>
            </w:hyperlink>
          </w:p>
        </w:tc>
      </w:tr>
      <w:tr>
        <w:trPr>
          <w:trHeight w:val="191"/>
        </w:trPr>
        <w:tc>
          <w:tcPr>
            <w:tcW w:w="1000" w:type="dxa"/>
            <w:vAlign w:val="bottom"/>
          </w:tcPr>
          <w:p>
            <w:pPr>
              <w:spacing w:after="0"/>
              <w:rPr>
                <w:sz w:val="16"/>
                <w:szCs w:val="16"/>
                <w:color w:val="auto"/>
              </w:rPr>
            </w:pPr>
          </w:p>
        </w:tc>
        <w:tc>
          <w:tcPr>
            <w:tcW w:w="1480" w:type="dxa"/>
            <w:vAlign w:val="bottom"/>
            <w:tcBorders>
              <w:top w:val="single" w:sz="8" w:color="0000EE"/>
              <w:bottom w:val="single" w:sz="8" w:color="0000EE"/>
            </w:tcBorders>
            <w:gridSpan w:val="2"/>
          </w:tcPr>
          <w:p>
            <w:pPr>
              <w:spacing w:after="0" w:line="190" w:lineRule="exact"/>
              <w:rPr>
                <w:rFonts w:ascii="Times New Roman" w:cs="Times New Roman" w:eastAsia="Times New Roman" w:hAnsi="Times New Roman"/>
                <w:sz w:val="18"/>
                <w:szCs w:val="18"/>
                <w:color w:val="0000EE"/>
                <w:w w:val="95"/>
              </w:rPr>
            </w:pPr>
            <w:hyperlink r:id="rId160">
              <w:r>
                <w:rPr>
                  <w:rFonts w:ascii="Times New Roman" w:cs="Times New Roman" w:eastAsia="Times New Roman" w:hAnsi="Times New Roman"/>
                  <w:sz w:val="18"/>
                  <w:szCs w:val="18"/>
                  <w:color w:val="0000EE"/>
                  <w:w w:val="95"/>
                </w:rPr>
                <w:t>on August 11, 2022).</w:t>
              </w:r>
            </w:hyperlink>
          </w:p>
        </w:tc>
        <w:tc>
          <w:tcPr>
            <w:tcW w:w="8320" w:type="dxa"/>
            <w:vAlign w:val="bottom"/>
            <w:tcBorders>
              <w:top w:val="single" w:sz="8" w:color="0000EE"/>
            </w:tcBorders>
            <w:gridSpan w:val="23"/>
          </w:tcPr>
          <w:p>
            <w:pPr>
              <w:spacing w:after="0"/>
              <w:rPr>
                <w:sz w:val="16"/>
                <w:szCs w:val="16"/>
                <w:color w:val="auto"/>
              </w:rPr>
            </w:pPr>
          </w:p>
        </w:tc>
        <w:tc>
          <w:tcPr>
            <w:tcW w:w="60" w:type="dxa"/>
            <w:vAlign w:val="bottom"/>
            <w:gridSpan w:val="3"/>
          </w:tcPr>
          <w:p>
            <w:pPr>
              <w:spacing w:after="0"/>
              <w:rPr>
                <w:sz w:val="16"/>
                <w:szCs w:val="16"/>
                <w:color w:val="auto"/>
              </w:rPr>
            </w:pPr>
          </w:p>
        </w:tc>
      </w:tr>
      <w:tr>
        <w:trPr>
          <w:trHeight w:val="29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(k)(13)</w:t>
            </w:r>
          </w:p>
        </w:tc>
        <w:tc>
          <w:tcPr>
            <w:tcW w:w="96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7"/>
              </w:rPr>
            </w:pPr>
            <w:hyperlink r:id="rId161">
              <w:r>
                <w:rPr>
                  <w:rFonts w:ascii="Times New Roman" w:cs="Times New Roman" w:eastAsia="Times New Roman" w:hAnsi="Times New Roman"/>
                  <w:sz w:val="18"/>
                  <w:szCs w:val="18"/>
                  <w:color w:val="0000EE"/>
                  <w:w w:val="97"/>
                </w:rPr>
                <w:t>First Amendment to Revolving Credit and Security Agreement, dated September 15, 2022, among PennantPark Floating Rate Funding I,</w:t>
              </w:r>
            </w:hyperlink>
          </w:p>
        </w:tc>
        <w:tc>
          <w:tcPr>
            <w:tcW w:w="260" w:type="dxa"/>
            <w:vAlign w:val="bottom"/>
            <w:gridSpan w:val="10"/>
          </w:tcPr>
          <w:p>
            <w:pPr>
              <w:spacing w:after="0"/>
              <w:rPr>
                <w:sz w:val="24"/>
                <w:szCs w:val="24"/>
                <w:color w:val="auto"/>
              </w:rPr>
            </w:pPr>
          </w:p>
        </w:tc>
      </w:tr>
      <w:tr>
        <w:trPr>
          <w:trHeight w:val="191"/>
        </w:trPr>
        <w:tc>
          <w:tcPr>
            <w:tcW w:w="1000" w:type="dxa"/>
            <w:vAlign w:val="bottom"/>
          </w:tcPr>
          <w:p>
            <w:pPr>
              <w:spacing w:after="0"/>
              <w:rPr>
                <w:sz w:val="16"/>
                <w:szCs w:val="16"/>
                <w:color w:val="auto"/>
              </w:rPr>
            </w:pPr>
          </w:p>
        </w:tc>
        <w:tc>
          <w:tcPr>
            <w:tcW w:w="9860" w:type="dxa"/>
            <w:vAlign w:val="bottom"/>
            <w:gridSpan w:val="28"/>
          </w:tcPr>
          <w:p>
            <w:pPr>
              <w:spacing w:after="0" w:line="190"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LLC, PennantPark Investment Advisers, LLC, the lenders from time to time party thereto, Truist Bank, as administrative agent and</w:t>
              </w:r>
            </w:hyperlink>
          </w:p>
        </w:tc>
      </w:tr>
      <w:tr>
        <w:trPr>
          <w:trHeight w:val="20"/>
        </w:trPr>
        <w:tc>
          <w:tcPr>
            <w:tcW w:w="10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6460" w:type="dxa"/>
            <w:vAlign w:val="bottom"/>
            <w:gridSpan w:val="7"/>
            <w:shd w:val="clear" w:color="auto" w:fill="0000EE"/>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1"/>
        </w:trPr>
        <w:tc>
          <w:tcPr>
            <w:tcW w:w="1000" w:type="dxa"/>
            <w:vAlign w:val="bottom"/>
          </w:tcPr>
          <w:p>
            <w:pPr>
              <w:spacing w:after="0"/>
              <w:rPr>
                <w:sz w:val="16"/>
                <w:szCs w:val="16"/>
                <w:color w:val="auto"/>
              </w:rPr>
            </w:pPr>
          </w:p>
        </w:tc>
        <w:tc>
          <w:tcPr>
            <w:tcW w:w="9860" w:type="dxa"/>
            <w:vAlign w:val="bottom"/>
            <w:gridSpan w:val="28"/>
          </w:tcPr>
          <w:p>
            <w:pPr>
              <w:spacing w:after="0" w:line="190"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swingline lender, U.S. Bank National Association, as collateral agent, custodian, collateral administrator and backup collateral manager</w:t>
              </w:r>
            </w:hyperlink>
          </w:p>
        </w:tc>
      </w:tr>
      <w:tr>
        <w:trPr>
          <w:trHeight w:val="20"/>
        </w:trPr>
        <w:tc>
          <w:tcPr>
            <w:tcW w:w="10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6460" w:type="dxa"/>
            <w:vAlign w:val="bottom"/>
            <w:gridSpan w:val="7"/>
            <w:shd w:val="clear" w:color="auto" w:fill="0000EE"/>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1"/>
        </w:trPr>
        <w:tc>
          <w:tcPr>
            <w:tcW w:w="1000" w:type="dxa"/>
            <w:vAlign w:val="bottom"/>
          </w:tcPr>
          <w:p>
            <w:pPr>
              <w:spacing w:after="0"/>
              <w:rPr>
                <w:sz w:val="16"/>
                <w:szCs w:val="16"/>
                <w:color w:val="auto"/>
              </w:rPr>
            </w:pPr>
          </w:p>
        </w:tc>
        <w:tc>
          <w:tcPr>
            <w:tcW w:w="9860" w:type="dxa"/>
            <w:vAlign w:val="bottom"/>
            <w:gridSpan w:val="28"/>
          </w:tcPr>
          <w:p>
            <w:pPr>
              <w:spacing w:after="0" w:line="190"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(Incorporated by reference to Exhibit 10.1 to the Registrant’s Current Report on Form 8-K (File No. 814-00891), filed on September 21,</w:t>
              </w:r>
            </w:hyperlink>
          </w:p>
        </w:tc>
      </w:tr>
      <w:tr>
        <w:trPr>
          <w:trHeight w:val="191"/>
        </w:trPr>
        <w:tc>
          <w:tcPr>
            <w:tcW w:w="1000" w:type="dxa"/>
            <w:vAlign w:val="bottom"/>
          </w:tcPr>
          <w:p>
            <w:pPr>
              <w:spacing w:after="0"/>
              <w:rPr>
                <w:sz w:val="16"/>
                <w:szCs w:val="16"/>
                <w:color w:val="auto"/>
              </w:rPr>
            </w:pPr>
          </w:p>
        </w:tc>
        <w:tc>
          <w:tcPr>
            <w:tcW w:w="440" w:type="dxa"/>
            <w:vAlign w:val="bottom"/>
            <w:tcBorders>
              <w:top w:val="single" w:sz="8" w:color="0000EE"/>
              <w:bottom w:val="single" w:sz="8" w:color="0000EE"/>
            </w:tcBorders>
          </w:tcPr>
          <w:p>
            <w:pPr>
              <w:spacing w:after="0" w:line="190" w:lineRule="exact"/>
              <w:rPr>
                <w:rFonts w:ascii="Times New Roman" w:cs="Times New Roman" w:eastAsia="Times New Roman" w:hAnsi="Times New Roman"/>
                <w:sz w:val="18"/>
                <w:szCs w:val="18"/>
                <w:color w:val="0000EE"/>
                <w:w w:val="90"/>
              </w:rPr>
            </w:pPr>
            <w:hyperlink r:id="rId161">
              <w:r>
                <w:rPr>
                  <w:rFonts w:ascii="Times New Roman" w:cs="Times New Roman" w:eastAsia="Times New Roman" w:hAnsi="Times New Roman"/>
                  <w:sz w:val="18"/>
                  <w:szCs w:val="18"/>
                  <w:color w:val="0000EE"/>
                  <w:w w:val="90"/>
                </w:rPr>
                <w:t>2022).</w:t>
              </w:r>
            </w:hyperlink>
          </w:p>
        </w:tc>
        <w:tc>
          <w:tcPr>
            <w:tcW w:w="1040" w:type="dxa"/>
            <w:vAlign w:val="bottom"/>
            <w:tcBorders>
              <w:top w:val="single" w:sz="8" w:color="0000EE"/>
            </w:tcBorders>
          </w:tcPr>
          <w:p>
            <w:pPr>
              <w:spacing w:after="0"/>
              <w:rPr>
                <w:sz w:val="16"/>
                <w:szCs w:val="16"/>
                <w:color w:val="auto"/>
              </w:rPr>
            </w:pPr>
          </w:p>
        </w:tc>
        <w:tc>
          <w:tcPr>
            <w:tcW w:w="5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600" w:type="dxa"/>
            <w:vAlign w:val="bottom"/>
            <w:tcBorders>
              <w:top w:val="single" w:sz="8" w:color="0000EE"/>
            </w:tcBorders>
          </w:tcPr>
          <w:p>
            <w:pPr>
              <w:spacing w:after="0"/>
              <w:rPr>
                <w:sz w:val="16"/>
                <w:szCs w:val="16"/>
                <w:color w:val="auto"/>
              </w:rPr>
            </w:pPr>
          </w:p>
        </w:tc>
        <w:tc>
          <w:tcPr>
            <w:tcW w:w="9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60" w:type="dxa"/>
            <w:vAlign w:val="bottom"/>
            <w:tcBorders>
              <w:top w:val="single" w:sz="8" w:color="0000EE"/>
            </w:tcBorders>
          </w:tcPr>
          <w:p>
            <w:pPr>
              <w:spacing w:after="0"/>
              <w:rPr>
                <w:sz w:val="16"/>
                <w:szCs w:val="16"/>
                <w:color w:val="auto"/>
              </w:rPr>
            </w:pPr>
          </w:p>
        </w:tc>
        <w:tc>
          <w:tcPr>
            <w:tcW w:w="760" w:type="dxa"/>
            <w:vAlign w:val="bottom"/>
            <w:tcBorders>
              <w:top w:val="single" w:sz="8" w:color="0000EE"/>
            </w:tcBorders>
          </w:tcPr>
          <w:p>
            <w:pPr>
              <w:spacing w:after="0"/>
              <w:rPr>
                <w:sz w:val="16"/>
                <w:szCs w:val="16"/>
                <w:color w:val="auto"/>
              </w:rPr>
            </w:pPr>
          </w:p>
        </w:tc>
        <w:tc>
          <w:tcPr>
            <w:tcW w:w="1940" w:type="dxa"/>
            <w:vAlign w:val="bottom"/>
            <w:tcBorders>
              <w:top w:val="single" w:sz="8" w:color="0000EE"/>
            </w:tcBorders>
          </w:tcPr>
          <w:p>
            <w:pPr>
              <w:spacing w:after="0"/>
              <w:rPr>
                <w:sz w:val="16"/>
                <w:szCs w:val="16"/>
                <w:color w:val="auto"/>
              </w:rPr>
            </w:pPr>
          </w:p>
        </w:tc>
        <w:tc>
          <w:tcPr>
            <w:tcW w:w="7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9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(k)(14)</w:t>
            </w:r>
          </w:p>
        </w:tc>
        <w:tc>
          <w:tcPr>
            <w:tcW w:w="978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7"/>
              </w:rPr>
            </w:pPr>
            <w:hyperlink r:id="rId162">
              <w:r>
                <w:rPr>
                  <w:rFonts w:ascii="Times New Roman" w:cs="Times New Roman" w:eastAsia="Times New Roman" w:hAnsi="Times New Roman"/>
                  <w:sz w:val="18"/>
                  <w:szCs w:val="18"/>
                  <w:color w:val="0000EE"/>
                  <w:w w:val="97"/>
                </w:rPr>
                <w:t>Underwriting Agreement, dated January 23, 2023, among PennantPark Floating Rate Capital Ltd., PennantPark Investment Advisers, LLC,</w:t>
              </w:r>
            </w:hyperlink>
          </w:p>
        </w:tc>
        <w:tc>
          <w:tcPr>
            <w:tcW w:w="80" w:type="dxa"/>
            <w:vAlign w:val="bottom"/>
            <w:gridSpan w:val="4"/>
          </w:tcPr>
          <w:p>
            <w:pPr>
              <w:spacing w:after="0"/>
              <w:rPr>
                <w:sz w:val="24"/>
                <w:szCs w:val="24"/>
                <w:color w:val="auto"/>
              </w:rPr>
            </w:pPr>
          </w:p>
        </w:tc>
      </w:tr>
      <w:tr>
        <w:trPr>
          <w:trHeight w:val="191"/>
        </w:trPr>
        <w:tc>
          <w:tcPr>
            <w:tcW w:w="1000" w:type="dxa"/>
            <w:vAlign w:val="bottom"/>
          </w:tcPr>
          <w:p>
            <w:pPr>
              <w:spacing w:after="0"/>
              <w:rPr>
                <w:sz w:val="16"/>
                <w:szCs w:val="16"/>
                <w:color w:val="auto"/>
              </w:rPr>
            </w:pPr>
          </w:p>
        </w:tc>
        <w:tc>
          <w:tcPr>
            <w:tcW w:w="9860" w:type="dxa"/>
            <w:vAlign w:val="bottom"/>
            <w:gridSpan w:val="28"/>
          </w:tcPr>
          <w:p>
            <w:pPr>
              <w:spacing w:after="0" w:line="190"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PennantPark Investment Administration, LLC, and Morgan Stanley &amp; Co. LLC, UBS Securities LLC, Goldman Sachs &amp; Co. LLC, J.P.</w:t>
              </w:r>
            </w:hyperlink>
          </w:p>
        </w:tc>
      </w:tr>
      <w:tr>
        <w:trPr>
          <w:trHeight w:val="20"/>
        </w:trPr>
        <w:tc>
          <w:tcPr>
            <w:tcW w:w="1000" w:type="dxa"/>
            <w:vAlign w:val="bottom"/>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6460" w:type="dxa"/>
            <w:vAlign w:val="bottom"/>
            <w:gridSpan w:val="7"/>
            <w:shd w:val="clear" w:color="auto" w:fill="0000EE"/>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1"/>
        </w:trPr>
        <w:tc>
          <w:tcPr>
            <w:tcW w:w="1000" w:type="dxa"/>
            <w:vAlign w:val="bottom"/>
          </w:tcPr>
          <w:p>
            <w:pPr>
              <w:spacing w:after="0"/>
              <w:rPr>
                <w:sz w:val="16"/>
                <w:szCs w:val="16"/>
                <w:color w:val="auto"/>
              </w:rPr>
            </w:pPr>
          </w:p>
        </w:tc>
        <w:tc>
          <w:tcPr>
            <w:tcW w:w="9540" w:type="dxa"/>
            <w:vAlign w:val="bottom"/>
            <w:tcBorders>
              <w:bottom w:val="single" w:sz="8" w:color="0000EE"/>
            </w:tcBorders>
            <w:gridSpan w:val="16"/>
          </w:tcPr>
          <w:p>
            <w:pPr>
              <w:spacing w:after="0" w:line="190" w:lineRule="exact"/>
              <w:rPr>
                <w:rFonts w:ascii="Times New Roman" w:cs="Times New Roman" w:eastAsia="Times New Roman" w:hAnsi="Times New Roman"/>
                <w:sz w:val="18"/>
                <w:szCs w:val="18"/>
                <w:color w:val="0000EE"/>
                <w:w w:val="97"/>
              </w:rPr>
            </w:pPr>
            <w:hyperlink r:id="rId162">
              <w:r>
                <w:rPr>
                  <w:rFonts w:ascii="Times New Roman" w:cs="Times New Roman" w:eastAsia="Times New Roman" w:hAnsi="Times New Roman"/>
                  <w:sz w:val="18"/>
                  <w:szCs w:val="18"/>
                  <w:color w:val="0000EE"/>
                  <w:w w:val="97"/>
                </w:rPr>
                <w:t>Morgan Securities LLC and Keefe, Bruyette &amp; Woods, Inc., as representatives of the several underwriters named on Schedule A thereto</w:t>
              </w:r>
            </w:hyperlink>
          </w:p>
        </w:tc>
        <w:tc>
          <w:tcPr>
            <w:tcW w:w="320" w:type="dxa"/>
            <w:vAlign w:val="bottom"/>
            <w:gridSpan w:val="12"/>
          </w:tcPr>
          <w:p>
            <w:pPr>
              <w:spacing w:after="0"/>
              <w:rPr>
                <w:sz w:val="16"/>
                <w:szCs w:val="16"/>
                <w:color w:val="auto"/>
              </w:rPr>
            </w:pPr>
          </w:p>
        </w:tc>
      </w:tr>
      <w:tr>
        <w:trPr>
          <w:trHeight w:val="191"/>
        </w:trPr>
        <w:tc>
          <w:tcPr>
            <w:tcW w:w="1000" w:type="dxa"/>
            <w:vAlign w:val="bottom"/>
          </w:tcPr>
          <w:p>
            <w:pPr>
              <w:spacing w:after="0"/>
              <w:rPr>
                <w:sz w:val="16"/>
                <w:szCs w:val="16"/>
                <w:color w:val="auto"/>
              </w:rPr>
            </w:pPr>
          </w:p>
        </w:tc>
        <w:tc>
          <w:tcPr>
            <w:tcW w:w="9860" w:type="dxa"/>
            <w:vAlign w:val="bottom"/>
            <w:gridSpan w:val="28"/>
          </w:tcPr>
          <w:p>
            <w:pPr>
              <w:spacing w:after="0" w:line="190"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(Incorporated by reference to Exhibit 1.1 to the Registrant’s Form 8-K (File No. 814-00891), filed on January 26, 2023).</w:t>
              </w:r>
            </w:hyperlink>
          </w:p>
        </w:tc>
      </w:tr>
      <w:tr>
        <w:trPr>
          <w:trHeight w:val="20"/>
        </w:trPr>
        <w:tc>
          <w:tcPr>
            <w:tcW w:w="1000" w:type="dxa"/>
            <w:vAlign w:val="bottom"/>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6460" w:type="dxa"/>
            <w:vAlign w:val="bottom"/>
            <w:gridSpan w:val="7"/>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gridSpan w:val="1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9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(k)(15)</w:t>
            </w:r>
          </w:p>
        </w:tc>
        <w:tc>
          <w:tcPr>
            <w:tcW w:w="91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7"/>
              </w:rPr>
            </w:pPr>
            <w:hyperlink r:id="rId163">
              <w:r>
                <w:rPr>
                  <w:rFonts w:ascii="Times New Roman" w:cs="Times New Roman" w:eastAsia="Times New Roman" w:hAnsi="Times New Roman"/>
                  <w:sz w:val="18"/>
                  <w:szCs w:val="18"/>
                  <w:color w:val="0000EE"/>
                  <w:w w:val="97"/>
                </w:rPr>
                <w:t>Indenture, dated as of February 22, 2024, by and between PennantPark CLO VIII, LLC, as issuer, and Wilmington Trust, National</w:t>
              </w:r>
            </w:hyperlink>
          </w:p>
        </w:tc>
        <w:tc>
          <w:tcPr>
            <w:tcW w:w="680" w:type="dxa"/>
            <w:vAlign w:val="bottom"/>
            <w:gridSpan w:val="17"/>
          </w:tcPr>
          <w:p>
            <w:pPr>
              <w:spacing w:after="0"/>
              <w:rPr>
                <w:sz w:val="24"/>
                <w:szCs w:val="24"/>
                <w:color w:val="auto"/>
              </w:rPr>
            </w:pPr>
          </w:p>
        </w:tc>
      </w:tr>
      <w:tr>
        <w:trPr>
          <w:trHeight w:val="191"/>
        </w:trPr>
        <w:tc>
          <w:tcPr>
            <w:tcW w:w="1000" w:type="dxa"/>
            <w:vAlign w:val="bottom"/>
          </w:tcPr>
          <w:p>
            <w:pPr>
              <w:spacing w:after="0"/>
              <w:rPr>
                <w:sz w:val="16"/>
                <w:szCs w:val="16"/>
                <w:color w:val="auto"/>
              </w:rPr>
            </w:pPr>
          </w:p>
        </w:tc>
        <w:tc>
          <w:tcPr>
            <w:tcW w:w="9860" w:type="dxa"/>
            <w:vAlign w:val="bottom"/>
            <w:gridSpan w:val="28"/>
          </w:tcPr>
          <w:p>
            <w:pPr>
              <w:spacing w:after="0" w:line="190" w:lineRule="exact"/>
              <w:rPr>
                <w:rFonts w:ascii="Times New Roman" w:cs="Times New Roman" w:eastAsia="Times New Roman" w:hAnsi="Times New Roman"/>
                <w:sz w:val="18"/>
                <w:szCs w:val="18"/>
                <w:color w:val="0000EE"/>
                <w:w w:val="97"/>
              </w:rPr>
            </w:pPr>
            <w:hyperlink r:id="rId163">
              <w:r>
                <w:rPr>
                  <w:rFonts w:ascii="Times New Roman" w:cs="Times New Roman" w:eastAsia="Times New Roman" w:hAnsi="Times New Roman"/>
                  <w:sz w:val="18"/>
                  <w:szCs w:val="18"/>
                  <w:color w:val="0000EE"/>
                  <w:w w:val="97"/>
                </w:rPr>
                <w:t>Association, as trustee and as collateral agent (Incorporated by reference to Exhibit 10.1 to the Registrant’s Form 8-K (File No. 814-00891),</w:t>
              </w:r>
            </w:hyperlink>
          </w:p>
        </w:tc>
      </w:tr>
      <w:tr>
        <w:trPr>
          <w:trHeight w:val="191"/>
        </w:trPr>
        <w:tc>
          <w:tcPr>
            <w:tcW w:w="1000" w:type="dxa"/>
            <w:vAlign w:val="bottom"/>
          </w:tcPr>
          <w:p>
            <w:pPr>
              <w:spacing w:after="0"/>
              <w:rPr>
                <w:sz w:val="16"/>
                <w:szCs w:val="16"/>
                <w:color w:val="auto"/>
              </w:rPr>
            </w:pPr>
          </w:p>
        </w:tc>
        <w:tc>
          <w:tcPr>
            <w:tcW w:w="1980" w:type="dxa"/>
            <w:vAlign w:val="bottom"/>
            <w:tcBorders>
              <w:top w:val="single" w:sz="8" w:color="0000EE"/>
              <w:bottom w:val="single" w:sz="8" w:color="0000EE"/>
            </w:tcBorders>
            <w:gridSpan w:val="3"/>
          </w:tcPr>
          <w:p>
            <w:pPr>
              <w:spacing w:after="0" w:line="190" w:lineRule="exact"/>
              <w:rPr>
                <w:rFonts w:ascii="Times New Roman" w:cs="Times New Roman" w:eastAsia="Times New Roman" w:hAnsi="Times New Roman"/>
                <w:sz w:val="18"/>
                <w:szCs w:val="18"/>
                <w:color w:val="0000EE"/>
                <w:w w:val="96"/>
              </w:rPr>
            </w:pPr>
            <w:hyperlink r:id="rId163">
              <w:r>
                <w:rPr>
                  <w:rFonts w:ascii="Times New Roman" w:cs="Times New Roman" w:eastAsia="Times New Roman" w:hAnsi="Times New Roman"/>
                  <w:sz w:val="18"/>
                  <w:szCs w:val="18"/>
                  <w:color w:val="0000EE"/>
                  <w:w w:val="96"/>
                </w:rPr>
                <w:t>filed on February 27, 2024).</w:t>
              </w:r>
            </w:hyperlink>
          </w:p>
        </w:tc>
        <w:tc>
          <w:tcPr>
            <w:tcW w:w="7840" w:type="dxa"/>
            <w:vAlign w:val="bottom"/>
            <w:tcBorders>
              <w:top w:val="single" w:sz="8" w:color="0000EE"/>
            </w:tcBorders>
            <w:gridSpan w:val="23"/>
          </w:tcPr>
          <w:p>
            <w:pPr>
              <w:spacing w:after="0"/>
              <w:rPr>
                <w:sz w:val="16"/>
                <w:szCs w:val="16"/>
                <w:color w:val="auto"/>
              </w:rPr>
            </w:pPr>
          </w:p>
        </w:tc>
        <w:tc>
          <w:tcPr>
            <w:tcW w:w="40" w:type="dxa"/>
            <w:vAlign w:val="bottom"/>
            <w:gridSpan w:val="2"/>
          </w:tcPr>
          <w:p>
            <w:pPr>
              <w:spacing w:after="0"/>
              <w:rPr>
                <w:sz w:val="16"/>
                <w:szCs w:val="16"/>
                <w:color w:val="auto"/>
              </w:rPr>
            </w:pPr>
          </w:p>
        </w:tc>
      </w:tr>
      <w:tr>
        <w:trPr>
          <w:trHeight w:val="387"/>
        </w:trPr>
        <w:tc>
          <w:tcPr>
            <w:tcW w:w="1000" w:type="dxa"/>
            <w:vAlign w:val="bottom"/>
          </w:tcPr>
          <w:p>
            <w:pPr>
              <w:spacing w:after="0"/>
              <w:rPr>
                <w:sz w:val="24"/>
                <w:szCs w:val="24"/>
                <w:color w:val="auto"/>
              </w:rPr>
            </w:pPr>
          </w:p>
        </w:tc>
        <w:tc>
          <w:tcPr>
            <w:tcW w:w="5740" w:type="dxa"/>
            <w:vAlign w:val="bottom"/>
            <w:gridSpan w:val="8"/>
          </w:tcPr>
          <w:p>
            <w:pPr>
              <w:ind w:left="4160"/>
              <w:spacing w:after="0"/>
              <w:rPr>
                <w:sz w:val="20"/>
                <w:szCs w:val="20"/>
                <w:color w:val="auto"/>
              </w:rPr>
            </w:pPr>
            <w:r>
              <w:rPr>
                <w:rFonts w:ascii="Times New Roman" w:cs="Times New Roman" w:eastAsia="Times New Roman" w:hAnsi="Times New Roman"/>
                <w:sz w:val="18"/>
                <w:szCs w:val="18"/>
                <w:color w:val="auto"/>
              </w:rPr>
              <w:t>88</w:t>
            </w:r>
          </w:p>
        </w:tc>
        <w:tc>
          <w:tcPr>
            <w:tcW w:w="7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0860"/>
          </w:cols>
          <w:pgMar w:left="700" w:top="275" w:right="339" w:bottom="1440" w:gutter="0" w:footer="0" w:header="0"/>
        </w:sectPr>
      </w:pPr>
    </w:p>
    <w:bookmarkStart w:id="91" w:name="page92"/>
    <w:bookmarkEnd w:id="9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4">
                      <a:extLst>
                        <a:ext uri="{28A0092B-C50C-407E-A947-70E740481C1C}"/>
                      </a:extLst>
                    </a:blip>
                    <a:srcRect/>
                    <a:stretch>
                      <a:fillRect/>
                    </a:stretch>
                  </pic:blipFill>
                  <pic:spPr bwMode="auto">
                    <a:xfrm>
                      <a:off x="0" y="0"/>
                      <a:ext cx="7178040" cy="54610"/>
                    </a:xfrm>
                    <a:prstGeom prst="rect">
                      <a:avLst/>
                    </a:prstGeom>
                    <a:noFill/>
                  </pic:spPr>
                </pic:pic>
              </a:graphicData>
            </a:graphic>
          </wp:anchor>
        </w:drawing>
      </w:r>
    </w:p>
    <w:tbl>
      <w:tblPr>
        <w:tblLayout w:type="fixed"/>
        <w:tblInd w:w="38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(k)(16)</w:t>
            </w:r>
          </w:p>
        </w:tc>
        <w:tc>
          <w:tcPr>
            <w:tcW w:w="9820" w:type="dxa"/>
            <w:vAlign w:val="bottom"/>
            <w:gridSpan w:val="25"/>
          </w:tcPr>
          <w:p>
            <w:pPr>
              <w:spacing w:after="0"/>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Credit Agreement, dated as of February 22, 2024, by and among PennantPark CLO VIII, LLC, as borrower, the various financial</w:t>
              </w:r>
            </w:hyperlink>
          </w:p>
        </w:tc>
      </w:tr>
      <w:tr>
        <w:trPr>
          <w:trHeight w:val="20"/>
        </w:trPr>
        <w:tc>
          <w:tcPr>
            <w:tcW w:w="1000" w:type="dxa"/>
            <w:vAlign w:val="bottom"/>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1000" w:type="dxa"/>
            <w:vAlign w:val="bottom"/>
          </w:tcPr>
          <w:p>
            <w:pPr>
              <w:spacing w:after="0"/>
              <w:rPr>
                <w:sz w:val="16"/>
                <w:szCs w:val="16"/>
                <w:color w:val="auto"/>
              </w:rPr>
            </w:pPr>
          </w:p>
        </w:tc>
        <w:tc>
          <w:tcPr>
            <w:tcW w:w="9600" w:type="dxa"/>
            <w:vAlign w:val="bottom"/>
            <w:tcBorders>
              <w:bottom w:val="single" w:sz="8" w:color="0000EE"/>
            </w:tcBorders>
            <w:gridSpan w:val="20"/>
          </w:tcPr>
          <w:p>
            <w:pPr>
              <w:spacing w:after="0" w:line="190" w:lineRule="exact"/>
              <w:rPr>
                <w:rFonts w:ascii="Times New Roman" w:cs="Times New Roman" w:eastAsia="Times New Roman" w:hAnsi="Times New Roman"/>
                <w:sz w:val="18"/>
                <w:szCs w:val="18"/>
                <w:color w:val="0000EE"/>
                <w:w w:val="97"/>
              </w:rPr>
            </w:pPr>
            <w:hyperlink r:id="rId165">
              <w:r>
                <w:rPr>
                  <w:rFonts w:ascii="Times New Roman" w:cs="Times New Roman" w:eastAsia="Times New Roman" w:hAnsi="Times New Roman"/>
                  <w:sz w:val="18"/>
                  <w:szCs w:val="18"/>
                  <w:color w:val="0000EE"/>
                  <w:w w:val="97"/>
                </w:rPr>
                <w:t>institutions party thereto from time to time, as lenders, and Wilmington Trust, National Association, as collateral agent and as loan agent</w:t>
              </w:r>
            </w:hyperlink>
          </w:p>
        </w:tc>
        <w:tc>
          <w:tcPr>
            <w:tcW w:w="220" w:type="dxa"/>
            <w:vAlign w:val="bottom"/>
            <w:gridSpan w:val="5"/>
          </w:tcPr>
          <w:p>
            <w:pPr>
              <w:spacing w:after="0"/>
              <w:rPr>
                <w:sz w:val="16"/>
                <w:szCs w:val="16"/>
                <w:color w:val="auto"/>
              </w:rPr>
            </w:pPr>
          </w:p>
        </w:tc>
      </w:tr>
      <w:tr>
        <w:trPr>
          <w:trHeight w:val="191"/>
        </w:trPr>
        <w:tc>
          <w:tcPr>
            <w:tcW w:w="1000" w:type="dxa"/>
            <w:vAlign w:val="bottom"/>
          </w:tcPr>
          <w:p>
            <w:pPr>
              <w:spacing w:after="0"/>
              <w:rPr>
                <w:sz w:val="16"/>
                <w:szCs w:val="16"/>
                <w:color w:val="auto"/>
              </w:rPr>
            </w:pPr>
          </w:p>
        </w:tc>
        <w:tc>
          <w:tcPr>
            <w:tcW w:w="8620" w:type="dxa"/>
            <w:vAlign w:val="bottom"/>
            <w:tcBorders>
              <w:bottom w:val="single" w:sz="8" w:color="0000EE"/>
            </w:tcBorders>
            <w:gridSpan w:val="11"/>
          </w:tcPr>
          <w:p>
            <w:pPr>
              <w:spacing w:after="0" w:line="190" w:lineRule="exact"/>
              <w:rPr>
                <w:rFonts w:ascii="Times New Roman" w:cs="Times New Roman" w:eastAsia="Times New Roman" w:hAnsi="Times New Roman"/>
                <w:sz w:val="18"/>
                <w:szCs w:val="18"/>
                <w:color w:val="0000EE"/>
                <w:w w:val="97"/>
              </w:rPr>
            </w:pPr>
            <w:hyperlink r:id="rId165">
              <w:r>
                <w:rPr>
                  <w:rFonts w:ascii="Times New Roman" w:cs="Times New Roman" w:eastAsia="Times New Roman" w:hAnsi="Times New Roman"/>
                  <w:sz w:val="18"/>
                  <w:szCs w:val="18"/>
                  <w:color w:val="0000EE"/>
                  <w:w w:val="97"/>
                </w:rPr>
                <w:t>(Incorporated by reference to Exhibit 10.2 to the Registrant’s Form 8-K (File No. 814-00891), filed on February 27, 2024).</w:t>
              </w:r>
            </w:hyperlink>
          </w:p>
        </w:tc>
        <w:tc>
          <w:tcPr>
            <w:tcW w:w="1200" w:type="dxa"/>
            <w:vAlign w:val="bottom"/>
            <w:gridSpan w:val="14"/>
          </w:tcPr>
          <w:p>
            <w:pPr>
              <w:spacing w:after="0"/>
              <w:rPr>
                <w:sz w:val="16"/>
                <w:szCs w:val="16"/>
                <w:color w:val="auto"/>
              </w:rPr>
            </w:pPr>
          </w:p>
        </w:tc>
      </w:tr>
      <w:tr>
        <w:trPr>
          <w:trHeight w:val="3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(k)(17)</w:t>
            </w:r>
          </w:p>
        </w:tc>
        <w:tc>
          <w:tcPr>
            <w:tcW w:w="9820" w:type="dxa"/>
            <w:vAlign w:val="bottom"/>
            <w:gridSpan w:val="25"/>
          </w:tcPr>
          <w:p>
            <w:pPr>
              <w:spacing w:after="0"/>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Collateral Management Agreement, dated as of February 22, 2024, between PennantPark CLO VIII, LLC, as issuer, and PennantPark</w:t>
              </w:r>
            </w:hyperlink>
          </w:p>
        </w:tc>
      </w:tr>
      <w:tr>
        <w:trPr>
          <w:trHeight w:val="20"/>
        </w:trPr>
        <w:tc>
          <w:tcPr>
            <w:tcW w:w="1000" w:type="dxa"/>
            <w:vAlign w:val="bottom"/>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1000" w:type="dxa"/>
            <w:vAlign w:val="bottom"/>
          </w:tcPr>
          <w:p>
            <w:pPr>
              <w:spacing w:after="0"/>
              <w:rPr>
                <w:sz w:val="16"/>
                <w:szCs w:val="16"/>
                <w:color w:val="auto"/>
              </w:rPr>
            </w:pPr>
          </w:p>
        </w:tc>
        <w:tc>
          <w:tcPr>
            <w:tcW w:w="9820" w:type="dxa"/>
            <w:vAlign w:val="bottom"/>
            <w:gridSpan w:val="25"/>
          </w:tcPr>
          <w:p>
            <w:pPr>
              <w:spacing w:after="0" w:line="190" w:lineRule="exact"/>
              <w:rPr>
                <w:rFonts w:ascii="Times New Roman" w:cs="Times New Roman" w:eastAsia="Times New Roman" w:hAnsi="Times New Roman"/>
                <w:sz w:val="18"/>
                <w:szCs w:val="18"/>
                <w:color w:val="0000EE"/>
                <w:w w:val="99"/>
              </w:rPr>
            </w:pPr>
            <w:hyperlink r:id="rId166">
              <w:r>
                <w:rPr>
                  <w:rFonts w:ascii="Times New Roman" w:cs="Times New Roman" w:eastAsia="Times New Roman" w:hAnsi="Times New Roman"/>
                  <w:sz w:val="18"/>
                  <w:szCs w:val="18"/>
                  <w:color w:val="0000EE"/>
                  <w:w w:val="99"/>
                </w:rPr>
                <w:t>Investment Advisers, LLC, as collateral manager (Incorporated by reference to Exhibit 10.3 to the Registrant’s Form 8-K (File No. 814-</w:t>
              </w:r>
            </w:hyperlink>
          </w:p>
        </w:tc>
      </w:tr>
      <w:tr>
        <w:trPr>
          <w:trHeight w:val="191"/>
        </w:trPr>
        <w:tc>
          <w:tcPr>
            <w:tcW w:w="1000" w:type="dxa"/>
            <w:vAlign w:val="bottom"/>
          </w:tcPr>
          <w:p>
            <w:pPr>
              <w:spacing w:after="0"/>
              <w:rPr>
                <w:sz w:val="16"/>
                <w:szCs w:val="16"/>
                <w:color w:val="auto"/>
              </w:rPr>
            </w:pPr>
          </w:p>
        </w:tc>
        <w:tc>
          <w:tcPr>
            <w:tcW w:w="2560" w:type="dxa"/>
            <w:vAlign w:val="bottom"/>
            <w:tcBorders>
              <w:top w:val="single" w:sz="8" w:color="0000EE"/>
              <w:bottom w:val="single" w:sz="8" w:color="0000EE"/>
            </w:tcBorders>
            <w:gridSpan w:val="2"/>
          </w:tcPr>
          <w:p>
            <w:pPr>
              <w:spacing w:after="0" w:line="190" w:lineRule="exact"/>
              <w:rPr>
                <w:rFonts w:ascii="Times New Roman" w:cs="Times New Roman" w:eastAsia="Times New Roman" w:hAnsi="Times New Roman"/>
                <w:sz w:val="18"/>
                <w:szCs w:val="18"/>
                <w:color w:val="0000EE"/>
                <w:w w:val="96"/>
              </w:rPr>
            </w:pPr>
            <w:hyperlink r:id="rId166">
              <w:r>
                <w:rPr>
                  <w:rFonts w:ascii="Times New Roman" w:cs="Times New Roman" w:eastAsia="Times New Roman" w:hAnsi="Times New Roman"/>
                  <w:sz w:val="18"/>
                  <w:szCs w:val="18"/>
                  <w:color w:val="0000EE"/>
                  <w:w w:val="96"/>
                </w:rPr>
                <w:t>00891)</w:t>
              </w:r>
              <w:r>
                <w:rPr>
                  <w:rFonts w:ascii="Times New Roman" w:cs="Times New Roman" w:eastAsia="Times New Roman" w:hAnsi="Times New Roman"/>
                  <w:sz w:val="18"/>
                  <w:szCs w:val="18"/>
                  <w:u w:val="single" w:color="auto"/>
                  <w:color w:val="0000EE"/>
                  <w:w w:val="96"/>
                </w:rPr>
                <w:t>,</w:t>
              </w:r>
              <w:r>
                <w:rPr>
                  <w:rFonts w:ascii="Times New Roman" w:cs="Times New Roman" w:eastAsia="Times New Roman" w:hAnsi="Times New Roman"/>
                  <w:sz w:val="18"/>
                  <w:szCs w:val="18"/>
                  <w:color w:val="0000EE"/>
                  <w:w w:val="96"/>
                </w:rPr>
                <w:t xml:space="preserve"> filed on February 27, 2024).</w:t>
              </w:r>
            </w:hyperlink>
          </w:p>
        </w:tc>
        <w:tc>
          <w:tcPr>
            <w:tcW w:w="6980" w:type="dxa"/>
            <w:vAlign w:val="bottom"/>
            <w:tcBorders>
              <w:top w:val="single" w:sz="8" w:color="0000EE"/>
            </w:tcBorders>
            <w:gridSpan w:val="16"/>
          </w:tcPr>
          <w:p>
            <w:pPr>
              <w:spacing w:after="0"/>
              <w:rPr>
                <w:sz w:val="16"/>
                <w:szCs w:val="16"/>
                <w:color w:val="auto"/>
              </w:rPr>
            </w:pPr>
          </w:p>
        </w:tc>
        <w:tc>
          <w:tcPr>
            <w:tcW w:w="280" w:type="dxa"/>
            <w:vAlign w:val="bottom"/>
            <w:gridSpan w:val="7"/>
          </w:tcPr>
          <w:p>
            <w:pPr>
              <w:spacing w:after="0"/>
              <w:rPr>
                <w:sz w:val="16"/>
                <w:szCs w:val="16"/>
                <w:color w:val="auto"/>
              </w:rPr>
            </w:pPr>
          </w:p>
        </w:tc>
      </w:tr>
      <w:tr>
        <w:trPr>
          <w:trHeight w:val="3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(k)(18)</w:t>
            </w:r>
          </w:p>
        </w:tc>
        <w:tc>
          <w:tcPr>
            <w:tcW w:w="964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7"/>
              </w:rPr>
            </w:pPr>
            <w:hyperlink r:id="rId167">
              <w:r>
                <w:rPr>
                  <w:rFonts w:ascii="Times New Roman" w:cs="Times New Roman" w:eastAsia="Times New Roman" w:hAnsi="Times New Roman"/>
                  <w:sz w:val="18"/>
                  <w:szCs w:val="18"/>
                  <w:color w:val="0000EE"/>
                  <w:w w:val="97"/>
                </w:rPr>
                <w:t>Master Loan Sale Agreement, dated as of February 22, 2024, among PennantPark Floating Rate Capital Ltd., as seller, PennantPark CLO</w:t>
              </w:r>
            </w:hyperlink>
          </w:p>
        </w:tc>
        <w:tc>
          <w:tcPr>
            <w:tcW w:w="180" w:type="dxa"/>
            <w:vAlign w:val="bottom"/>
            <w:gridSpan w:val="3"/>
          </w:tcPr>
          <w:p>
            <w:pPr>
              <w:spacing w:after="0"/>
              <w:rPr>
                <w:sz w:val="24"/>
                <w:szCs w:val="24"/>
                <w:color w:val="auto"/>
              </w:rPr>
            </w:pPr>
          </w:p>
        </w:tc>
      </w:tr>
      <w:tr>
        <w:trPr>
          <w:trHeight w:val="191"/>
        </w:trPr>
        <w:tc>
          <w:tcPr>
            <w:tcW w:w="1000" w:type="dxa"/>
            <w:vAlign w:val="bottom"/>
          </w:tcPr>
          <w:p>
            <w:pPr>
              <w:spacing w:after="0"/>
              <w:rPr>
                <w:sz w:val="16"/>
                <w:szCs w:val="16"/>
                <w:color w:val="auto"/>
              </w:rPr>
            </w:pPr>
          </w:p>
        </w:tc>
        <w:tc>
          <w:tcPr>
            <w:tcW w:w="9820" w:type="dxa"/>
            <w:vAlign w:val="bottom"/>
            <w:gridSpan w:val="25"/>
          </w:tcPr>
          <w:p>
            <w:pPr>
              <w:spacing w:after="0" w:line="190" w:lineRule="exact"/>
              <w:rPr>
                <w:rFonts w:ascii="Times New Roman" w:cs="Times New Roman" w:eastAsia="Times New Roman" w:hAnsi="Times New Roman"/>
                <w:sz w:val="18"/>
                <w:szCs w:val="18"/>
                <w:color w:val="0000EE"/>
                <w:w w:val="98"/>
              </w:rPr>
            </w:pPr>
            <w:hyperlink r:id="rId167">
              <w:r>
                <w:rPr>
                  <w:rFonts w:ascii="Times New Roman" w:cs="Times New Roman" w:eastAsia="Times New Roman" w:hAnsi="Times New Roman"/>
                  <w:sz w:val="18"/>
                  <w:szCs w:val="18"/>
                  <w:color w:val="0000EE"/>
                  <w:w w:val="98"/>
                </w:rPr>
                <w:t>VIII, LLC, as buyer, and PennantPark Floating Rate Funding I, LLC as the financing subsidiary (Incorporated by reference to Exhibit 10.4</w:t>
              </w:r>
            </w:hyperlink>
          </w:p>
        </w:tc>
      </w:tr>
      <w:tr>
        <w:trPr>
          <w:trHeight w:val="191"/>
        </w:trPr>
        <w:tc>
          <w:tcPr>
            <w:tcW w:w="1000" w:type="dxa"/>
            <w:vAlign w:val="bottom"/>
          </w:tcPr>
          <w:p>
            <w:pPr>
              <w:spacing w:after="0"/>
              <w:rPr>
                <w:sz w:val="16"/>
                <w:szCs w:val="16"/>
                <w:color w:val="auto"/>
              </w:rPr>
            </w:pPr>
          </w:p>
        </w:tc>
        <w:tc>
          <w:tcPr>
            <w:tcW w:w="5620" w:type="dxa"/>
            <w:vAlign w:val="bottom"/>
            <w:tcBorders>
              <w:top w:val="single" w:sz="8" w:color="0000EE"/>
              <w:bottom w:val="single" w:sz="8" w:color="0000EE"/>
            </w:tcBorders>
            <w:gridSpan w:val="9"/>
          </w:tcPr>
          <w:p>
            <w:pPr>
              <w:spacing w:after="0" w:line="190" w:lineRule="exact"/>
              <w:rPr>
                <w:rFonts w:ascii="Times New Roman" w:cs="Times New Roman" w:eastAsia="Times New Roman" w:hAnsi="Times New Roman"/>
                <w:sz w:val="18"/>
                <w:szCs w:val="18"/>
                <w:color w:val="0000EE"/>
                <w:w w:val="96"/>
              </w:rPr>
            </w:pPr>
            <w:hyperlink r:id="rId167">
              <w:r>
                <w:rPr>
                  <w:rFonts w:ascii="Times New Roman" w:cs="Times New Roman" w:eastAsia="Times New Roman" w:hAnsi="Times New Roman"/>
                  <w:sz w:val="18"/>
                  <w:szCs w:val="18"/>
                  <w:color w:val="0000EE"/>
                  <w:w w:val="96"/>
                </w:rPr>
                <w:t>to the Registrant’s Form 8-K (File No. 814-00891), filed on February 27, 2024).</w:t>
              </w:r>
            </w:hyperlink>
          </w:p>
        </w:tc>
        <w:tc>
          <w:tcPr>
            <w:tcW w:w="4100" w:type="dxa"/>
            <w:vAlign w:val="bottom"/>
            <w:tcBorders>
              <w:top w:val="single" w:sz="8" w:color="0000EE"/>
            </w:tcBorders>
            <w:gridSpan w:val="15"/>
          </w:tcPr>
          <w:p>
            <w:pPr>
              <w:spacing w:after="0"/>
              <w:rPr>
                <w:sz w:val="16"/>
                <w:szCs w:val="16"/>
                <w:color w:val="auto"/>
              </w:rPr>
            </w:pPr>
          </w:p>
        </w:tc>
        <w:tc>
          <w:tcPr>
            <w:tcW w:w="100" w:type="dxa"/>
            <w:vAlign w:val="bottom"/>
          </w:tcPr>
          <w:p>
            <w:pPr>
              <w:spacing w:after="0"/>
              <w:rPr>
                <w:sz w:val="16"/>
                <w:szCs w:val="16"/>
                <w:color w:val="auto"/>
              </w:rPr>
            </w:pPr>
          </w:p>
        </w:tc>
      </w:tr>
      <w:tr>
        <w:trPr>
          <w:trHeight w:val="3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(l)(1)</w:t>
            </w:r>
          </w:p>
        </w:tc>
        <w:tc>
          <w:tcPr>
            <w:tcW w:w="964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6"/>
              </w:rPr>
            </w:pPr>
            <w:hyperlink r:id="rId168">
              <w:r>
                <w:rPr>
                  <w:rFonts w:ascii="Times New Roman" w:cs="Times New Roman" w:eastAsia="Times New Roman" w:hAnsi="Times New Roman"/>
                  <w:sz w:val="18"/>
                  <w:szCs w:val="18"/>
                  <w:color w:val="0000EE"/>
                  <w:w w:val="96"/>
                </w:rPr>
                <w:t>Opinion and Consent of Venable LLP (Incorporated by reference to Exhibit (l)(1) to the Registrant’s Registration Statement on Form N-2</w:t>
              </w:r>
            </w:hyperlink>
          </w:p>
        </w:tc>
        <w:tc>
          <w:tcPr>
            <w:tcW w:w="180" w:type="dxa"/>
            <w:vAlign w:val="bottom"/>
            <w:gridSpan w:val="3"/>
          </w:tcPr>
          <w:p>
            <w:pPr>
              <w:spacing w:after="0"/>
              <w:rPr>
                <w:sz w:val="24"/>
                <w:szCs w:val="24"/>
                <w:color w:val="auto"/>
              </w:rPr>
            </w:pPr>
          </w:p>
        </w:tc>
      </w:tr>
      <w:tr>
        <w:trPr>
          <w:trHeight w:val="191"/>
        </w:trPr>
        <w:tc>
          <w:tcPr>
            <w:tcW w:w="1000" w:type="dxa"/>
            <w:vAlign w:val="bottom"/>
          </w:tcPr>
          <w:p>
            <w:pPr>
              <w:spacing w:after="0"/>
              <w:rPr>
                <w:sz w:val="16"/>
                <w:szCs w:val="16"/>
                <w:color w:val="auto"/>
              </w:rPr>
            </w:pPr>
          </w:p>
        </w:tc>
        <w:tc>
          <w:tcPr>
            <w:tcW w:w="3360" w:type="dxa"/>
            <w:vAlign w:val="bottom"/>
            <w:tcBorders>
              <w:bottom w:val="single" w:sz="8" w:color="0000EE"/>
            </w:tcBorders>
            <w:gridSpan w:val="5"/>
          </w:tcPr>
          <w:p>
            <w:pPr>
              <w:spacing w:after="0" w:line="190" w:lineRule="exact"/>
              <w:rPr>
                <w:rFonts w:ascii="Times New Roman" w:cs="Times New Roman" w:eastAsia="Times New Roman" w:hAnsi="Times New Roman"/>
                <w:sz w:val="18"/>
                <w:szCs w:val="18"/>
                <w:color w:val="0000EE"/>
                <w:w w:val="97"/>
              </w:rPr>
            </w:pPr>
            <w:hyperlink r:id="rId168">
              <w:r>
                <w:rPr>
                  <w:rFonts w:ascii="Times New Roman" w:cs="Times New Roman" w:eastAsia="Times New Roman" w:hAnsi="Times New Roman"/>
                  <w:sz w:val="18"/>
                  <w:szCs w:val="18"/>
                  <w:color w:val="0000EE"/>
                  <w:w w:val="97"/>
                </w:rPr>
                <w:t>(File No. 333-279726), filed on May 24, 2024).</w:t>
              </w:r>
            </w:hyperlink>
          </w:p>
        </w:tc>
        <w:tc>
          <w:tcPr>
            <w:tcW w:w="6460" w:type="dxa"/>
            <w:vAlign w:val="bottom"/>
            <w:gridSpan w:val="20"/>
          </w:tcPr>
          <w:p>
            <w:pPr>
              <w:spacing w:after="0"/>
              <w:rPr>
                <w:sz w:val="16"/>
                <w:szCs w:val="16"/>
                <w:color w:val="auto"/>
              </w:rPr>
            </w:pPr>
          </w:p>
        </w:tc>
      </w:tr>
      <w:tr>
        <w:trPr>
          <w:trHeight w:val="29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(l)(2)</w:t>
            </w:r>
          </w:p>
        </w:tc>
        <w:tc>
          <w:tcPr>
            <w:tcW w:w="9820" w:type="dxa"/>
            <w:vAlign w:val="bottom"/>
            <w:gridSpan w:val="25"/>
          </w:tcPr>
          <w:p>
            <w:pPr>
              <w:spacing w:after="0"/>
              <w:rPr>
                <w:rFonts w:ascii="Times New Roman" w:cs="Times New Roman" w:eastAsia="Times New Roman" w:hAnsi="Times New Roman"/>
                <w:sz w:val="18"/>
                <w:szCs w:val="18"/>
                <w:color w:val="0000EE"/>
                <w:w w:val="99"/>
              </w:rPr>
            </w:pPr>
            <w:hyperlink r:id="rId169">
              <w:r>
                <w:rPr>
                  <w:rFonts w:ascii="Times New Roman" w:cs="Times New Roman" w:eastAsia="Times New Roman" w:hAnsi="Times New Roman"/>
                  <w:sz w:val="18"/>
                  <w:szCs w:val="18"/>
                  <w:color w:val="0000EE"/>
                  <w:w w:val="99"/>
                </w:rPr>
                <w:t>Opinion and Consent of Dechert LLP (Incorporated by reference to Exhibit (l)(2) to the Registrant’s Registration Statement on Form N-2</w:t>
              </w:r>
            </w:hyperlink>
          </w:p>
        </w:tc>
      </w:tr>
      <w:tr>
        <w:trPr>
          <w:trHeight w:val="191"/>
        </w:trPr>
        <w:tc>
          <w:tcPr>
            <w:tcW w:w="1000" w:type="dxa"/>
            <w:vAlign w:val="bottom"/>
          </w:tcPr>
          <w:p>
            <w:pPr>
              <w:spacing w:after="0"/>
              <w:rPr>
                <w:sz w:val="16"/>
                <w:szCs w:val="16"/>
                <w:color w:val="auto"/>
              </w:rPr>
            </w:pPr>
          </w:p>
        </w:tc>
        <w:tc>
          <w:tcPr>
            <w:tcW w:w="3340" w:type="dxa"/>
            <w:vAlign w:val="bottom"/>
            <w:tcBorders>
              <w:top w:val="single" w:sz="8" w:color="0000EE"/>
              <w:bottom w:val="single" w:sz="8" w:color="0000EE"/>
            </w:tcBorders>
            <w:gridSpan w:val="4"/>
          </w:tcPr>
          <w:p>
            <w:pPr>
              <w:spacing w:after="0" w:line="190" w:lineRule="exact"/>
              <w:rPr>
                <w:rFonts w:ascii="Times New Roman" w:cs="Times New Roman" w:eastAsia="Times New Roman" w:hAnsi="Times New Roman"/>
                <w:sz w:val="18"/>
                <w:szCs w:val="18"/>
                <w:color w:val="0000EE"/>
                <w:w w:val="96"/>
              </w:rPr>
            </w:pPr>
            <w:hyperlink r:id="rId169">
              <w:r>
                <w:rPr>
                  <w:rFonts w:ascii="Times New Roman" w:cs="Times New Roman" w:eastAsia="Times New Roman" w:hAnsi="Times New Roman"/>
                  <w:sz w:val="18"/>
                  <w:szCs w:val="18"/>
                  <w:color w:val="0000EE"/>
                  <w:w w:val="96"/>
                </w:rPr>
                <w:t>(File No. 333-279726), filed on May 24, 2024).</w:t>
              </w:r>
            </w:hyperlink>
          </w:p>
        </w:tc>
        <w:tc>
          <w:tcPr>
            <w:tcW w:w="6280" w:type="dxa"/>
            <w:vAlign w:val="bottom"/>
            <w:tcBorders>
              <w:top w:val="single" w:sz="8" w:color="0000EE"/>
            </w:tcBorders>
            <w:gridSpan w:val="17"/>
          </w:tcPr>
          <w:p>
            <w:pPr>
              <w:spacing w:after="0"/>
              <w:rPr>
                <w:sz w:val="16"/>
                <w:szCs w:val="16"/>
                <w:color w:val="auto"/>
              </w:rPr>
            </w:pPr>
          </w:p>
        </w:tc>
        <w:tc>
          <w:tcPr>
            <w:tcW w:w="200" w:type="dxa"/>
            <w:vAlign w:val="bottom"/>
            <w:gridSpan w:val="4"/>
          </w:tcPr>
          <w:p>
            <w:pPr>
              <w:spacing w:after="0"/>
              <w:rPr>
                <w:sz w:val="16"/>
                <w:szCs w:val="16"/>
                <w:color w:val="auto"/>
              </w:rPr>
            </w:pPr>
          </w:p>
        </w:tc>
      </w:tr>
      <w:tr>
        <w:trPr>
          <w:trHeight w:val="29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(n)(1)*</w:t>
            </w:r>
          </w:p>
        </w:tc>
        <w:tc>
          <w:tcPr>
            <w:tcW w:w="98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Consent of RSM US LLP.</w:t>
            </w:r>
          </w:p>
        </w:tc>
      </w:tr>
      <w:tr>
        <w:trPr>
          <w:trHeight w:val="20"/>
        </w:trPr>
        <w:tc>
          <w:tcPr>
            <w:tcW w:w="1000" w:type="dxa"/>
            <w:vAlign w:val="bottom"/>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(n)(2)*</w:t>
            </w:r>
          </w:p>
        </w:tc>
        <w:tc>
          <w:tcPr>
            <w:tcW w:w="98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Consent of RSM US LLP.</w:t>
            </w:r>
          </w:p>
        </w:tc>
      </w:tr>
      <w:tr>
        <w:trPr>
          <w:trHeight w:val="20"/>
        </w:trPr>
        <w:tc>
          <w:tcPr>
            <w:tcW w:w="1000" w:type="dxa"/>
            <w:vAlign w:val="bottom"/>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(n)(3)</w:t>
            </w:r>
          </w:p>
        </w:tc>
        <w:tc>
          <w:tcPr>
            <w:tcW w:w="964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6"/>
              </w:rPr>
            </w:pPr>
            <w:hyperlink r:id="rId170">
              <w:r>
                <w:rPr>
                  <w:rFonts w:ascii="Times New Roman" w:cs="Times New Roman" w:eastAsia="Times New Roman" w:hAnsi="Times New Roman"/>
                  <w:sz w:val="18"/>
                  <w:szCs w:val="18"/>
                  <w:color w:val="0000EE"/>
                  <w:w w:val="96"/>
                </w:rPr>
                <w:t>Report of RSM US LLP on Senior Securities Table (Incorporated by reference to Exhibit 99.2 to the Registrant’s Annual Report on Form</w:t>
              </w:r>
            </w:hyperlink>
          </w:p>
        </w:tc>
        <w:tc>
          <w:tcPr>
            <w:tcW w:w="180" w:type="dxa"/>
            <w:vAlign w:val="bottom"/>
            <w:gridSpan w:val="3"/>
          </w:tcPr>
          <w:p>
            <w:pPr>
              <w:spacing w:after="0"/>
              <w:rPr>
                <w:sz w:val="24"/>
                <w:szCs w:val="24"/>
                <w:color w:val="auto"/>
              </w:rPr>
            </w:pPr>
          </w:p>
        </w:tc>
      </w:tr>
      <w:tr>
        <w:trPr>
          <w:trHeight w:val="191"/>
        </w:trPr>
        <w:tc>
          <w:tcPr>
            <w:tcW w:w="1000" w:type="dxa"/>
            <w:vAlign w:val="bottom"/>
          </w:tcPr>
          <w:p>
            <w:pPr>
              <w:spacing w:after="0"/>
              <w:rPr>
                <w:sz w:val="16"/>
                <w:szCs w:val="16"/>
                <w:color w:val="auto"/>
              </w:rPr>
            </w:pPr>
          </w:p>
        </w:tc>
        <w:tc>
          <w:tcPr>
            <w:tcW w:w="3960" w:type="dxa"/>
            <w:vAlign w:val="bottom"/>
            <w:tcBorders>
              <w:bottom w:val="single" w:sz="8" w:color="0000EE"/>
            </w:tcBorders>
            <w:gridSpan w:val="6"/>
          </w:tcPr>
          <w:p>
            <w:pPr>
              <w:spacing w:after="0" w:line="190" w:lineRule="exact"/>
              <w:rPr>
                <w:rFonts w:ascii="Times New Roman" w:cs="Times New Roman" w:eastAsia="Times New Roman" w:hAnsi="Times New Roman"/>
                <w:sz w:val="18"/>
                <w:szCs w:val="18"/>
                <w:color w:val="0000EE"/>
                <w:w w:val="96"/>
              </w:rPr>
            </w:pPr>
            <w:hyperlink r:id="rId170">
              <w:r>
                <w:rPr>
                  <w:rFonts w:ascii="Times New Roman" w:cs="Times New Roman" w:eastAsia="Times New Roman" w:hAnsi="Times New Roman"/>
                  <w:sz w:val="18"/>
                  <w:szCs w:val="18"/>
                  <w:color w:val="0000EE"/>
                  <w:w w:val="96"/>
                </w:rPr>
                <w:t>10-K (File No. 814-00891), filed on December 8, 2023).</w:t>
              </w:r>
            </w:hyperlink>
          </w:p>
        </w:tc>
        <w:tc>
          <w:tcPr>
            <w:tcW w:w="5860" w:type="dxa"/>
            <w:vAlign w:val="bottom"/>
            <w:gridSpan w:val="19"/>
          </w:tcPr>
          <w:p>
            <w:pPr>
              <w:spacing w:after="0"/>
              <w:rPr>
                <w:sz w:val="16"/>
                <w:szCs w:val="16"/>
                <w:color w:val="auto"/>
              </w:rPr>
            </w:pPr>
          </w:p>
        </w:tc>
      </w:tr>
      <w:tr>
        <w:trPr>
          <w:trHeight w:val="3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(n)(4)</w:t>
            </w:r>
          </w:p>
        </w:tc>
        <w:tc>
          <w:tcPr>
            <w:tcW w:w="982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6"/>
              </w:rPr>
            </w:pPr>
            <w:hyperlink r:id="rId171">
              <w:r>
                <w:rPr>
                  <w:rFonts w:ascii="Times New Roman" w:cs="Times New Roman" w:eastAsia="Times New Roman" w:hAnsi="Times New Roman"/>
                  <w:sz w:val="18"/>
                  <w:szCs w:val="18"/>
                  <w:color w:val="0000EE"/>
                  <w:w w:val="96"/>
                </w:rPr>
                <w:t>Power of Attorney (Incorporated by reference to Exhibit (n)(4) to the Registrant’s pre-effective amendment to the Registration Statement on</w:t>
              </w:r>
            </w:hyperlink>
          </w:p>
        </w:tc>
      </w:tr>
      <w:tr>
        <w:trPr>
          <w:trHeight w:val="191"/>
        </w:trPr>
        <w:tc>
          <w:tcPr>
            <w:tcW w:w="1000" w:type="dxa"/>
            <w:vAlign w:val="bottom"/>
          </w:tcPr>
          <w:p>
            <w:pPr>
              <w:spacing w:after="0"/>
              <w:rPr>
                <w:sz w:val="16"/>
                <w:szCs w:val="16"/>
                <w:color w:val="auto"/>
              </w:rPr>
            </w:pPr>
          </w:p>
        </w:tc>
        <w:tc>
          <w:tcPr>
            <w:tcW w:w="9820" w:type="dxa"/>
            <w:vAlign w:val="bottom"/>
            <w:gridSpan w:val="25"/>
          </w:tcPr>
          <w:p>
            <w:pPr>
              <w:spacing w:after="0" w:line="190" w:lineRule="exact"/>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Form N-2 (File No. 333-279726) filed on June 21, 2024).</w:t>
              </w:r>
            </w:hyperlink>
          </w:p>
        </w:tc>
      </w:tr>
      <w:tr>
        <w:trPr>
          <w:trHeight w:val="20"/>
        </w:trPr>
        <w:tc>
          <w:tcPr>
            <w:tcW w:w="1000" w:type="dxa"/>
            <w:vAlign w:val="bottom"/>
          </w:tcPr>
          <w:p>
            <w:pPr>
              <w:spacing w:after="0" w:line="20" w:lineRule="exact"/>
              <w:rPr>
                <w:sz w:val="1"/>
                <w:szCs w:val="1"/>
                <w:color w:val="auto"/>
              </w:rPr>
            </w:pPr>
          </w:p>
        </w:tc>
        <w:tc>
          <w:tcPr>
            <w:tcW w:w="2960" w:type="dxa"/>
            <w:vAlign w:val="bottom"/>
            <w:gridSpan w:val="3"/>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9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(r)(1)</w:t>
            </w:r>
          </w:p>
        </w:tc>
        <w:tc>
          <w:tcPr>
            <w:tcW w:w="968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7"/>
              </w:rPr>
            </w:pPr>
            <w:hyperlink r:id="rId172">
              <w:r>
                <w:rPr>
                  <w:rFonts w:ascii="Times New Roman" w:cs="Times New Roman" w:eastAsia="Times New Roman" w:hAnsi="Times New Roman"/>
                  <w:sz w:val="18"/>
                  <w:szCs w:val="18"/>
                  <w:color w:val="0000EE"/>
                  <w:w w:val="97"/>
                </w:rPr>
                <w:t>Joint Code of Ethics of the Registrant, PennantPark Investment Corporation and PennantPark Investment Advisers, LLC (Incorporated by</w:t>
              </w:r>
            </w:hyperlink>
          </w:p>
        </w:tc>
        <w:tc>
          <w:tcPr>
            <w:tcW w:w="140" w:type="dxa"/>
            <w:vAlign w:val="bottom"/>
            <w:gridSpan w:val="2"/>
          </w:tcPr>
          <w:p>
            <w:pPr>
              <w:spacing w:after="0"/>
              <w:rPr>
                <w:sz w:val="24"/>
                <w:szCs w:val="24"/>
                <w:color w:val="auto"/>
              </w:rPr>
            </w:pPr>
          </w:p>
        </w:tc>
      </w:tr>
      <w:tr>
        <w:trPr>
          <w:trHeight w:val="191"/>
        </w:trPr>
        <w:tc>
          <w:tcPr>
            <w:tcW w:w="1000" w:type="dxa"/>
            <w:vAlign w:val="bottom"/>
          </w:tcPr>
          <w:p>
            <w:pPr>
              <w:spacing w:after="0"/>
              <w:rPr>
                <w:sz w:val="16"/>
                <w:szCs w:val="16"/>
                <w:color w:val="auto"/>
              </w:rPr>
            </w:pPr>
          </w:p>
        </w:tc>
        <w:tc>
          <w:tcPr>
            <w:tcW w:w="8800" w:type="dxa"/>
            <w:vAlign w:val="bottom"/>
            <w:tcBorders>
              <w:bottom w:val="single" w:sz="8" w:color="0000EE"/>
            </w:tcBorders>
            <w:gridSpan w:val="12"/>
          </w:tcPr>
          <w:p>
            <w:pPr>
              <w:spacing w:after="0" w:line="190" w:lineRule="exact"/>
              <w:rPr>
                <w:rFonts w:ascii="Times New Roman" w:cs="Times New Roman" w:eastAsia="Times New Roman" w:hAnsi="Times New Roman"/>
                <w:sz w:val="18"/>
                <w:szCs w:val="18"/>
                <w:color w:val="0000EE"/>
                <w:w w:val="97"/>
              </w:rPr>
            </w:pPr>
            <w:hyperlink r:id="rId172">
              <w:r>
                <w:rPr>
                  <w:rFonts w:ascii="Times New Roman" w:cs="Times New Roman" w:eastAsia="Times New Roman" w:hAnsi="Times New Roman"/>
                  <w:sz w:val="18"/>
                  <w:szCs w:val="18"/>
                  <w:color w:val="0000EE"/>
                  <w:w w:val="97"/>
                </w:rPr>
                <w:t>reference to Exhibit 14.1 to the Registrant’s Annual Report on Form 10-K (File No. 814-00891), filed on December 8, 2023).</w:t>
              </w:r>
            </w:hyperlink>
          </w:p>
        </w:tc>
        <w:tc>
          <w:tcPr>
            <w:tcW w:w="1020" w:type="dxa"/>
            <w:vAlign w:val="bottom"/>
            <w:gridSpan w:val="13"/>
          </w:tcPr>
          <w:p>
            <w:pPr>
              <w:spacing w:after="0"/>
              <w:rPr>
                <w:sz w:val="16"/>
                <w:szCs w:val="16"/>
                <w:color w:val="auto"/>
              </w:rPr>
            </w:pPr>
          </w:p>
        </w:tc>
      </w:tr>
      <w:tr>
        <w:trPr>
          <w:trHeight w:val="3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90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7"/>
              </w:rPr>
            </w:pPr>
            <w:hyperlink r:id="rId173">
              <w:r>
                <w:rPr>
                  <w:rFonts w:ascii="Times New Roman" w:cs="Times New Roman" w:eastAsia="Times New Roman" w:hAnsi="Times New Roman"/>
                  <w:sz w:val="18"/>
                  <w:szCs w:val="18"/>
                  <w:color w:val="0000EE"/>
                  <w:w w:val="97"/>
                </w:rPr>
                <w:t>Form of Prospectus Supplement For Common Stock Offerings (Incorporated by reference to Exhibit 99(S)(1) to the Registrant’s</w:t>
              </w:r>
            </w:hyperlink>
          </w:p>
        </w:tc>
        <w:tc>
          <w:tcPr>
            <w:tcW w:w="780" w:type="dxa"/>
            <w:vAlign w:val="bottom"/>
            <w:gridSpan w:val="11"/>
          </w:tcPr>
          <w:p>
            <w:pPr>
              <w:spacing w:after="0"/>
              <w:rPr>
                <w:sz w:val="24"/>
                <w:szCs w:val="24"/>
                <w:color w:val="auto"/>
              </w:rPr>
            </w:pPr>
          </w:p>
        </w:tc>
      </w:tr>
      <w:tr>
        <w:trPr>
          <w:trHeight w:val="191"/>
        </w:trPr>
        <w:tc>
          <w:tcPr>
            <w:tcW w:w="1000" w:type="dxa"/>
            <w:vAlign w:val="bottom"/>
          </w:tcPr>
          <w:p>
            <w:pPr>
              <w:spacing w:after="0"/>
              <w:rPr>
                <w:sz w:val="16"/>
                <w:szCs w:val="16"/>
                <w:color w:val="auto"/>
              </w:rPr>
            </w:pPr>
          </w:p>
        </w:tc>
        <w:tc>
          <w:tcPr>
            <w:tcW w:w="6080" w:type="dxa"/>
            <w:vAlign w:val="bottom"/>
            <w:tcBorders>
              <w:bottom w:val="single" w:sz="8" w:color="0000EE"/>
            </w:tcBorders>
            <w:gridSpan w:val="10"/>
          </w:tcPr>
          <w:p>
            <w:pPr>
              <w:spacing w:after="0" w:line="190" w:lineRule="exact"/>
              <w:rPr>
                <w:rFonts w:ascii="Times New Roman" w:cs="Times New Roman" w:eastAsia="Times New Roman" w:hAnsi="Times New Roman"/>
                <w:sz w:val="18"/>
                <w:szCs w:val="18"/>
                <w:color w:val="0000EE"/>
                <w:w w:val="97"/>
              </w:rPr>
            </w:pPr>
            <w:hyperlink r:id="rId173">
              <w:r>
                <w:rPr>
                  <w:rFonts w:ascii="Times New Roman" w:cs="Times New Roman" w:eastAsia="Times New Roman" w:hAnsi="Times New Roman"/>
                  <w:sz w:val="18"/>
                  <w:szCs w:val="18"/>
                  <w:color w:val="0000EE"/>
                  <w:w w:val="97"/>
                </w:rPr>
                <w:t>Registration Statement on Form N-2 (File No. 333-180084), filed on March 14, 2012).</w:t>
              </w:r>
            </w:hyperlink>
          </w:p>
        </w:tc>
        <w:tc>
          <w:tcPr>
            <w:tcW w:w="3740" w:type="dxa"/>
            <w:vAlign w:val="bottom"/>
            <w:gridSpan w:val="15"/>
          </w:tcPr>
          <w:p>
            <w:pPr>
              <w:spacing w:after="0"/>
              <w:rPr>
                <w:sz w:val="16"/>
                <w:szCs w:val="16"/>
                <w:color w:val="auto"/>
              </w:rPr>
            </w:pPr>
          </w:p>
        </w:tc>
      </w:tr>
      <w:tr>
        <w:trPr>
          <w:trHeight w:val="29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(s)(2)</w:t>
            </w:r>
          </w:p>
        </w:tc>
        <w:tc>
          <w:tcPr>
            <w:tcW w:w="9820" w:type="dxa"/>
            <w:vAlign w:val="bottom"/>
            <w:gridSpan w:val="25"/>
          </w:tcPr>
          <w:p>
            <w:pPr>
              <w:spacing w:after="0"/>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Form of Prospectus Supplement For Preferred Stock Offerings (Incorporated by reference to Exhibit 99(S)(2) to the Registrant’s</w:t>
              </w:r>
            </w:hyperlink>
          </w:p>
        </w:tc>
      </w:tr>
      <w:tr>
        <w:trPr>
          <w:trHeight w:val="191"/>
        </w:trPr>
        <w:tc>
          <w:tcPr>
            <w:tcW w:w="1000" w:type="dxa"/>
            <w:vAlign w:val="bottom"/>
          </w:tcPr>
          <w:p>
            <w:pPr>
              <w:spacing w:after="0"/>
              <w:rPr>
                <w:sz w:val="16"/>
                <w:szCs w:val="16"/>
                <w:color w:val="auto"/>
              </w:rPr>
            </w:pPr>
          </w:p>
        </w:tc>
        <w:tc>
          <w:tcPr>
            <w:tcW w:w="6080" w:type="dxa"/>
            <w:vAlign w:val="bottom"/>
            <w:tcBorders>
              <w:top w:val="single" w:sz="8" w:color="0000EE"/>
              <w:bottom w:val="single" w:sz="8" w:color="0000EE"/>
            </w:tcBorders>
            <w:gridSpan w:val="10"/>
          </w:tcPr>
          <w:p>
            <w:pPr>
              <w:spacing w:after="0" w:line="190" w:lineRule="exact"/>
              <w:rPr>
                <w:rFonts w:ascii="Times New Roman" w:cs="Times New Roman" w:eastAsia="Times New Roman" w:hAnsi="Times New Roman"/>
                <w:sz w:val="18"/>
                <w:szCs w:val="18"/>
                <w:color w:val="0000EE"/>
                <w:w w:val="97"/>
              </w:rPr>
            </w:pPr>
            <w:hyperlink r:id="rId174">
              <w:r>
                <w:rPr>
                  <w:rFonts w:ascii="Times New Roman" w:cs="Times New Roman" w:eastAsia="Times New Roman" w:hAnsi="Times New Roman"/>
                  <w:sz w:val="18"/>
                  <w:szCs w:val="18"/>
                  <w:color w:val="0000EE"/>
                  <w:w w:val="97"/>
                </w:rPr>
                <w:t>Registration Statement on Form N-2 (File No. 333-180084), filed on March 14, 2012).</w:t>
              </w:r>
            </w:hyperlink>
          </w:p>
        </w:tc>
        <w:tc>
          <w:tcPr>
            <w:tcW w:w="2920" w:type="dxa"/>
            <w:vAlign w:val="bottom"/>
            <w:tcBorders>
              <w:top w:val="single" w:sz="8" w:color="0000EE"/>
            </w:tcBorders>
            <w:gridSpan w:val="3"/>
          </w:tcPr>
          <w:p>
            <w:pPr>
              <w:spacing w:after="0"/>
              <w:rPr>
                <w:sz w:val="16"/>
                <w:szCs w:val="16"/>
                <w:color w:val="auto"/>
              </w:rPr>
            </w:pPr>
          </w:p>
        </w:tc>
        <w:tc>
          <w:tcPr>
            <w:tcW w:w="820" w:type="dxa"/>
            <w:vAlign w:val="bottom"/>
            <w:gridSpan w:val="12"/>
          </w:tcPr>
          <w:p>
            <w:pPr>
              <w:spacing w:after="0"/>
              <w:rPr>
                <w:sz w:val="16"/>
                <w:szCs w:val="16"/>
                <w:color w:val="auto"/>
              </w:rPr>
            </w:pPr>
          </w:p>
        </w:tc>
      </w:tr>
      <w:tr>
        <w:trPr>
          <w:trHeight w:val="29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(s)(3)</w:t>
            </w:r>
          </w:p>
        </w:tc>
        <w:tc>
          <w:tcPr>
            <w:tcW w:w="9820" w:type="dxa"/>
            <w:vAlign w:val="bottom"/>
            <w:gridSpan w:val="25"/>
          </w:tcPr>
          <w:p>
            <w:pPr>
              <w:spacing w:after="0"/>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Form of Prospectus Supplement For Debt Offerings (Incorporated by reference to Exhibit 99(S)(3) to the Registrant’s Registration</w:t>
              </w:r>
            </w:hyperlink>
          </w:p>
        </w:tc>
      </w:tr>
      <w:tr>
        <w:trPr>
          <w:trHeight w:val="191"/>
        </w:trPr>
        <w:tc>
          <w:tcPr>
            <w:tcW w:w="1000" w:type="dxa"/>
            <w:vAlign w:val="bottom"/>
          </w:tcPr>
          <w:p>
            <w:pPr>
              <w:spacing w:after="0"/>
              <w:rPr>
                <w:sz w:val="16"/>
                <w:szCs w:val="16"/>
                <w:color w:val="auto"/>
              </w:rPr>
            </w:pPr>
          </w:p>
        </w:tc>
        <w:tc>
          <w:tcPr>
            <w:tcW w:w="5180" w:type="dxa"/>
            <w:vAlign w:val="bottom"/>
            <w:tcBorders>
              <w:top w:val="single" w:sz="8" w:color="0000EE"/>
              <w:bottom w:val="single" w:sz="8" w:color="0000EE"/>
            </w:tcBorders>
            <w:gridSpan w:val="8"/>
          </w:tcPr>
          <w:p>
            <w:pPr>
              <w:spacing w:after="0" w:line="190" w:lineRule="exact"/>
              <w:rPr>
                <w:rFonts w:ascii="Times New Roman" w:cs="Times New Roman" w:eastAsia="Times New Roman" w:hAnsi="Times New Roman"/>
                <w:sz w:val="18"/>
                <w:szCs w:val="18"/>
                <w:color w:val="0000EE"/>
                <w:w w:val="97"/>
              </w:rPr>
            </w:pPr>
            <w:hyperlink r:id="rId175">
              <w:r>
                <w:rPr>
                  <w:rFonts w:ascii="Times New Roman" w:cs="Times New Roman" w:eastAsia="Times New Roman" w:hAnsi="Times New Roman"/>
                  <w:sz w:val="18"/>
                  <w:szCs w:val="18"/>
                  <w:color w:val="0000EE"/>
                  <w:w w:val="97"/>
                </w:rPr>
                <w:t>Statement on Form N-2 (File No. 333-180084), filed on March 14, 2012).</w:t>
              </w:r>
            </w:hyperlink>
          </w:p>
        </w:tc>
        <w:tc>
          <w:tcPr>
            <w:tcW w:w="3960" w:type="dxa"/>
            <w:vAlign w:val="bottom"/>
            <w:tcBorders>
              <w:top w:val="single" w:sz="8" w:color="0000EE"/>
            </w:tcBorders>
            <w:gridSpan w:val="7"/>
          </w:tcPr>
          <w:p>
            <w:pPr>
              <w:spacing w:after="0"/>
              <w:rPr>
                <w:sz w:val="16"/>
                <w:szCs w:val="16"/>
                <w:color w:val="auto"/>
              </w:rPr>
            </w:pPr>
          </w:p>
        </w:tc>
        <w:tc>
          <w:tcPr>
            <w:tcW w:w="680" w:type="dxa"/>
            <w:vAlign w:val="bottom"/>
            <w:gridSpan w:val="10"/>
          </w:tcPr>
          <w:p>
            <w:pPr>
              <w:spacing w:after="0"/>
              <w:rPr>
                <w:sz w:val="16"/>
                <w:szCs w:val="16"/>
                <w:color w:val="auto"/>
              </w:rPr>
            </w:pPr>
          </w:p>
        </w:tc>
      </w:tr>
      <w:tr>
        <w:trPr>
          <w:trHeight w:val="29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(s)(4)</w:t>
            </w:r>
          </w:p>
        </w:tc>
        <w:tc>
          <w:tcPr>
            <w:tcW w:w="9820" w:type="dxa"/>
            <w:vAlign w:val="bottom"/>
            <w:gridSpan w:val="25"/>
          </w:tcPr>
          <w:p>
            <w:pPr>
              <w:spacing w:after="0"/>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Form of Prospectus Supplement For Rights Offerings (Incorporated by reference to Exhibit 99(S)(4) to the Registrant’s Registration</w:t>
              </w:r>
            </w:hyperlink>
          </w:p>
        </w:tc>
      </w:tr>
      <w:tr>
        <w:trPr>
          <w:trHeight w:val="191"/>
        </w:trPr>
        <w:tc>
          <w:tcPr>
            <w:tcW w:w="1000" w:type="dxa"/>
            <w:vAlign w:val="bottom"/>
          </w:tcPr>
          <w:p>
            <w:pPr>
              <w:spacing w:after="0"/>
              <w:rPr>
                <w:sz w:val="16"/>
                <w:szCs w:val="16"/>
                <w:color w:val="auto"/>
              </w:rPr>
            </w:pPr>
          </w:p>
        </w:tc>
        <w:tc>
          <w:tcPr>
            <w:tcW w:w="5180" w:type="dxa"/>
            <w:vAlign w:val="bottom"/>
            <w:tcBorders>
              <w:top w:val="single" w:sz="8" w:color="0000EE"/>
              <w:bottom w:val="single" w:sz="8" w:color="0000EE"/>
            </w:tcBorders>
            <w:gridSpan w:val="8"/>
          </w:tcPr>
          <w:p>
            <w:pPr>
              <w:spacing w:after="0" w:line="190" w:lineRule="exact"/>
              <w:rPr>
                <w:rFonts w:ascii="Times New Roman" w:cs="Times New Roman" w:eastAsia="Times New Roman" w:hAnsi="Times New Roman"/>
                <w:sz w:val="18"/>
                <w:szCs w:val="18"/>
                <w:color w:val="0000EE"/>
                <w:w w:val="97"/>
              </w:rPr>
            </w:pPr>
            <w:hyperlink r:id="rId176">
              <w:r>
                <w:rPr>
                  <w:rFonts w:ascii="Times New Roman" w:cs="Times New Roman" w:eastAsia="Times New Roman" w:hAnsi="Times New Roman"/>
                  <w:sz w:val="18"/>
                  <w:szCs w:val="18"/>
                  <w:color w:val="0000EE"/>
                  <w:w w:val="97"/>
                </w:rPr>
                <w:t>Statement on Form N-2 (File No. 333-180084), filed on March 14, 2012).</w:t>
              </w:r>
            </w:hyperlink>
          </w:p>
        </w:tc>
        <w:tc>
          <w:tcPr>
            <w:tcW w:w="4080" w:type="dxa"/>
            <w:vAlign w:val="bottom"/>
            <w:tcBorders>
              <w:top w:val="single" w:sz="8" w:color="0000EE"/>
            </w:tcBorders>
            <w:gridSpan w:val="8"/>
          </w:tcPr>
          <w:p>
            <w:pPr>
              <w:spacing w:after="0"/>
              <w:rPr>
                <w:sz w:val="16"/>
                <w:szCs w:val="16"/>
                <w:color w:val="auto"/>
              </w:rPr>
            </w:pPr>
          </w:p>
        </w:tc>
        <w:tc>
          <w:tcPr>
            <w:tcW w:w="560" w:type="dxa"/>
            <w:vAlign w:val="bottom"/>
            <w:gridSpan w:val="9"/>
          </w:tcPr>
          <w:p>
            <w:pPr>
              <w:spacing w:after="0"/>
              <w:rPr>
                <w:sz w:val="16"/>
                <w:szCs w:val="16"/>
                <w:color w:val="auto"/>
              </w:rPr>
            </w:pPr>
          </w:p>
        </w:tc>
      </w:tr>
      <w:tr>
        <w:trPr>
          <w:trHeight w:val="29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(s)(5)</w:t>
            </w:r>
          </w:p>
        </w:tc>
        <w:tc>
          <w:tcPr>
            <w:tcW w:w="9820" w:type="dxa"/>
            <w:vAlign w:val="bottom"/>
            <w:gridSpan w:val="25"/>
          </w:tcPr>
          <w:p>
            <w:pPr>
              <w:spacing w:after="0"/>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Form of Prospectus Supplement For Warrant Offerings (Incorporated by reference to Exhibit 99(S)(5) to the Registrant’s Registration</w:t>
              </w:r>
            </w:hyperlink>
          </w:p>
        </w:tc>
      </w:tr>
      <w:tr>
        <w:trPr>
          <w:trHeight w:val="191"/>
        </w:trPr>
        <w:tc>
          <w:tcPr>
            <w:tcW w:w="1000" w:type="dxa"/>
            <w:vAlign w:val="bottom"/>
          </w:tcPr>
          <w:p>
            <w:pPr>
              <w:spacing w:after="0"/>
              <w:rPr>
                <w:sz w:val="16"/>
                <w:szCs w:val="16"/>
                <w:color w:val="auto"/>
              </w:rPr>
            </w:pPr>
          </w:p>
        </w:tc>
        <w:tc>
          <w:tcPr>
            <w:tcW w:w="5180" w:type="dxa"/>
            <w:vAlign w:val="bottom"/>
            <w:tcBorders>
              <w:top w:val="single" w:sz="8" w:color="0000EE"/>
              <w:bottom w:val="single" w:sz="8" w:color="0000EE"/>
            </w:tcBorders>
            <w:gridSpan w:val="8"/>
          </w:tcPr>
          <w:p>
            <w:pPr>
              <w:spacing w:after="0" w:line="190" w:lineRule="exact"/>
              <w:rPr>
                <w:rFonts w:ascii="Times New Roman" w:cs="Times New Roman" w:eastAsia="Times New Roman" w:hAnsi="Times New Roman"/>
                <w:sz w:val="18"/>
                <w:szCs w:val="18"/>
                <w:color w:val="0000EE"/>
                <w:w w:val="97"/>
              </w:rPr>
            </w:pPr>
            <w:hyperlink r:id="rId177">
              <w:r>
                <w:rPr>
                  <w:rFonts w:ascii="Times New Roman" w:cs="Times New Roman" w:eastAsia="Times New Roman" w:hAnsi="Times New Roman"/>
                  <w:sz w:val="18"/>
                  <w:szCs w:val="18"/>
                  <w:color w:val="0000EE"/>
                  <w:w w:val="97"/>
                </w:rPr>
                <w:t>Statement on Form N-2 (File No. 333-180084), filed on March 14, 2012).</w:t>
              </w:r>
            </w:hyperlink>
          </w:p>
        </w:tc>
        <w:tc>
          <w:tcPr>
            <w:tcW w:w="4180" w:type="dxa"/>
            <w:vAlign w:val="bottom"/>
            <w:tcBorders>
              <w:top w:val="single" w:sz="8" w:color="0000EE"/>
            </w:tcBorders>
            <w:gridSpan w:val="9"/>
          </w:tcPr>
          <w:p>
            <w:pPr>
              <w:spacing w:after="0"/>
              <w:rPr>
                <w:sz w:val="16"/>
                <w:szCs w:val="16"/>
                <w:color w:val="auto"/>
              </w:rPr>
            </w:pPr>
          </w:p>
        </w:tc>
        <w:tc>
          <w:tcPr>
            <w:tcW w:w="460" w:type="dxa"/>
            <w:vAlign w:val="bottom"/>
            <w:gridSpan w:val="8"/>
          </w:tcPr>
          <w:p>
            <w:pPr>
              <w:spacing w:after="0"/>
              <w:rPr>
                <w:sz w:val="16"/>
                <w:szCs w:val="16"/>
                <w:color w:val="auto"/>
              </w:rPr>
            </w:pPr>
          </w:p>
        </w:tc>
      </w:tr>
      <w:tr>
        <w:trPr>
          <w:trHeight w:val="29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(s)(6)</w:t>
            </w:r>
          </w:p>
        </w:tc>
        <w:tc>
          <w:tcPr>
            <w:tcW w:w="958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7"/>
              </w:rPr>
            </w:pPr>
            <w:hyperlink r:id="rId178">
              <w:r>
                <w:rPr>
                  <w:rFonts w:ascii="Times New Roman" w:cs="Times New Roman" w:eastAsia="Times New Roman" w:hAnsi="Times New Roman"/>
                  <w:sz w:val="18"/>
                  <w:szCs w:val="18"/>
                  <w:color w:val="0000EE"/>
                  <w:w w:val="97"/>
                </w:rPr>
                <w:t>Calculation of Filing Fee Table (Incorporated by reference to Exhibit (s)(6) to the Registrant’s Registration Statement on Form N-2 (File</w:t>
              </w:r>
            </w:hyperlink>
          </w:p>
        </w:tc>
        <w:tc>
          <w:tcPr>
            <w:tcW w:w="240" w:type="dxa"/>
            <w:vAlign w:val="bottom"/>
            <w:gridSpan w:val="6"/>
          </w:tcPr>
          <w:p>
            <w:pPr>
              <w:spacing w:after="0"/>
              <w:rPr>
                <w:sz w:val="24"/>
                <w:szCs w:val="24"/>
                <w:color w:val="auto"/>
              </w:rPr>
            </w:pPr>
          </w:p>
        </w:tc>
      </w:tr>
      <w:tr>
        <w:trPr>
          <w:trHeight w:val="191"/>
        </w:trPr>
        <w:tc>
          <w:tcPr>
            <w:tcW w:w="1000" w:type="dxa"/>
            <w:vAlign w:val="bottom"/>
          </w:tcPr>
          <w:p>
            <w:pPr>
              <w:spacing w:after="0"/>
              <w:rPr>
                <w:sz w:val="16"/>
                <w:szCs w:val="16"/>
                <w:color w:val="auto"/>
              </w:rPr>
            </w:pPr>
          </w:p>
        </w:tc>
        <w:tc>
          <w:tcPr>
            <w:tcW w:w="2960" w:type="dxa"/>
            <w:vAlign w:val="bottom"/>
            <w:tcBorders>
              <w:bottom w:val="single" w:sz="8" w:color="0000EE"/>
            </w:tcBorders>
            <w:gridSpan w:val="3"/>
          </w:tcPr>
          <w:p>
            <w:pPr>
              <w:spacing w:after="0" w:line="190" w:lineRule="exact"/>
              <w:rPr>
                <w:rFonts w:ascii="Times New Roman" w:cs="Times New Roman" w:eastAsia="Times New Roman" w:hAnsi="Times New Roman"/>
                <w:sz w:val="18"/>
                <w:szCs w:val="18"/>
                <w:color w:val="0000EE"/>
                <w:w w:val="96"/>
              </w:rPr>
            </w:pPr>
            <w:hyperlink r:id="rId178">
              <w:r>
                <w:rPr>
                  <w:rFonts w:ascii="Times New Roman" w:cs="Times New Roman" w:eastAsia="Times New Roman" w:hAnsi="Times New Roman"/>
                  <w:sz w:val="18"/>
                  <w:szCs w:val="18"/>
                  <w:color w:val="0000EE"/>
                  <w:w w:val="96"/>
                </w:rPr>
                <w:t>No. 333-279726), filed on May 24, 2024).</w:t>
              </w:r>
            </w:hyperlink>
          </w:p>
        </w:tc>
        <w:tc>
          <w:tcPr>
            <w:tcW w:w="6860" w:type="dxa"/>
            <w:vAlign w:val="bottom"/>
            <w:gridSpan w:val="22"/>
          </w:tcPr>
          <w:p>
            <w:pPr>
              <w:spacing w:after="0"/>
              <w:rPr>
                <w:sz w:val="16"/>
                <w:szCs w:val="16"/>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200"/>
          </w:cols>
          <w:pgMar w:left="320" w:top="275" w:right="379" w:bottom="1440" w:gutter="0" w:footer="0" w:header="0"/>
        </w:sectPr>
      </w:pPr>
    </w:p>
    <w:bookmarkStart w:id="92" w:name="page93"/>
    <w:bookmarkEnd w:id="92"/>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9">
                      <a:extLst>
                        <a:ext uri="{28A0092B-C50C-407E-A947-70E740481C1C}"/>
                      </a:extLst>
                    </a:blip>
                    <a:srcRect/>
                    <a:stretch>
                      <a:fillRect/>
                    </a:stretch>
                  </pic:blipFill>
                  <pic:spPr bwMode="auto">
                    <a:xfrm>
                      <a:off x="0" y="0"/>
                      <a:ext cx="7178040" cy="54610"/>
                    </a:xfrm>
                    <a:prstGeom prst="rect">
                      <a:avLst/>
                    </a:prstGeom>
                    <a:noFill/>
                  </pic:spPr>
                </pic:pic>
              </a:graphicData>
            </a:graphic>
          </wp:anchor>
        </w:drawing>
        <w:t>Item 26.</w:t>
      </w:r>
      <w:r>
        <w:rPr>
          <w:sz w:val="20"/>
          <w:szCs w:val="20"/>
          <w:color w:val="auto"/>
        </w:rPr>
        <w:tab/>
      </w:r>
      <w:r>
        <w:rPr>
          <w:rFonts w:ascii="Times New Roman" w:cs="Times New Roman" w:eastAsia="Times New Roman" w:hAnsi="Times New Roman"/>
          <w:sz w:val="18"/>
          <w:szCs w:val="18"/>
          <w:b w:val="1"/>
          <w:bCs w:val="1"/>
          <w:color w:val="auto"/>
        </w:rPr>
        <w:t>Marketing arrangements</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information contained under the heading “Plan of Distribution” in this Registration Statement is hereby incorporated by reference.</w:t>
      </w:r>
    </w:p>
    <w:p>
      <w:pPr>
        <w:spacing w:after="0" w:line="357"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27.</w:t>
      </w:r>
      <w:r>
        <w:rPr>
          <w:sz w:val="20"/>
          <w:szCs w:val="20"/>
          <w:color w:val="auto"/>
        </w:rPr>
        <w:tab/>
      </w:r>
      <w:r>
        <w:rPr>
          <w:rFonts w:ascii="Times New Roman" w:cs="Times New Roman" w:eastAsia="Times New Roman" w:hAnsi="Times New Roman"/>
          <w:sz w:val="18"/>
          <w:szCs w:val="18"/>
          <w:b w:val="1"/>
          <w:bCs w:val="1"/>
          <w:color w:val="auto"/>
        </w:rPr>
        <w:t>Other expenses of issuance and distribution</w:t>
      </w:r>
    </w:p>
    <w:p>
      <w:pPr>
        <w:spacing w:after="0" w:line="111" w:lineRule="exact"/>
        <w:rPr>
          <w:sz w:val="20"/>
          <w:szCs w:val="20"/>
          <w:color w:val="auto"/>
        </w:rPr>
      </w:pPr>
    </w:p>
    <w:p>
      <w:pPr>
        <w:ind w:firstLine="450"/>
        <w:spacing w:after="0" w:line="268" w:lineRule="auto"/>
        <w:rPr>
          <w:sz w:val="20"/>
          <w:szCs w:val="20"/>
          <w:color w:val="auto"/>
        </w:rPr>
      </w:pPr>
      <w:r>
        <w:rPr>
          <w:rFonts w:ascii="Times New Roman" w:cs="Times New Roman" w:eastAsia="Times New Roman" w:hAnsi="Times New Roman"/>
          <w:sz w:val="18"/>
          <w:szCs w:val="18"/>
          <w:color w:val="auto"/>
        </w:rPr>
        <w:t>The following table sets forth the estimated expenses to be incurred by the Registrant in connection with the offering described in this registration statement:</w:t>
      </w:r>
    </w:p>
    <w:p>
      <w:pPr>
        <w:spacing w:after="0" w:line="214" w:lineRule="exact"/>
        <w:rPr>
          <w:sz w:val="20"/>
          <w:szCs w:val="20"/>
          <w:color w:val="auto"/>
        </w:rPr>
      </w:pPr>
    </w:p>
    <w:tbl>
      <w:tblPr>
        <w:tblLayout w:type="fixed"/>
        <w:tblInd w:w="460" w:type="dxa"/>
        <w:tblCellMar>
          <w:top w:w="0" w:type="dxa"/>
          <w:left w:w="0" w:type="dxa"/>
          <w:bottom w:w="0" w:type="dxa"/>
          <w:right w:w="0" w:type="dxa"/>
        </w:tblCellMar>
      </w:tblPr>
      <w:tr>
        <w:trPr>
          <w:trHeight w:val="211"/>
        </w:trPr>
        <w:tc>
          <w:tcPr>
            <w:tcW w:w="134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117,808.29*</w:t>
            </w:r>
          </w:p>
        </w:tc>
      </w:tr>
      <w:tr>
        <w:trPr>
          <w:trHeight w:val="211"/>
        </w:trPr>
        <w:tc>
          <w:tcPr>
            <w:tcW w:w="134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NYSE listing fee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134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(other than certificates)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134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134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134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 fees and expenses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134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20"/>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of the expenses set forth above shall be borne by the Registrant.</w:t>
            </w:r>
          </w:p>
        </w:tc>
        <w:tc>
          <w:tcPr>
            <w:tcW w:w="17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219" w:lineRule="exact"/>
        <w:rPr>
          <w:sz w:val="20"/>
          <w:szCs w:val="20"/>
          <w:color w:val="auto"/>
        </w:rPr>
      </w:pPr>
    </w:p>
    <w:p>
      <w:pPr>
        <w:ind w:right="1020" w:firstLine="5"/>
        <w:spacing w:after="0" w:line="268" w:lineRule="auto"/>
        <w:tabs>
          <w:tab w:leader="none" w:pos="44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has been offset against a filing fee associated with unsold securities registered under a previous registration statement. ** To be provided by amendment.</w:t>
      </w:r>
    </w:p>
    <w:p>
      <w:pPr>
        <w:spacing w:after="0" w:line="312"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28.</w:t>
      </w:r>
      <w:r>
        <w:rPr>
          <w:sz w:val="20"/>
          <w:szCs w:val="20"/>
          <w:color w:val="auto"/>
        </w:rPr>
        <w:tab/>
      </w:r>
      <w:r>
        <w:rPr>
          <w:rFonts w:ascii="Times New Roman" w:cs="Times New Roman" w:eastAsia="Times New Roman" w:hAnsi="Times New Roman"/>
          <w:sz w:val="18"/>
          <w:szCs w:val="18"/>
          <w:b w:val="1"/>
          <w:bCs w:val="1"/>
          <w:color w:val="auto"/>
        </w:rPr>
        <w:t>Persons controlled by or under common control with the registrant</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lists sets forth each of the companies considered to be controlled by us as defined by the 1940 Act.</w:t>
      </w:r>
    </w:p>
    <w:p>
      <w:pPr>
        <w:spacing w:after="0" w:line="218" w:lineRule="exact"/>
        <w:rPr>
          <w:sz w:val="20"/>
          <w:szCs w:val="20"/>
          <w:color w:val="auto"/>
        </w:rPr>
      </w:pPr>
    </w:p>
    <w:tbl>
      <w:tblPr>
        <w:tblLayout w:type="fixed"/>
        <w:tblInd w:w="180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3"/>
              </w:rPr>
              <w:t>Voting</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4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820" w:type="dxa"/>
            <w:vAlign w:val="bottom"/>
            <w:gridSpan w:val="2"/>
          </w:tcPr>
          <w:p>
            <w:pPr>
              <w:jc w:val="center"/>
              <w:ind w:right="1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entity and place of jurisdiction</w:t>
            </w:r>
            <w:r>
              <w:rPr>
                <w:rFonts w:ascii="Times New Roman" w:cs="Times New Roman" w:eastAsia="Times New Roman" w:hAnsi="Times New Roman"/>
                <w:sz w:val="8"/>
                <w:szCs w:val="8"/>
                <w:b w:val="1"/>
                <w:bCs w:val="1"/>
                <w:color w:val="auto"/>
              </w:rPr>
              <w:t>(1)</w:t>
            </w:r>
          </w:p>
        </w:tc>
        <w:tc>
          <w:tcPr>
            <w:tcW w:w="4140" w:type="dxa"/>
            <w:vAlign w:val="bottom"/>
            <w:vMerge w:val="restart"/>
          </w:tcPr>
          <w:p>
            <w:pPr>
              <w:spacing w:after="0"/>
              <w:rPr>
                <w:sz w:val="12"/>
                <w:szCs w:val="12"/>
                <w:color w:val="auto"/>
              </w:rPr>
            </w:pPr>
          </w:p>
        </w:tc>
        <w:tc>
          <w:tcPr>
            <w:tcW w:w="820" w:type="dxa"/>
            <w:vAlign w:val="bottom"/>
            <w:gridSpan w:val="2"/>
          </w:tcPr>
          <w:p>
            <w:pPr>
              <w:jc w:val="center"/>
              <w:ind w:right="1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Owned</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480" w:type="dxa"/>
            <w:vAlign w:val="bottom"/>
            <w:tcBorders>
              <w:bottom w:val="single" w:sz="8" w:color="auto"/>
            </w:tcBorders>
            <w:vMerge w:val="continue"/>
          </w:tcPr>
          <w:p>
            <w:pPr>
              <w:spacing w:after="0"/>
              <w:rPr>
                <w:sz w:val="13"/>
                <w:szCs w:val="13"/>
                <w:color w:val="auto"/>
              </w:rPr>
            </w:pPr>
          </w:p>
        </w:tc>
        <w:tc>
          <w:tcPr>
            <w:tcW w:w="4140" w:type="dxa"/>
            <w:vAlign w:val="bottom"/>
            <w:vMerge w:val="continue"/>
          </w:tcPr>
          <w:p>
            <w:pPr>
              <w:spacing w:after="0"/>
              <w:rPr>
                <w:sz w:val="13"/>
                <w:szCs w:val="13"/>
                <w:color w:val="auto"/>
              </w:rPr>
            </w:pPr>
          </w:p>
        </w:tc>
        <w:tc>
          <w:tcPr>
            <w:tcW w:w="820" w:type="dxa"/>
            <w:vAlign w:val="bottom"/>
            <w:gridSpan w:val="2"/>
          </w:tcPr>
          <w:p>
            <w:pPr>
              <w:jc w:val="center"/>
              <w:ind w:right="160"/>
              <w:spacing w:after="0" w:line="156"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PennantPark Floating Rate Funding I, LLC (Delaware)</w:t>
            </w: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20" w:type="dxa"/>
            <w:vAlign w:val="bottom"/>
            <w:gridSpan w:val="2"/>
            <w:vMerge w:val="continue"/>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197" w:lineRule="exact"/>
              <w:rPr>
                <w:sz w:val="20"/>
                <w:szCs w:val="20"/>
                <w:color w:val="auto"/>
              </w:rPr>
            </w:pPr>
            <w:r>
              <w:rPr>
                <w:rFonts w:ascii="Times New Roman" w:cs="Times New Roman" w:eastAsia="Times New Roman" w:hAnsi="Times New Roman"/>
                <w:sz w:val="18"/>
                <w:szCs w:val="18"/>
                <w:color w:val="auto"/>
              </w:rPr>
              <w:t>100%</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PennantPark Floating Rate Funding II, LLC (Delaware)</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PennantPark CLO I, LLC (Delaware)</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PennantPark CLO I, Ltd. (Cayman Islands)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PennantPark CLO I Depositor, LLC (Delaware)</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PennantPark CLO VIII, LLC (Delaware)</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PFLT Investment Holdings, LLC (Delaware)</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PFLT Investment Holdings II, LLC (Delaware)</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PennantPark Senior Secured Loan Fund I LLC</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93"/>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8549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80">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146" w:lineRule="exact"/>
        <w:rPr>
          <w:sz w:val="20"/>
          <w:szCs w:val="20"/>
          <w:color w:val="auto"/>
        </w:rPr>
      </w:pPr>
    </w:p>
    <w:p>
      <w:pPr>
        <w:ind w:left="460" w:hanging="455"/>
        <w:spacing w:after="0"/>
        <w:tabs>
          <w:tab w:leader="none" w:pos="4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entities other than PSSL set forth in the list are wholly owned subsidiaries of PennantPark Floating Rate Capital Ltd.</w:t>
      </w:r>
    </w:p>
    <w:p>
      <w:pPr>
        <w:spacing w:after="0" w:line="21"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is a controlled affiliated investment.</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29.</w:t>
            </w:r>
          </w:p>
        </w:tc>
        <w:tc>
          <w:tcPr>
            <w:tcW w:w="40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Number of holders of securities</w:t>
            </w:r>
          </w:p>
        </w:tc>
        <w:tc>
          <w:tcPr>
            <w:tcW w:w="4580" w:type="dxa"/>
            <w:vAlign w:val="bottom"/>
          </w:tcPr>
          <w:p>
            <w:pPr>
              <w:spacing w:after="0"/>
              <w:rPr>
                <w:sz w:val="20"/>
                <w:szCs w:val="20"/>
                <w:color w:val="auto"/>
              </w:rPr>
            </w:pPr>
          </w:p>
        </w:tc>
      </w:tr>
      <w:tr>
        <w:trPr>
          <w:trHeight w:val="316"/>
        </w:trPr>
        <w:tc>
          <w:tcPr>
            <w:tcW w:w="48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As of March 31, 2024</w:t>
            </w:r>
          </w:p>
        </w:tc>
        <w:tc>
          <w:tcPr>
            <w:tcW w:w="4580" w:type="dxa"/>
            <w:vAlign w:val="bottom"/>
          </w:tcPr>
          <w:p>
            <w:pPr>
              <w:spacing w:after="0"/>
              <w:rPr>
                <w:sz w:val="24"/>
                <w:szCs w:val="24"/>
                <w:color w:val="auto"/>
              </w:rPr>
            </w:pPr>
          </w:p>
        </w:tc>
      </w:tr>
      <w:tr>
        <w:trPr>
          <w:trHeight w:val="358"/>
        </w:trPr>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580" w:type="dxa"/>
            <w:vAlign w:val="bottom"/>
          </w:tcPr>
          <w:p>
            <w:pPr>
              <w:jc w:val="center"/>
              <w:ind w:left="3743"/>
              <w:spacing w:after="0"/>
              <w:rPr>
                <w:sz w:val="20"/>
                <w:szCs w:val="20"/>
                <w:color w:val="auto"/>
              </w:rPr>
            </w:pPr>
            <w:r>
              <w:rPr>
                <w:rFonts w:ascii="Times New Roman" w:cs="Times New Roman" w:eastAsia="Times New Roman" w:hAnsi="Times New Roman"/>
                <w:sz w:val="14"/>
                <w:szCs w:val="14"/>
                <w:b w:val="1"/>
                <w:bCs w:val="1"/>
                <w:color w:val="auto"/>
                <w:w w:val="98"/>
              </w:rPr>
              <w:t>Number of</w:t>
            </w:r>
          </w:p>
        </w:tc>
      </w:tr>
      <w:tr>
        <w:trPr>
          <w:trHeight w:val="145"/>
        </w:trPr>
        <w:tc>
          <w:tcPr>
            <w:tcW w:w="8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580" w:type="dxa"/>
            <w:vAlign w:val="bottom"/>
          </w:tcPr>
          <w:p>
            <w:pPr>
              <w:jc w:val="center"/>
              <w:ind w:left="3743"/>
              <w:spacing w:after="0" w:line="145" w:lineRule="exact"/>
              <w:rPr>
                <w:sz w:val="20"/>
                <w:szCs w:val="20"/>
                <w:color w:val="auto"/>
              </w:rPr>
            </w:pPr>
            <w:r>
              <w:rPr>
                <w:rFonts w:ascii="Times New Roman" w:cs="Times New Roman" w:eastAsia="Times New Roman" w:hAnsi="Times New Roman"/>
                <w:sz w:val="14"/>
                <w:szCs w:val="14"/>
                <w:b w:val="1"/>
                <w:bCs w:val="1"/>
                <w:color w:val="auto"/>
              </w:rPr>
              <w:t>Record</w:t>
            </w:r>
          </w:p>
        </w:tc>
      </w:tr>
      <w:tr>
        <w:trPr>
          <w:trHeight w:val="182"/>
        </w:trPr>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4580" w:type="dxa"/>
            <w:vAlign w:val="bottom"/>
          </w:tcPr>
          <w:p>
            <w:pPr>
              <w:jc w:val="center"/>
              <w:ind w:left="3743"/>
              <w:spacing w:after="0"/>
              <w:rPr>
                <w:sz w:val="20"/>
                <w:szCs w:val="20"/>
                <w:color w:val="auto"/>
              </w:rPr>
            </w:pPr>
            <w:r>
              <w:rPr>
                <w:rFonts w:ascii="Times New Roman" w:cs="Times New Roman" w:eastAsia="Times New Roman" w:hAnsi="Times New Roman"/>
                <w:sz w:val="14"/>
                <w:szCs w:val="14"/>
                <w:b w:val="1"/>
                <w:bCs w:val="1"/>
                <w:color w:val="auto"/>
              </w:rPr>
              <w:t>Holders</w:t>
            </w:r>
          </w:p>
        </w:tc>
      </w:tr>
      <w:tr>
        <w:trPr>
          <w:trHeight w:val="211"/>
        </w:trPr>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$0.001 par value</w:t>
            </w:r>
          </w:p>
        </w:tc>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55"/>
        </w:trPr>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580" w:type="dxa"/>
            <w:vAlign w:val="bottom"/>
          </w:tcPr>
          <w:p>
            <w:pPr>
              <w:jc w:val="right"/>
              <w:ind w:right="3643"/>
              <w:spacing w:after="0"/>
              <w:rPr>
                <w:sz w:val="20"/>
                <w:szCs w:val="20"/>
                <w:color w:val="auto"/>
              </w:rPr>
            </w:pPr>
            <w:r>
              <w:rPr>
                <w:rFonts w:ascii="Times New Roman" w:cs="Times New Roman" w:eastAsia="Times New Roman" w:hAnsi="Times New Roman"/>
                <w:sz w:val="18"/>
                <w:szCs w:val="18"/>
                <w:color w:val="auto"/>
              </w:rPr>
              <w:t>90</w:t>
            </w:r>
          </w:p>
        </w:tc>
      </w:tr>
    </w:tbl>
    <w:p>
      <w:pPr>
        <w:sectPr>
          <w:pgSz w:w="11900" w:h="16838" w:orient="portrait"/>
          <w:cols w:equalWidth="0" w:num="1">
            <w:col w:w="10680"/>
          </w:cols>
          <w:pgMar w:left="320" w:top="290" w:right="899" w:bottom="1440" w:gutter="0" w:footer="0" w:header="0"/>
        </w:sectPr>
      </w:pPr>
    </w:p>
    <w:bookmarkStart w:id="93" w:name="page94"/>
    <w:bookmarkEnd w:id="93"/>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81">
                      <a:extLst>
                        <a:ext uri="{28A0092B-C50C-407E-A947-70E740481C1C}"/>
                      </a:extLst>
                    </a:blip>
                    <a:srcRect/>
                    <a:stretch>
                      <a:fillRect/>
                    </a:stretch>
                  </pic:blipFill>
                  <pic:spPr bwMode="auto">
                    <a:xfrm>
                      <a:off x="0" y="0"/>
                      <a:ext cx="7178040" cy="54610"/>
                    </a:xfrm>
                    <a:prstGeom prst="rect">
                      <a:avLst/>
                    </a:prstGeom>
                    <a:noFill/>
                  </pic:spPr>
                </pic:pic>
              </a:graphicData>
            </a:graphic>
          </wp:anchor>
        </w:drawing>
        <w:t>Item 30.</w:t>
      </w:r>
      <w:r>
        <w:rPr>
          <w:sz w:val="20"/>
          <w:szCs w:val="20"/>
          <w:color w:val="auto"/>
        </w:rPr>
        <w:tab/>
      </w:r>
      <w:r>
        <w:rPr>
          <w:rFonts w:ascii="Times New Roman" w:cs="Times New Roman" w:eastAsia="Times New Roman" w:hAnsi="Times New Roman"/>
          <w:sz w:val="18"/>
          <w:szCs w:val="18"/>
          <w:b w:val="1"/>
          <w:bCs w:val="1"/>
          <w:color w:val="auto"/>
        </w:rPr>
        <w:t>Indemnification</w:t>
      </w:r>
    </w:p>
    <w:p>
      <w:pPr>
        <w:spacing w:after="0" w:line="111" w:lineRule="exact"/>
        <w:rPr>
          <w:sz w:val="20"/>
          <w:szCs w:val="20"/>
          <w:color w:val="auto"/>
        </w:rPr>
      </w:pPr>
    </w:p>
    <w:p>
      <w:pPr>
        <w:ind w:right="100" w:firstLine="450"/>
        <w:spacing w:after="0" w:line="268" w:lineRule="auto"/>
        <w:rPr>
          <w:sz w:val="20"/>
          <w:szCs w:val="20"/>
          <w:color w:val="auto"/>
        </w:rPr>
      </w:pPr>
      <w:r>
        <w:rPr>
          <w:rFonts w:ascii="Times New Roman" w:cs="Times New Roman" w:eastAsia="Times New Roman" w:hAnsi="Times New Roman"/>
          <w:sz w:val="18"/>
          <w:szCs w:val="18"/>
          <w:color w:val="auto"/>
        </w:rPr>
        <w:t>The information contained under the heading “Description of our Capital Stock—Limitation on Liability of Directors and Officers; Indemnification and Advance of Expenses” is incorporated herein by reference.</w:t>
      </w:r>
    </w:p>
    <w:p>
      <w:pPr>
        <w:spacing w:after="0" w:line="312"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31.</w:t>
      </w:r>
      <w:r>
        <w:rPr>
          <w:sz w:val="20"/>
          <w:szCs w:val="20"/>
          <w:color w:val="auto"/>
        </w:rPr>
        <w:tab/>
      </w:r>
      <w:r>
        <w:rPr>
          <w:rFonts w:ascii="Times New Roman" w:cs="Times New Roman" w:eastAsia="Times New Roman" w:hAnsi="Times New Roman"/>
          <w:sz w:val="18"/>
          <w:szCs w:val="18"/>
          <w:b w:val="1"/>
          <w:bCs w:val="1"/>
          <w:color w:val="auto"/>
        </w:rPr>
        <w:t>Business and other connections of Investment Adviser</w:t>
      </w:r>
    </w:p>
    <w:p>
      <w:pPr>
        <w:spacing w:after="0" w:line="111" w:lineRule="exact"/>
        <w:rPr>
          <w:sz w:val="20"/>
          <w:szCs w:val="20"/>
          <w:color w:val="auto"/>
        </w:rPr>
      </w:pPr>
    </w:p>
    <w:p>
      <w:pPr>
        <w:ind w:right="60" w:firstLine="450"/>
        <w:spacing w:after="0" w:line="252" w:lineRule="auto"/>
        <w:rPr>
          <w:sz w:val="20"/>
          <w:szCs w:val="20"/>
          <w:color w:val="auto"/>
        </w:rPr>
      </w:pPr>
      <w:r>
        <w:rPr>
          <w:rFonts w:ascii="Times New Roman" w:cs="Times New Roman" w:eastAsia="Times New Roman" w:hAnsi="Times New Roman"/>
          <w:sz w:val="18"/>
          <w:szCs w:val="18"/>
          <w:color w:val="auto"/>
        </w:rPr>
        <w:t>Neither the Investment Adviser nor any officer, director or partner of the Investment Adviser has been substantially engaged in any business, profession, vocation or employment since the inception of the Investment Adviser other than as set forth under the headings “Portfolio Management” or is otherwise incorporated by reference. Additional information regarding the Investment Adviser and its officers and directors is set forth in its Form ADV, as filed with the SEC (SEC File No. 801-67622), and is incorporated herein by reference.</w:t>
      </w:r>
    </w:p>
    <w:p>
      <w:pPr>
        <w:spacing w:after="0" w:line="326"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32.</w:t>
      </w:r>
      <w:r>
        <w:rPr>
          <w:sz w:val="20"/>
          <w:szCs w:val="20"/>
          <w:color w:val="auto"/>
        </w:rPr>
        <w:tab/>
      </w:r>
      <w:r>
        <w:rPr>
          <w:rFonts w:ascii="Times New Roman" w:cs="Times New Roman" w:eastAsia="Times New Roman" w:hAnsi="Times New Roman"/>
          <w:sz w:val="18"/>
          <w:szCs w:val="18"/>
          <w:b w:val="1"/>
          <w:bCs w:val="1"/>
          <w:color w:val="auto"/>
        </w:rPr>
        <w:t>Location of accounts and records</w:t>
      </w:r>
    </w:p>
    <w:p>
      <w:pPr>
        <w:spacing w:after="0" w:line="111" w:lineRule="exact"/>
        <w:rPr>
          <w:sz w:val="20"/>
          <w:szCs w:val="20"/>
          <w:color w:val="auto"/>
        </w:rPr>
      </w:pPr>
    </w:p>
    <w:p>
      <w:pPr>
        <w:ind w:right="400" w:firstLine="450"/>
        <w:spacing w:after="0" w:line="268" w:lineRule="auto"/>
        <w:rPr>
          <w:sz w:val="20"/>
          <w:szCs w:val="20"/>
          <w:color w:val="auto"/>
        </w:rPr>
      </w:pPr>
      <w:r>
        <w:rPr>
          <w:rFonts w:ascii="Times New Roman" w:cs="Times New Roman" w:eastAsia="Times New Roman" w:hAnsi="Times New Roman"/>
          <w:sz w:val="18"/>
          <w:szCs w:val="18"/>
          <w:color w:val="auto"/>
        </w:rPr>
        <w:t>All accounts, books and other documents required to be maintained by Section 31(a) of the 1940 Act, and the rules thereunder are maintained at the offices of:</w:t>
      </w:r>
    </w:p>
    <w:p>
      <w:pPr>
        <w:spacing w:after="0" w:line="77" w:lineRule="exact"/>
        <w:rPr>
          <w:sz w:val="20"/>
          <w:szCs w:val="20"/>
          <w:color w:val="auto"/>
        </w:rPr>
      </w:pPr>
    </w:p>
    <w:p>
      <w:pPr>
        <w:ind w:left="1000" w:hanging="547"/>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PennantPark Floating Rate Capital Ltd., 1691 Michigan Avenue, Miami Beach, FL 33139;</w:t>
      </w:r>
    </w:p>
    <w:p>
      <w:pPr>
        <w:spacing w:after="0" w:line="121"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Agent, Equiniti Trust Company, LLC, 48 Wall Street, 22</w:t>
      </w:r>
      <w:r>
        <w:rPr>
          <w:rFonts w:ascii="Times New Roman" w:cs="Times New Roman" w:eastAsia="Times New Roman" w:hAnsi="Times New Roman"/>
          <w:sz w:val="21"/>
          <w:szCs w:val="21"/>
          <w:color w:val="auto"/>
          <w:vertAlign w:val="superscript"/>
        </w:rPr>
        <w:t>nd</w:t>
      </w:r>
      <w:r>
        <w:rPr>
          <w:rFonts w:ascii="Times New Roman" w:cs="Times New Roman" w:eastAsia="Times New Roman" w:hAnsi="Times New Roman"/>
          <w:sz w:val="18"/>
          <w:szCs w:val="18"/>
          <w:color w:val="auto"/>
        </w:rPr>
        <w:t xml:space="preserve"> Floor, New York, NY 10005;</w:t>
      </w:r>
    </w:p>
    <w:p>
      <w:pPr>
        <w:spacing w:after="0" w:line="8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Custodian, The Bank of New York Mellon, 240 Greenwich Street, New York, NY 10286; and</w:t>
      </w:r>
    </w:p>
    <w:p>
      <w:pPr>
        <w:spacing w:after="0" w:line="121"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Adviser, PennantPark Investment Advisers, LLC, 1691 Michigan Avenue, Miami Beach, FL 33139.</w:t>
      </w:r>
    </w:p>
    <w:p>
      <w:pPr>
        <w:spacing w:after="0" w:line="357"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33.</w:t>
      </w:r>
      <w:r>
        <w:rPr>
          <w:sz w:val="20"/>
          <w:szCs w:val="20"/>
          <w:color w:val="auto"/>
        </w:rPr>
        <w:tab/>
      </w:r>
      <w:r>
        <w:rPr>
          <w:rFonts w:ascii="Times New Roman" w:cs="Times New Roman" w:eastAsia="Times New Roman" w:hAnsi="Times New Roman"/>
          <w:sz w:val="18"/>
          <w:szCs w:val="18"/>
          <w:b w:val="1"/>
          <w:bCs w:val="1"/>
          <w:color w:val="auto"/>
        </w:rPr>
        <w:t>Management services</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57"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34.</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Registrant hereby undertakes:</w:t>
      </w:r>
    </w:p>
    <w:p>
      <w:pPr>
        <w:spacing w:after="0" w:line="122" w:lineRule="exact"/>
        <w:rPr>
          <w:sz w:val="20"/>
          <w:szCs w:val="20"/>
          <w:color w:val="auto"/>
        </w:rPr>
      </w:pPr>
    </w:p>
    <w:p>
      <w:pPr>
        <w:ind w:left="1000" w:right="40" w:hanging="547"/>
        <w:spacing w:after="0" w:line="256"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suspend the offering of shares until the prospectus filed as part of this registration statement is amended if (1) subsequent to the effective date of its registration statement, the NAV declines more than ten percent from its NAV as of the effective date of the registration statement; or (2) the NAV increases to an amount greater than the net proceeds as stated in the prospectus.</w:t>
      </w:r>
    </w:p>
    <w:p>
      <w:pPr>
        <w:spacing w:after="0" w:line="8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21"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21" w:lineRule="exact"/>
        <w:rPr>
          <w:rFonts w:ascii="Times New Roman" w:cs="Times New Roman" w:eastAsia="Times New Roman" w:hAnsi="Times New Roman"/>
          <w:sz w:val="18"/>
          <w:szCs w:val="18"/>
          <w:color w:val="auto"/>
        </w:rPr>
      </w:pPr>
    </w:p>
    <w:p>
      <w:pPr>
        <w:ind w:left="1000" w:right="20" w:hanging="547"/>
        <w:spacing w:after="0" w:line="249"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 the purpose of determining any liability under the Securities Act, the information omitted from the form of prospectus filed as part of this registration statement in reliance upon Rule 430A and contained in a form of prospectus filed by the Registrant under Rule 424(b) (1) under the Securities Act shall be deemed to be part of this registration statement as of the time it was declared effective; and (b) for the purpose of determining any liability under the Securities Act, each post-effective amendment that contains a form of prospectus shall be deemed to be a new registration statement relating to the securities offered therein, and the offering of the securities at that time shall be deemed to be the initial bona fide offering thereof.</w:t>
      </w:r>
    </w:p>
    <w:p>
      <w:pPr>
        <w:spacing w:after="0" w:line="93"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21" w:lineRule="exact"/>
        <w:rPr>
          <w:rFonts w:ascii="Times New Roman" w:cs="Times New Roman" w:eastAsia="Times New Roman" w:hAnsi="Times New Roman"/>
          <w:sz w:val="18"/>
          <w:szCs w:val="18"/>
          <w:color w:val="auto"/>
        </w:rPr>
      </w:pPr>
    </w:p>
    <w:p>
      <w:pPr>
        <w:ind w:left="1000" w:hanging="547"/>
        <w:spacing w:after="0" w:line="268"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20"/>
          </w:cols>
          <w:pgMar w:left="320" w:top="290" w:right="359" w:bottom="1440" w:gutter="0" w:footer="0" w:header="0"/>
        </w:sectPr>
      </w:pPr>
    </w:p>
    <w:bookmarkStart w:id="94" w:name="page95"/>
    <w:bookmarkEnd w:id="94"/>
    <w:p>
      <w:pPr>
        <w:ind w:left="547"/>
        <w:spacing w:after="0" w:line="24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2">
                      <a:extLst>
                        <a:ext uri="{28A0092B-C50C-407E-A947-70E740481C1C}"/>
                      </a:extLst>
                    </a:blip>
                    <a:srcRect/>
                    <a:stretch>
                      <a:fillRect/>
                    </a:stretch>
                  </pic:blipFill>
                  <pic:spPr bwMode="auto">
                    <a:xfrm>
                      <a:off x="0" y="0"/>
                      <a:ext cx="7178040" cy="54610"/>
                    </a:xfrm>
                    <a:prstGeom prst="rect">
                      <a:avLst/>
                    </a:prstGeom>
                    <a:noFill/>
                  </pic:spPr>
                </pic:pic>
              </a:graphicData>
            </a:graphic>
          </wp:anchor>
        </w:drawing>
        <w:t>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95" w:lineRule="exact"/>
        <w:rPr>
          <w:sz w:val="20"/>
          <w:szCs w:val="20"/>
          <w:color w:val="auto"/>
        </w:rPr>
      </w:pPr>
    </w:p>
    <w:p>
      <w:pPr>
        <w:ind w:left="547" w:right="360" w:hanging="547"/>
        <w:spacing w:after="0" w:line="268" w:lineRule="auto"/>
        <w:tabs>
          <w:tab w:leader="none" w:pos="54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send by first class mail or other means designed to ensure equally prompt delivery, within two business days of receipt of a written or oral request, any prospectus or Statement of Additional Information.</w:t>
      </w:r>
    </w:p>
    <w:p>
      <w:pPr>
        <w:spacing w:after="0" w:line="104" w:lineRule="exact"/>
        <w:rPr>
          <w:sz w:val="20"/>
          <w:szCs w:val="20"/>
          <w:color w:val="auto"/>
        </w:rPr>
      </w:pPr>
    </w:p>
    <w:p>
      <w:pPr>
        <w:jc w:val="center"/>
        <w:ind w:right="413"/>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0767"/>
          </w:cols>
          <w:pgMar w:left="773" w:top="292" w:right="35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3">
                      <a:extLst>
                        <a:ext uri="{28A0092B-C50C-407E-A947-70E740481C1C}"/>
                      </a:extLst>
                    </a:blip>
                    <a:srcRect/>
                    <a:stretch>
                      <a:fillRect/>
                    </a:stretch>
                  </pic:blipFill>
                  <pic:spPr bwMode="auto">
                    <a:xfrm>
                      <a:off x="0" y="0"/>
                      <a:ext cx="7178040" cy="54610"/>
                    </a:xfrm>
                    <a:prstGeom prst="rect">
                      <a:avLst/>
                    </a:prstGeom>
                    <a:noFill/>
                  </pic:spPr>
                </pic:pic>
              </a:graphicData>
            </a:graphic>
          </wp:anchor>
        </w:drawing>
        <w:t>SIGNATURES</w:t>
      </w:r>
    </w:p>
    <w:p>
      <w:pPr>
        <w:spacing w:after="0" w:line="216"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Pre-Effective Amendment No. 2 to the Registration Statement on Form N-2 to be signed on its behalf by the undersigned, thereunto duly authorized, in the City of New York, and State of New York, on the 15</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8"/>
          <w:szCs w:val="18"/>
          <w:color w:val="auto"/>
        </w:rPr>
        <w:t xml:space="preserve"> day of July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Arthur H. Penn</w:t>
            </w:r>
          </w:p>
        </w:tc>
      </w:tr>
      <w:tr>
        <w:trPr>
          <w:trHeight w:val="197"/>
        </w:trPr>
        <w:tc>
          <w:tcPr>
            <w:tcW w:w="680" w:type="dxa"/>
            <w:vAlign w:val="bottom"/>
          </w:tcPr>
          <w:p>
            <w:pPr>
              <w:spacing w:after="0" w:line="197" w:lineRule="exact"/>
              <w:rPr>
                <w:sz w:val="20"/>
                <w:szCs w:val="20"/>
                <w:color w:val="auto"/>
              </w:rPr>
            </w:pPr>
            <w:r>
              <w:rPr>
                <w:rFonts w:ascii="Times New Roman" w:cs="Times New Roman" w:eastAsia="Times New Roman" w:hAnsi="Times New Roman"/>
                <w:sz w:val="18"/>
                <w:szCs w:val="18"/>
                <w:b w:val="1"/>
                <w:bCs w:val="1"/>
                <w:color w:val="auto"/>
              </w:rPr>
              <w:t>Name:</w:t>
            </w:r>
          </w:p>
        </w:tc>
        <w:tc>
          <w:tcPr>
            <w:tcW w:w="3820" w:type="dxa"/>
            <w:vAlign w:val="bottom"/>
          </w:tcPr>
          <w:p>
            <w:pPr>
              <w:spacing w:after="0" w:line="197" w:lineRule="exact"/>
              <w:rPr>
                <w:sz w:val="20"/>
                <w:szCs w:val="20"/>
                <w:color w:val="auto"/>
              </w:rPr>
            </w:pPr>
            <w:r>
              <w:rPr>
                <w:rFonts w:ascii="Times New Roman" w:cs="Times New Roman" w:eastAsia="Times New Roman" w:hAnsi="Times New Roman"/>
                <w:sz w:val="18"/>
                <w:szCs w:val="18"/>
                <w:b w:val="1"/>
                <w:bCs w:val="1"/>
                <w:color w:val="auto"/>
              </w:rPr>
              <w:t>Arthur H. Penn</w:t>
            </w:r>
          </w:p>
        </w:tc>
      </w:tr>
      <w:tr>
        <w:trPr>
          <w:trHeight w:val="211"/>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Chief Executive Officer and Chairman of the</w:t>
            </w:r>
          </w:p>
        </w:tc>
      </w:tr>
      <w:tr>
        <w:trPr>
          <w:trHeight w:val="230"/>
        </w:trPr>
        <w:tc>
          <w:tcPr>
            <w:tcW w:w="6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Board</w:t>
            </w:r>
          </w:p>
        </w:tc>
      </w:tr>
    </w:tbl>
    <w:p>
      <w:pPr>
        <w:spacing w:after="0" w:line="193" w:lineRule="exact"/>
        <w:rPr>
          <w:sz w:val="20"/>
          <w:szCs w:val="20"/>
          <w:color w:val="auto"/>
        </w:rPr>
      </w:pPr>
    </w:p>
    <w:p>
      <w:pPr>
        <w:ind w:right="300"/>
        <w:spacing w:after="0" w:line="290"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Pre-Effective Amendment No. 2 to the Registrant’s Registration Statement on Form N-2 has been signed by the following persons in the capacities set forth below on the 15</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8"/>
          <w:szCs w:val="18"/>
          <w:color w:val="auto"/>
        </w:rPr>
        <w:t xml:space="preserve"> day of July 2024.</w:t>
      </w:r>
    </w:p>
    <w:p>
      <w:pPr>
        <w:sectPr>
          <w:pgSz w:w="11900" w:h="16838" w:orient="portrait"/>
          <w:cols w:equalWidth="0" w:num="1">
            <w:col w:w="11240"/>
          </w:cols>
          <w:pgMar w:left="320" w:top="290" w:right="339" w:bottom="1440" w:gutter="0" w:footer="0" w:header="0"/>
        </w:sectPr>
      </w:pPr>
    </w:p>
    <w:p>
      <w:pPr>
        <w:spacing w:after="0" w:line="110"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327533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4">
                      <a:extLst>
                        <a:ext uri="{28A0092B-C50C-407E-A947-70E740481C1C}"/>
                      </a:extLst>
                    </a:blip>
                    <a:srcRect/>
                    <a:stretch>
                      <a:fillRect/>
                    </a:stretch>
                  </pic:blipFill>
                  <pic:spPr bwMode="auto">
                    <a:xfrm>
                      <a:off x="0" y="0"/>
                      <a:ext cx="3275330" cy="8255"/>
                    </a:xfrm>
                    <a:prstGeom prst="rect">
                      <a:avLst/>
                    </a:prstGeom>
                    <a:noFill/>
                  </pic:spPr>
                </pic:pic>
              </a:graphicData>
            </a:graphic>
          </wp:anchor>
        </w:drawing>
      </w:r>
    </w:p>
    <w:p>
      <w:pPr>
        <w:spacing w:after="0" w:line="8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327533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5">
                      <a:extLst>
                        <a:ext uri="{28A0092B-C50C-407E-A947-70E740481C1C}"/>
                      </a:extLst>
                    </a:blip>
                    <a:srcRect/>
                    <a:stretch>
                      <a:fillRect/>
                    </a:stretch>
                  </pic:blipFill>
                  <pic:spPr bwMode="auto">
                    <a:xfrm>
                      <a:off x="0" y="0"/>
                      <a:ext cx="3275330" cy="8255"/>
                    </a:xfrm>
                    <a:prstGeom prst="rect">
                      <a:avLst/>
                    </a:prstGeom>
                    <a:noFill/>
                  </pic:spPr>
                </pic:pic>
              </a:graphicData>
            </a:graphic>
          </wp:anchor>
        </w:drawing>
      </w:r>
    </w:p>
    <w:p>
      <w:pPr>
        <w:spacing w:after="0" w:line="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Arthur H. Penn</w:t>
      </w:r>
    </w:p>
    <w:p>
      <w:pPr>
        <w:spacing w:after="0" w:line="2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 Richard T. Allorto,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327533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6">
                      <a:extLst>
                        <a:ext uri="{28A0092B-C50C-407E-A947-70E740481C1C}"/>
                      </a:extLst>
                    </a:blip>
                    <a:srcRect/>
                    <a:stretch>
                      <a:fillRect/>
                    </a:stretch>
                  </pic:blipFill>
                  <pic:spPr bwMode="auto">
                    <a:xfrm>
                      <a:off x="0" y="0"/>
                      <a:ext cx="3275330" cy="8255"/>
                    </a:xfrm>
                    <a:prstGeom prst="rect">
                      <a:avLst/>
                    </a:prstGeom>
                    <a:noFill/>
                  </pic:spPr>
                </pic:pic>
              </a:graphicData>
            </a:graphic>
          </wp:anchor>
        </w:drawing>
      </w:r>
    </w:p>
    <w:p>
      <w:pPr>
        <w:spacing w:after="0" w:line="1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6"/>
          <w:szCs w:val="16"/>
          <w:b w:val="1"/>
          <w:bCs w:val="1"/>
          <w:color w:val="auto"/>
        </w:rPr>
        <w:t>Richard T. Allorto, Jr.</w:t>
      </w:r>
    </w:p>
    <w:p>
      <w:pPr>
        <w:spacing w:after="0" w:line="4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wp:posOffset>
            </wp:positionV>
            <wp:extent cx="327533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7">
                      <a:extLst>
                        <a:ext uri="{28A0092B-C50C-407E-A947-70E740481C1C}"/>
                      </a:extLst>
                    </a:blip>
                    <a:srcRect/>
                    <a:stretch>
                      <a:fillRect/>
                    </a:stretch>
                  </pic:blipFill>
                  <pic:spPr bwMode="auto">
                    <a:xfrm>
                      <a:off x="0" y="0"/>
                      <a:ext cx="3275330" cy="8255"/>
                    </a:xfrm>
                    <a:prstGeom prst="rect">
                      <a:avLst/>
                    </a:prstGeom>
                    <a:noFill/>
                  </pic:spPr>
                </pic:pic>
              </a:graphicData>
            </a:graphic>
          </wp:anchor>
        </w:drawing>
      </w:r>
    </w:p>
    <w:p>
      <w:pPr>
        <w:ind w:left="1860"/>
        <w:spacing w:after="0"/>
        <w:rPr>
          <w:sz w:val="20"/>
          <w:szCs w:val="20"/>
          <w:color w:val="auto"/>
        </w:rPr>
      </w:pPr>
      <w:r>
        <w:rPr>
          <w:rFonts w:ascii="Times New Roman" w:cs="Times New Roman" w:eastAsia="Times New Roman" w:hAnsi="Times New Roman"/>
          <w:sz w:val="18"/>
          <w:szCs w:val="18"/>
          <w:b w:val="1"/>
          <w:bCs w:val="1"/>
          <w:color w:val="auto"/>
        </w:rPr>
        <w:t>Adam K. Bernstein</w:t>
      </w:r>
    </w:p>
    <w:p>
      <w:pPr>
        <w:spacing w:after="0" w:line="2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wp:posOffset>
            </wp:positionV>
            <wp:extent cx="327533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8">
                      <a:extLst>
                        <a:ext uri="{28A0092B-C50C-407E-A947-70E740481C1C}"/>
                      </a:extLst>
                    </a:blip>
                    <a:srcRect/>
                    <a:stretch>
                      <a:fillRect/>
                    </a:stretch>
                  </pic:blipFill>
                  <pic:spPr bwMode="auto">
                    <a:xfrm>
                      <a:off x="0" y="0"/>
                      <a:ext cx="3275330" cy="8255"/>
                    </a:xfrm>
                    <a:prstGeom prst="rect">
                      <a:avLst/>
                    </a:prstGeom>
                    <a:noFill/>
                  </pic:spPr>
                </pic:pic>
              </a:graphicData>
            </a:graphic>
          </wp:anchor>
        </w:drawing>
      </w:r>
    </w:p>
    <w:p>
      <w:pPr>
        <w:ind w:left="2140"/>
        <w:spacing w:after="0"/>
        <w:rPr>
          <w:sz w:val="20"/>
          <w:szCs w:val="20"/>
          <w:color w:val="auto"/>
        </w:rPr>
      </w:pPr>
      <w:r>
        <w:rPr>
          <w:rFonts w:ascii="Times New Roman" w:cs="Times New Roman" w:eastAsia="Times New Roman" w:hAnsi="Times New Roman"/>
          <w:sz w:val="18"/>
          <w:szCs w:val="18"/>
          <w:b w:val="1"/>
          <w:bCs w:val="1"/>
          <w:color w:val="auto"/>
        </w:rPr>
        <w:t>Jeffrey Flug</w:t>
      </w:r>
    </w:p>
    <w:p>
      <w:pPr>
        <w:spacing w:after="0" w:line="2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wp:posOffset>
            </wp:positionV>
            <wp:extent cx="327533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9">
                      <a:extLst>
                        <a:ext uri="{28A0092B-C50C-407E-A947-70E740481C1C}"/>
                      </a:extLst>
                    </a:blip>
                    <a:srcRect/>
                    <a:stretch>
                      <a:fillRect/>
                    </a:stretch>
                  </pic:blipFill>
                  <pic:spPr bwMode="auto">
                    <a:xfrm>
                      <a:off x="0" y="0"/>
                      <a:ext cx="3275330" cy="8255"/>
                    </a:xfrm>
                    <a:prstGeom prst="rect">
                      <a:avLst/>
                    </a:prstGeom>
                    <a:noFill/>
                  </pic:spPr>
                </pic:pic>
              </a:graphicData>
            </a:graphic>
          </wp:anchor>
        </w:drawing>
      </w:r>
    </w:p>
    <w:p>
      <w:pPr>
        <w:ind w:left="1940"/>
        <w:spacing w:after="0"/>
        <w:rPr>
          <w:sz w:val="20"/>
          <w:szCs w:val="20"/>
          <w:color w:val="auto"/>
        </w:rPr>
      </w:pPr>
      <w:r>
        <w:rPr>
          <w:rFonts w:ascii="Times New Roman" w:cs="Times New Roman" w:eastAsia="Times New Roman" w:hAnsi="Times New Roman"/>
          <w:sz w:val="18"/>
          <w:szCs w:val="18"/>
          <w:b w:val="1"/>
          <w:bCs w:val="1"/>
          <w:color w:val="auto"/>
        </w:rPr>
        <w:t>Marshall Brozost</w:t>
      </w:r>
    </w:p>
    <w:p>
      <w:pPr>
        <w:spacing w:after="0" w:line="2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wp:posOffset>
            </wp:positionV>
            <wp:extent cx="327533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90">
                      <a:extLst>
                        <a:ext uri="{28A0092B-C50C-407E-A947-70E740481C1C}"/>
                      </a:extLst>
                    </a:blip>
                    <a:srcRect/>
                    <a:stretch>
                      <a:fillRect/>
                    </a:stretch>
                  </pic:blipFill>
                  <pic:spPr bwMode="auto">
                    <a:xfrm>
                      <a:off x="0" y="0"/>
                      <a:ext cx="3275330" cy="8255"/>
                    </a:xfrm>
                    <a:prstGeom prst="rect">
                      <a:avLst/>
                    </a:prstGeom>
                    <a:noFill/>
                  </pic:spPr>
                </pic:pic>
              </a:graphicData>
            </a:graphic>
          </wp:anchor>
        </w:drawing>
      </w:r>
    </w:p>
    <w:p>
      <w:pPr>
        <w:ind w:left="2000"/>
        <w:spacing w:after="0"/>
        <w:rPr>
          <w:sz w:val="20"/>
          <w:szCs w:val="20"/>
          <w:color w:val="auto"/>
        </w:rPr>
      </w:pPr>
      <w:r>
        <w:rPr>
          <w:rFonts w:ascii="Times New Roman" w:cs="Times New Roman" w:eastAsia="Times New Roman" w:hAnsi="Times New Roman"/>
          <w:sz w:val="18"/>
          <w:szCs w:val="18"/>
          <w:b w:val="1"/>
          <w:bCs w:val="1"/>
          <w:color w:val="auto"/>
        </w:rPr>
        <w:t>Samuel L. Katz</w:t>
      </w:r>
    </w:p>
    <w:p>
      <w:pPr>
        <w:spacing w:after="0" w:line="23"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wp:posOffset>
            </wp:positionV>
            <wp:extent cx="327533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1">
                      <a:extLst>
                        <a:ext uri="{28A0092B-C50C-407E-A947-70E740481C1C}"/>
                      </a:extLst>
                    </a:blip>
                    <a:srcRect/>
                    <a:stretch>
                      <a:fillRect/>
                    </a:stretch>
                  </pic:blipFill>
                  <pic:spPr bwMode="auto">
                    <a:xfrm>
                      <a:off x="0" y="0"/>
                      <a:ext cx="3275330" cy="8255"/>
                    </a:xfrm>
                    <a:prstGeom prst="rect">
                      <a:avLst/>
                    </a:prstGeom>
                    <a:noFill/>
                  </pic:spPr>
                </pic:pic>
              </a:graphicData>
            </a:graphic>
          </wp:anchor>
        </w:drawing>
      </w: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José A. Briones</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13335</wp:posOffset>
            </wp:positionV>
            <wp:extent cx="37185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2">
                      <a:extLst>
                        <a:ext uri="{28A0092B-C50C-407E-A947-70E740481C1C}"/>
                      </a:extLst>
                    </a:blip>
                    <a:srcRect/>
                    <a:stretch>
                      <a:fillRect/>
                    </a:stretch>
                  </pic:blipFill>
                  <pic:spPr bwMode="auto">
                    <a:xfrm>
                      <a:off x="0" y="0"/>
                      <a:ext cx="3718560" cy="8255"/>
                    </a:xfrm>
                    <a:prstGeom prst="rect">
                      <a:avLst/>
                    </a:prstGeom>
                    <a:noFill/>
                  </pic:spPr>
                </pic:pic>
              </a:graphicData>
            </a:graphic>
          </wp:anchor>
        </w:drawing>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Executive Officer and Chairman of the Board of Directors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Chief Financial Officer and Treasurer (Principal Financial and Accounting Officer)</w:t>
      </w:r>
    </w:p>
    <w:p>
      <w:pPr>
        <w:spacing w:after="0" w:line="263"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Director</w:t>
      </w:r>
    </w:p>
    <w:p>
      <w:pPr>
        <w:spacing w:after="0" w:line="240"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Director</w:t>
      </w:r>
    </w:p>
    <w:p>
      <w:pPr>
        <w:spacing w:after="0" w:line="240"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Director</w:t>
      </w:r>
    </w:p>
    <w:p>
      <w:pPr>
        <w:spacing w:after="0" w:line="240"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Director</w:t>
      </w:r>
    </w:p>
    <w:p>
      <w:pPr>
        <w:spacing w:after="0" w:line="25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Director</w:t>
      </w:r>
    </w:p>
    <w:p>
      <w:pPr>
        <w:spacing w:after="0" w:line="316" w:lineRule="exact"/>
        <w:rPr>
          <w:sz w:val="20"/>
          <w:szCs w:val="20"/>
          <w:color w:val="auto"/>
        </w:rPr>
      </w:pPr>
    </w:p>
    <w:p>
      <w:pPr>
        <w:sectPr>
          <w:pgSz w:w="11900" w:h="16838" w:orient="portrait"/>
          <w:cols w:equalWidth="0" w:num="2">
            <w:col w:w="4680" w:space="720"/>
            <w:col w:w="5840"/>
          </w:cols>
          <w:pgMar w:left="320" w:top="290" w:right="339" w:bottom="1440" w:gutter="0" w:footer="0" w:header="0"/>
          <w:type w:val="continuous"/>
        </w:sectPr>
      </w:pPr>
    </w:p>
    <w:p>
      <w:pPr>
        <w:spacing w:after="0" w:line="42" w:lineRule="exact"/>
        <w:rPr>
          <w:sz w:val="20"/>
          <w:szCs w:val="20"/>
          <w:color w:val="auto"/>
        </w:rPr>
      </w:pPr>
    </w:p>
    <w:p>
      <w:pPr>
        <w:ind w:left="5540" w:right="1220" w:hanging="5535"/>
        <w:spacing w:after="0" w:line="436" w:lineRule="auto"/>
        <w:tabs>
          <w:tab w:leader="none" w:pos="45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Signed by Richard T. Allorto, Jr. on behalf of those identified pursuant to his designation as an attorney-in-fact signed on May 24, 2024. 93</w:t>
      </w:r>
    </w:p>
    <w:p>
      <w:pPr>
        <w:sectPr>
          <w:pgSz w:w="11900" w:h="16838" w:orient="portrait"/>
          <w:cols w:equalWidth="0" w:num="1">
            <w:col w:w="11240"/>
          </w:cols>
          <w:pgMar w:left="320" w:top="290" w:right="339" w:bottom="1440" w:gutter="0" w:footer="0" w:header="0"/>
          <w:type w:val="continuous"/>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(n)(1)</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1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We consent to the incorporation by reference in this Pre-Effective Amendment No. 2 to the Registration Statement (No. 333-279726) on Form N-2 and related Prospectus of PennantPark Floating Rate Capital Ltd. (the Company) of our reports dated December 7, 2023, relating to the consolidated financial statements and the effectiveness of internal control over financial reporting (on which our report expresses an adverse opinion on the effectiveness of the Company’s internal control over financial reporting because of material weaknesses) of PennantPark Floating Rate Capital Ltd. and Subsidiaries, appearing in the Annual Report on Form 10-K of the Company for the year ended September 30, 2023. We also consent to the incorporation by reference in such Registration Statement of our report dated December 7, 2023, relating to the senior securities table appearing in the Annual Report on Form 10-K of PennantPark Floating Rate Capital Ltd. for the year ended September 30, 2023.</w:t>
      </w:r>
    </w:p>
    <w:p>
      <w:pPr>
        <w:spacing w:after="0" w:line="187"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color w:val="auto"/>
        </w:rPr>
        <w:t>We also consent to the reference to our firm under the headings “Senior Securities” and “Independent Registered Public Accounting Firm” in this Registration Statement.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15, 2024</w:t>
      </w:r>
    </w:p>
    <w:p>
      <w:pPr>
        <w:sectPr>
          <w:pgSz w:w="11900" w:h="16838" w:orient="portrait"/>
          <w:cols w:equalWidth="0" w:num="1">
            <w:col w:w="11240"/>
          </w:cols>
          <w:pgMar w:left="320" w:top="119"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(n)(2)</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Auditor</w:t>
      </w:r>
    </w:p>
    <w:p>
      <w:pPr>
        <w:spacing w:after="0" w:line="216"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We consent to the incorporation by reference in this Pre-Effective Amendment No. 2 to the Registration Statement (No. 333-279726) on Form N-2 of PennantPark Floating Rate Capital Ltd. of our reports dated December 7, 2023 and November 17, 2022, relating to the consolidated financial statements of PennantPark Senior Secured Loan Fund I LLC, appearing in Exhibits 99.3 and 99.4 in the Annual Report on Form 10-K of PennantPark Floating Rate Capital Ltd. for the year ended September 30,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our firm under the heading “Independent Auditor” in this Registration Statement.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15, 2024</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sectPr>
      <w:pgSz w:w="11900" w:h="16838" w:orient="portrait"/>
      <w:cols w:equalWidth="0" w:num="1">
        <w:col w:w="11240"/>
      </w:cols>
      <w:pgMar w:left="320" w:top="1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1)"/>
      <w:numFmt w:val="decimal"/>
      <w:start w:val="1"/>
    </w:lvl>
  </w:abstractNum>
  <w:abstractNum w:abstractNumId="2">
    <w:nsid w:val="6CEAF087"/>
    <w:multiLevelType w:val="hybridMultilevel"/>
    <w:lvl w:ilvl="0">
      <w:lvlJc w:val="left"/>
      <w:lvlText w:val="(%1)"/>
      <w:numFmt w:val="decimal"/>
      <w:start w:val="7"/>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1)"/>
      <w:numFmt w:val="decimal"/>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1)"/>
      <w:numFmt w:val="decimal"/>
      <w:start w:val="1"/>
    </w:lvl>
  </w:abstractNum>
  <w:abstractNum w:abstractNumId="8">
    <w:nsid w:val="5577F8E1"/>
    <w:multiLevelType w:val="hybridMultilevel"/>
    <w:lvl w:ilvl="0">
      <w:lvlJc w:val="left"/>
      <w:lvlText w:val="(%1)"/>
      <w:numFmt w:val="decimal"/>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1)"/>
      <w:numFmt w:val="decimal"/>
      <w:start w:val="1"/>
    </w:lvl>
  </w:abstractNum>
  <w:abstractNum w:abstractNumId="12">
    <w:nsid w:val="77465F01"/>
    <w:multiLevelType w:val="hybridMultilevel"/>
    <w:lvl w:ilvl="0">
      <w:lvlJc w:val="left"/>
      <w:lvlText w:val="(%1)"/>
      <w:numFmt w:val="decimal"/>
      <w:start w:val="2"/>
    </w:lvl>
  </w:abstractNum>
  <w:abstractNum w:abstractNumId="13">
    <w:nsid w:val="7724C67E"/>
    <w:multiLevelType w:val="hybridMultilevel"/>
    <w:lvl w:ilvl="0">
      <w:lvlJc w:val="left"/>
      <w:lvlText w:val="(%1)"/>
      <w:numFmt w:val="decimal"/>
      <w:start w:val="1"/>
    </w:lvl>
  </w:abstractNum>
  <w:abstractNum w:abstractNumId="14">
    <w:nsid w:val="5C482A97"/>
    <w:multiLevelType w:val="hybridMultilevel"/>
    <w:lvl w:ilvl="0">
      <w:lvlJc w:val="left"/>
      <w:lvlText w:val="(%1)"/>
      <w:numFmt w:val="decimal"/>
      <w:start w:val="1"/>
    </w:lvl>
  </w:abstractNum>
  <w:abstractNum w:abstractNumId="15">
    <w:nsid w:val="2463B9EA"/>
    <w:multiLevelType w:val="hybridMultilevel"/>
    <w:lvl w:ilvl="0">
      <w:lvlJc w:val="left"/>
      <w:lvlText w:val="(%1)"/>
      <w:numFmt w:val="decimal"/>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1)"/>
      <w:numFmt w:val="decimal"/>
      <w:start w:val="3"/>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1)"/>
      <w:numFmt w:val="lowerLetter"/>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
      <w:numFmt w:val="bullet"/>
      <w:start w:val="1"/>
    </w:lvl>
    <w:lvl w:ilvl="1">
      <w:lvlJc w:val="left"/>
      <w:lvlText w:val="%2)"/>
      <w:numFmt w:val="decimal"/>
      <w:start w:val="1"/>
    </w:lvl>
  </w:abstractNum>
  <w:abstractNum w:abstractNumId="48">
    <w:nsid w:val="23F9C13C"/>
    <w:multiLevelType w:val="hybridMultilevel"/>
    <w:lvl w:ilvl="0">
      <w:lvlJc w:val="left"/>
      <w:lvlText w:val="(%1)"/>
      <w:numFmt w:val="lowerLetter"/>
      <w:start w:val="7"/>
    </w:lvl>
  </w:abstractNum>
  <w:abstractNum w:abstractNumId="49">
    <w:nsid w:val="649BB77C"/>
    <w:multiLevelType w:val="hybridMultilevel"/>
    <w:lvl w:ilvl="0">
      <w:lvlJc w:val="left"/>
      <w:lvlText w:val="(%1)"/>
      <w:numFmt w:val="decimal"/>
      <w:start w:val="2"/>
    </w:lvl>
  </w:abstractNum>
  <w:abstractNum w:abstractNumId="50">
    <w:nsid w:val="275AC794"/>
    <w:multiLevelType w:val="hybridMultilevel"/>
    <w:lvl w:ilvl="0">
      <w:lvlJc w:val="left"/>
      <w:lvlText w:val="•"/>
      <w:numFmt w:val="bullet"/>
      <w:start w:val="1"/>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1)"/>
      <w:numFmt w:val="lowerLetter"/>
      <w:start w:val="1"/>
    </w:lvl>
  </w:abstractNum>
  <w:abstractNum w:abstractNumId="53">
    <w:nsid w:val="180115BE"/>
    <w:multiLevelType w:val="hybridMultilevel"/>
    <w:lvl w:ilvl="0">
      <w:lvlJc w:val="left"/>
      <w:lvlText w:val="(%1)"/>
      <w:numFmt w:val="lowerLetter"/>
      <w:start w:val="7"/>
    </w:lvl>
  </w:abstractNum>
  <w:abstractNum w:abstractNumId="54">
    <w:nsid w:val="235BA861"/>
    <w:multiLevelType w:val="hybridMultilevel"/>
    <w:lvl w:ilvl="0">
      <w:lvlJc w:val="left"/>
      <w:lvlText w:val="(%1)"/>
      <w:numFmt w:val="lowerLetter"/>
      <w:start w:val="10"/>
    </w:lvl>
  </w:abstractNum>
  <w:abstractNum w:abstractNumId="55">
    <w:nsid w:val="47398C89"/>
    <w:multiLevelType w:val="hybridMultilevel"/>
    <w:lvl w:ilvl="0">
      <w:lvlJc w:val="left"/>
      <w:lvlText w:val="*"/>
      <w:numFmt w:val="bullet"/>
      <w:start w:val="1"/>
    </w:lvl>
  </w:abstractNum>
  <w:abstractNum w:abstractNumId="56">
    <w:nsid w:val="354FE9F9"/>
    <w:multiLevelType w:val="hybridMultilevel"/>
    <w:lvl w:ilvl="0">
      <w:lvlJc w:val="left"/>
      <w:lvlText w:val="(%1)"/>
      <w:numFmt w:val="decimal"/>
      <w:start w:val="1"/>
    </w:lvl>
  </w:abstractNum>
  <w:abstractNum w:abstractNumId="57">
    <w:nsid w:val="15B5AF5C"/>
    <w:multiLevelType w:val="hybridMultilevel"/>
    <w:lvl w:ilvl="0">
      <w:lvlJc w:val="left"/>
      <w:lvlText w:val="(%1)"/>
      <w:numFmt w:val="decimal"/>
      <w:start w:val="1"/>
    </w:lvl>
  </w:abstractNum>
  <w:abstractNum w:abstractNumId="58">
    <w:nsid w:val="741226BB"/>
    <w:multiLevelType w:val="hybridMultilevel"/>
    <w:lvl w:ilvl="0">
      <w:lvlJc w:val="left"/>
      <w:lvlText w:val="%1."/>
      <w:numFmt w:val="decimal"/>
      <w:start w:val="1"/>
    </w:lvl>
  </w:abstractNum>
  <w:abstractNum w:abstractNumId="59">
    <w:nsid w:val="D34B6A8"/>
    <w:multiLevelType w:val="hybridMultilevel"/>
    <w:lvl w:ilvl="0">
      <w:lvlJc w:val="left"/>
      <w:lvlText w:val="%1."/>
      <w:numFmt w:val="decimal"/>
      <w:start w:val="7"/>
    </w:lvl>
  </w:abstractNum>
  <w:abstractNum w:abstractNumId="60">
    <w:nsid w:val="10233C9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2"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7"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png"/><Relationship Id="rId98"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png"/><Relationship Id="rId103" Type="http://schemas.openxmlformats.org/officeDocument/2006/relationships/image" Target="media/image89.png"/><Relationship Id="rId104" Type="http://schemas.openxmlformats.org/officeDocument/2006/relationships/image" Target="media/image90.png"/><Relationship Id="rId105" Type="http://schemas.openxmlformats.org/officeDocument/2006/relationships/image" Target="media/image91.png"/><Relationship Id="rId106" Type="http://schemas.openxmlformats.org/officeDocument/2006/relationships/image" Target="media/image92.png"/><Relationship Id="rId107" Type="http://schemas.openxmlformats.org/officeDocument/2006/relationships/image" Target="media/image93.png"/><Relationship Id="rId108" Type="http://schemas.openxmlformats.org/officeDocument/2006/relationships/image" Target="media/image94.png"/><Relationship Id="rId109" Type="http://schemas.openxmlformats.org/officeDocument/2006/relationships/image" Target="media/image95.png"/><Relationship Id="rId110" Type="http://schemas.openxmlformats.org/officeDocument/2006/relationships/image" Target="media/image96.png"/><Relationship Id="rId111" Type="http://schemas.openxmlformats.org/officeDocument/2006/relationships/image" Target="media/image97.png"/><Relationship Id="rId112" Type="http://schemas.openxmlformats.org/officeDocument/2006/relationships/image" Target="media/image98.png"/><Relationship Id="rId113" Type="http://schemas.openxmlformats.org/officeDocument/2006/relationships/image" Target="media/image99.png"/><Relationship Id="rId114" Type="http://schemas.openxmlformats.org/officeDocument/2006/relationships/image" Target="media/image100.png"/><Relationship Id="rId115" Type="http://schemas.openxmlformats.org/officeDocument/2006/relationships/image" Target="media/image101.png"/><Relationship Id="rId116" Type="http://schemas.openxmlformats.org/officeDocument/2006/relationships/image" Target="media/image102.png"/><Relationship Id="rId117" Type="http://schemas.openxmlformats.org/officeDocument/2006/relationships/image" Target="media/image103.png"/><Relationship Id="rId118" Type="http://schemas.openxmlformats.org/officeDocument/2006/relationships/image" Target="media/image104.png"/><Relationship Id="rId119" Type="http://schemas.openxmlformats.org/officeDocument/2006/relationships/image" Target="media/image105.png"/><Relationship Id="rId120" Type="http://schemas.openxmlformats.org/officeDocument/2006/relationships/image" Target="media/image106.png"/><Relationship Id="rId126" Type="http://schemas.openxmlformats.org/officeDocument/2006/relationships/image" Target="media/image107.png"/><Relationship Id="rId127" Type="http://schemas.openxmlformats.org/officeDocument/2006/relationships/image" Target="media/image108.png"/><Relationship Id="rId140" Type="http://schemas.openxmlformats.org/officeDocument/2006/relationships/image" Target="media/image109.png"/><Relationship Id="rId153" Type="http://schemas.openxmlformats.org/officeDocument/2006/relationships/image" Target="media/image110.png"/><Relationship Id="rId164" Type="http://schemas.openxmlformats.org/officeDocument/2006/relationships/image" Target="media/image111.png"/><Relationship Id="rId179" Type="http://schemas.openxmlformats.org/officeDocument/2006/relationships/image" Target="media/image112.png"/><Relationship Id="rId180" Type="http://schemas.openxmlformats.org/officeDocument/2006/relationships/image" Target="media/image113.png"/><Relationship Id="rId181" Type="http://schemas.openxmlformats.org/officeDocument/2006/relationships/image" Target="media/image114.png"/><Relationship Id="rId182" Type="http://schemas.openxmlformats.org/officeDocument/2006/relationships/image" Target="media/image115.png"/><Relationship Id="rId183" Type="http://schemas.openxmlformats.org/officeDocument/2006/relationships/image" Target="media/image116.png"/><Relationship Id="rId184" Type="http://schemas.openxmlformats.org/officeDocument/2006/relationships/image" Target="media/image117.png"/><Relationship Id="rId185" Type="http://schemas.openxmlformats.org/officeDocument/2006/relationships/image" Target="media/image118.png"/><Relationship Id="rId186" Type="http://schemas.openxmlformats.org/officeDocument/2006/relationships/image" Target="media/image119.png"/><Relationship Id="rId187" Type="http://schemas.openxmlformats.org/officeDocument/2006/relationships/image" Target="media/image120.png"/><Relationship Id="rId188" Type="http://schemas.openxmlformats.org/officeDocument/2006/relationships/image" Target="media/image121.png"/><Relationship Id="rId189" Type="http://schemas.openxmlformats.org/officeDocument/2006/relationships/image" Target="media/image122.png"/><Relationship Id="rId190" Type="http://schemas.openxmlformats.org/officeDocument/2006/relationships/image" Target="media/image123.png"/><Relationship Id="rId191" Type="http://schemas.openxmlformats.org/officeDocument/2006/relationships/image" Target="media/image124.png"/><Relationship Id="rId192" Type="http://schemas.openxmlformats.org/officeDocument/2006/relationships/image" Target="media/image125.png"/><Relationship Id="rId27" Type="http://schemas.openxmlformats.org/officeDocument/2006/relationships/hyperlink" Target="http://www.sec.gov/ix?doc=/Archives/edgar/data/1504619/000095017023068908/pflt-20230930.htm" TargetMode="External"/><Relationship Id="rId30" Type="http://schemas.openxmlformats.org/officeDocument/2006/relationships/hyperlink" Target="http://www.sec.gov/Archives/edgar/data/1504619/000095017023068908/pflt-20230930.htm" TargetMode="External"/><Relationship Id="rId31" Type="http://schemas.openxmlformats.org/officeDocument/2006/relationships/hyperlink" Target="http://www.sec.gov/Archives/edgar/data/1504619/000095017024055631/pflt-20240331.htm" TargetMode="External"/><Relationship Id="rId33" Type="http://schemas.openxmlformats.org/officeDocument/2006/relationships/hyperlink" Target="http://www.sec.gov/ix?doc=/Archives/edgar/data/1504619/000095017023068908/pflt-20230930.htm#item_1_business" TargetMode="External"/><Relationship Id="rId36" Type="http://schemas.openxmlformats.org/officeDocument/2006/relationships/hyperlink" Target="http://www.sec.gov/ix?doc=/Archives/edgar/data/1504619/000095017023068908/pflt-20230930.htm#item_5_market_for_registrants_common_equ" TargetMode="External"/><Relationship Id="rId38" Type="http://schemas.openxmlformats.org/officeDocument/2006/relationships/hyperlink" Target="http://www.sec.gov/ix?doc=/Archives/edgar/data/1504619/000095017024055631/pflt-20240331.htm" TargetMode="External"/><Relationship Id="rId70" Type="http://schemas.openxmlformats.org/officeDocument/2006/relationships/hyperlink" Target="http://www.sec.gov/Archives/edgar/data/1504619/000095017023070038/pflt-2024-def_14a.htm" TargetMode="External"/><Relationship Id="rId121" Type="http://schemas.openxmlformats.org/officeDocument/2006/relationships/hyperlink" Target="http://www.sec.gov/ix?doc=/Archives/edgar/data/1504619/000095017024012187/pflt-20231231.htm" TargetMode="External"/><Relationship Id="rId122" Type="http://schemas.openxmlformats.org/officeDocument/2006/relationships/hyperlink" Target="http://www.sec.gov/ix?doc=/Archives/edgar/data/1504619/000095017024045307/pflt-20240416.htm" TargetMode="External"/><Relationship Id="rId123" Type="http://schemas.openxmlformats.org/officeDocument/2006/relationships/hyperlink" Target="http://www.sec.gov/ix?doc=/Archives/edgar/data/1504619/000117184324002668/f8k_050824.htm" TargetMode="External"/><Relationship Id="rId124" Type="http://schemas.openxmlformats.org/officeDocument/2006/relationships/hyperlink" Target="http://www.sec.gov/Archives/edgar/data/1504619/000156459019043972/pflt-ex44_124.htm" TargetMode="External"/><Relationship Id="rId125" Type="http://schemas.openxmlformats.org/officeDocument/2006/relationships/hyperlink" Target="http://www.sec.gov/Archives/edgar/data/1504619/000119312511090965/d8a12b.htm" TargetMode="External"/><Relationship Id="rId128" Type="http://schemas.openxmlformats.org/officeDocument/2006/relationships/hyperlink" Target="http://www.sec.gov/Archives/edgar/data/1504619/000119312511080862/dex99a.htm" TargetMode="External"/><Relationship Id="rId129" Type="http://schemas.openxmlformats.org/officeDocument/2006/relationships/hyperlink" Target="http://www.sec.gov/Archives/edgar/data/1504619/000156459020024167/pflt-ex32_144.htm" TargetMode="External"/><Relationship Id="rId130" Type="http://schemas.openxmlformats.org/officeDocument/2006/relationships/hyperlink" Target="http://www.sec.gov/Archives/edgar/data/1504619/000119312511088977/dex99d.htm" TargetMode="External"/><Relationship Id="rId131" Type="http://schemas.openxmlformats.org/officeDocument/2006/relationships/hyperlink" Target="http://www.sec.gov/Archives/edgar/data/1504619/000119312512114062/d313491dex99d2.htm" TargetMode="External"/><Relationship Id="rId132" Type="http://schemas.openxmlformats.org/officeDocument/2006/relationships/hyperlink" Target="http://www.sec.gov/Archives/edgar/data/1504619/000119312512114062/d313491dex99d3.htm" TargetMode="External"/><Relationship Id="rId133" Type="http://schemas.openxmlformats.org/officeDocument/2006/relationships/hyperlink" Target="http://www.sec.gov/Archives/edgar/data/1504619/000119312512114062/d313491dex99d4.htm" TargetMode="External"/><Relationship Id="rId134" Type="http://schemas.openxmlformats.org/officeDocument/2006/relationships/hyperlink" Target="http://www.sec.gov/Archives/edgar/data/1504619/000119312512114062/d313491dex99d5.htm" TargetMode="External"/><Relationship Id="rId135" Type="http://schemas.openxmlformats.org/officeDocument/2006/relationships/hyperlink" Target="http://www.sec.gov/Archives/edgar/data/1504619/000119312524147057/d836080dex99d6.htm" TargetMode="External"/><Relationship Id="rId136" Type="http://schemas.openxmlformats.org/officeDocument/2006/relationships/hyperlink" Target="http://www.sec.gov/Archives/edgar/data/1504619/000119312512114062/d313491dex99d7.htm" TargetMode="External"/><Relationship Id="rId137" Type="http://schemas.openxmlformats.org/officeDocument/2006/relationships/hyperlink" Target="http://www.sec.gov/Archives/edgar/data/1504619/000119312519250688/d808045dex992.htm" TargetMode="External"/><Relationship Id="rId138" Type="http://schemas.openxmlformats.org/officeDocument/2006/relationships/hyperlink" Target="http://www.sec.gov/Archives/edgar/data/1504619/000119312521091350/d156339dex41.htm" TargetMode="External"/><Relationship Id="rId139" Type="http://schemas.openxmlformats.org/officeDocument/2006/relationships/hyperlink" Target="http://www.sec.gov/Archives/edgar/data/1504619/000119312521091350/d156339dex42.htm" TargetMode="External"/><Relationship Id="rId141" Type="http://schemas.openxmlformats.org/officeDocument/2006/relationships/hyperlink" Target="http://www.sec.gov/Archives/edgar/data/1504619/000119312524165671/d836080dex99g.htm" TargetMode="External"/><Relationship Id="rId142" Type="http://schemas.openxmlformats.org/officeDocument/2006/relationships/hyperlink" Target="http://www.sec.gov/Archives/edgar/data/1504619/000119312512114062/d313491dex99h1.htm" TargetMode="External"/><Relationship Id="rId143" Type="http://schemas.openxmlformats.org/officeDocument/2006/relationships/hyperlink" Target="http://www.sec.gov/Archives/edgar/data/1504619/000119312512114062/d313491dex99h2.htm" TargetMode="External"/><Relationship Id="rId144" Type="http://schemas.openxmlformats.org/officeDocument/2006/relationships/hyperlink" Target="http://www.sec.gov/Archives/edgar/data/1504619/000119312523210695/d511427dex11.htm" TargetMode="External"/><Relationship Id="rId145" Type="http://schemas.openxmlformats.org/officeDocument/2006/relationships/hyperlink" Target="http://www.sec.gov/Archives/edgar/data/1504619/000119312523210695/d511427dex12.htm" TargetMode="External"/><Relationship Id="rId146" Type="http://schemas.openxmlformats.org/officeDocument/2006/relationships/hyperlink" Target="http://www.sec.gov/Archives/edgar/data/1504619/000119312523210695/d511427dex13.htm" TargetMode="External"/><Relationship Id="rId147" Type="http://schemas.openxmlformats.org/officeDocument/2006/relationships/hyperlink" Target="http://www.sec.gov/Archives/edgar/data/1504619/000119312524165671/d836080dex99j.htm" TargetMode="External"/><Relationship Id="rId148" Type="http://schemas.openxmlformats.org/officeDocument/2006/relationships/hyperlink" Target="http://www.sec.gov/Archives/edgar/data/1504619/000119312524165671/d836080dex99k1.htm" TargetMode="External"/><Relationship Id="rId149" Type="http://schemas.openxmlformats.org/officeDocument/2006/relationships/hyperlink" Target="http://www.sec.gov/Archives/edgar/data/1504619/000119312524165671/d836080dex99k2.htm" TargetMode="External"/><Relationship Id="rId150" Type="http://schemas.openxmlformats.org/officeDocument/2006/relationships/hyperlink" Target="http://www.sec.gov/Archives/edgar/data/1504619/000119312524165671/d836080dex99k3.htm" TargetMode="External"/><Relationship Id="rId151" Type="http://schemas.openxmlformats.org/officeDocument/2006/relationships/hyperlink" Target="http://www.sec.gov/Archives/edgar/data/1504619/000119312521250566/d198449dex101.htm" TargetMode="External"/><Relationship Id="rId152" Type="http://schemas.openxmlformats.org/officeDocument/2006/relationships/hyperlink" Target="http://www.sec.gov/Archives/edgar/data/1504619/000119312521250566/d198449dex102.htm" TargetMode="External"/><Relationship Id="rId154" Type="http://schemas.openxmlformats.org/officeDocument/2006/relationships/hyperlink" Target="http://www.sec.gov/Archives/edgar/data/1504619/000156459017016504/pflt-ex101_78.htm" TargetMode="External"/><Relationship Id="rId155" Type="http://schemas.openxmlformats.org/officeDocument/2006/relationships/hyperlink" Target="http://www.sec.gov/Archives/edgar/data/1504619/000119312516775064/d290892dex106.htm" TargetMode="External"/><Relationship Id="rId156" Type="http://schemas.openxmlformats.org/officeDocument/2006/relationships/hyperlink" Target="http://www.sec.gov/Archives/edgar/data/1504619/000119312519250688/d808045dex993.htm" TargetMode="External"/><Relationship Id="rId157" Type="http://schemas.openxmlformats.org/officeDocument/2006/relationships/hyperlink" Target="http://www.sec.gov/Archives/edgar/data/1504619/000119312519250688/d808045dex994.htm" TargetMode="External"/><Relationship Id="rId158" Type="http://schemas.openxmlformats.org/officeDocument/2006/relationships/hyperlink" Target="http://www.sec.gov/Archives/edgar/data/1504619/000119312519250688/d808045dex995.htm" TargetMode="External"/><Relationship Id="rId159" Type="http://schemas.openxmlformats.org/officeDocument/2006/relationships/hyperlink" Target="http://www.sec.gov/Archives/edgar/data/1504619/000119312519250688/d808045dex996.htm" TargetMode="External"/><Relationship Id="rId160" Type="http://schemas.openxmlformats.org/officeDocument/2006/relationships/hyperlink" Target="http://www.sec.gov/Archives/edgar/data/1504619/000095017022016832/pflt-ex1_1.htm" TargetMode="External"/><Relationship Id="rId161" Type="http://schemas.openxmlformats.org/officeDocument/2006/relationships/hyperlink" Target="http://www.sec.gov/Archives/edgar/data/1504619/000095017022018730/pflt-ex10_1.htm" TargetMode="External"/><Relationship Id="rId162" Type="http://schemas.openxmlformats.org/officeDocument/2006/relationships/hyperlink" Target="http://www.sec.gov/Archives/edgar/data/1504619/000119312523016239/d451102dex11.htm" TargetMode="External"/><Relationship Id="rId163" Type="http://schemas.openxmlformats.org/officeDocument/2006/relationships/hyperlink" Target="http://www.sec.gov/Archives/edgar/data/1504619/000119312524047922/d620677dex101.htm" TargetMode="External"/><Relationship Id="rId165" Type="http://schemas.openxmlformats.org/officeDocument/2006/relationships/hyperlink" Target="http://www.sec.gov/Archives/edgar/data/1504619/000119312524047922/d620677dex102.htm" TargetMode="External"/><Relationship Id="rId166" Type="http://schemas.openxmlformats.org/officeDocument/2006/relationships/hyperlink" Target="http://www.sec.gov/Archives/edgar/data/1504619/000119312524047922/d620677dex103.htm" TargetMode="External"/><Relationship Id="rId167" Type="http://schemas.openxmlformats.org/officeDocument/2006/relationships/hyperlink" Target="http://www.sec.gov/Archives/edgar/data/1504619/000119312524047922/d620677dex104.htm" TargetMode="External"/><Relationship Id="rId168" Type="http://schemas.openxmlformats.org/officeDocument/2006/relationships/hyperlink" Target="http://www.sec.gov/Archives/edgar/data/1504619/000119312524147057/d836080dex99l1.htm" TargetMode="External"/><Relationship Id="rId169" Type="http://schemas.openxmlformats.org/officeDocument/2006/relationships/hyperlink" Target="http://www.sec.gov/Archives/edgar/data/1504619/000119312524147057/d836080dex99l2.htm" TargetMode="External"/><Relationship Id="rId170" Type="http://schemas.openxmlformats.org/officeDocument/2006/relationships/hyperlink" Target="http://www.sec.gov/Archives/edgar/data/1504619/000095017023068908/pflt-ex99_2.htm" TargetMode="External"/><Relationship Id="rId171" Type="http://schemas.openxmlformats.org/officeDocument/2006/relationships/hyperlink" Target="http://www.sec.gov/Archives/edgar/data/1504619/000119312524165671/d836080dex99n4.htm" TargetMode="External"/><Relationship Id="rId172" Type="http://schemas.openxmlformats.org/officeDocument/2006/relationships/hyperlink" Target="http://www.sec.gov/Archives/edgar/data/1504619/000095017023068908/pflt-ex14_1.htm" TargetMode="External"/><Relationship Id="rId173" Type="http://schemas.openxmlformats.org/officeDocument/2006/relationships/hyperlink" Target="http://www.sec.gov/Archives/edgar/data/1504619/000119312512114062/d313491dex99s1.htm" TargetMode="External"/><Relationship Id="rId174" Type="http://schemas.openxmlformats.org/officeDocument/2006/relationships/hyperlink" Target="http://www.sec.gov/Archives/edgar/data/1504619/000119312512114062/d313491dex99s2.htm" TargetMode="External"/><Relationship Id="rId175" Type="http://schemas.openxmlformats.org/officeDocument/2006/relationships/hyperlink" Target="http://www.sec.gov/Archives/edgar/data/1504619/000119312512114062/d313491dex99s3.htm" TargetMode="External"/><Relationship Id="rId176" Type="http://schemas.openxmlformats.org/officeDocument/2006/relationships/hyperlink" Target="http://www.sec.gov/Archives/edgar/data/1504619/000119312512114062/d313491dex99s4.htm" TargetMode="External"/><Relationship Id="rId177" Type="http://schemas.openxmlformats.org/officeDocument/2006/relationships/hyperlink" Target="http://www.sec.gov/Archives/edgar/data/1504619/000119312512114062/d313491dex99s5.htm" TargetMode="External"/><Relationship Id="rId178" Type="http://schemas.openxmlformats.org/officeDocument/2006/relationships/hyperlink" Target="http://www.sec.gov/Archives/edgar/data/1504619/000119312524147057/d836080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2024-07-15T16:17:56Z</dcterms:created>
  <dcterms:modified xsi:type="dcterms:W3CDTF">2024-07-15T16:17:56Z</dcterms:modified>
</cp:coreProperties>
</file>