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 No. 812-15957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182880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225425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the Matter of the Application of:</w:t>
      </w:r>
    </w:p>
    <w:p>
      <w:pPr>
        <w:spacing w:after="0" w:line="225" w:lineRule="exact"/>
        <w:rPr>
          <w:sz w:val="24"/>
          <w:szCs w:val="24"/>
          <w:color w:val="auto"/>
        </w:rPr>
      </w:pPr>
    </w:p>
    <w:p>
      <w:pPr>
        <w:jc w:val="center"/>
        <w:ind w:right="40"/>
        <w:spacing w:after="0" w:line="269" w:lineRule="auto"/>
        <w:rPr>
          <w:sz w:val="20"/>
          <w:szCs w:val="20"/>
          <w:color w:val="auto"/>
        </w:rPr>
      </w:pPr>
      <w:r>
        <w:rPr>
          <w:rFonts w:ascii="Times New Roman" w:cs="Times New Roman" w:eastAsia="Times New Roman" w:hAnsi="Times New Roman"/>
          <w:sz w:val="17"/>
          <w:szCs w:val="17"/>
          <w:b w:val="1"/>
          <w:bCs w:val="1"/>
          <w:color w:val="auto"/>
        </w:rPr>
        <w:t>PENNANTPARK INVESTMENT ADVISERS, LLC, PENNANTPARK PRIVATE INCOME FUND ADVISERS LLC, PENNANTPARK INVESTMENT CORPORATION, PENNANTPARK FLOATING RATE CAPITAL LTD., PENNANTPARK ENHANCED INCOME FUND, PENNANTPARK PRIVATE INCOME FUND, PNNT INVESTMENT HOLDINGS, LLC, PNNT INVESTMENT HOLDINGS II, LLC PFLT INVESTMENT HOLDINGS, LLC, PFLT INVESTMENT HOLDINGS II, LLC PENNANTPARK FLOATING RATE FUNDING I, LLC, PENNANTPARK FLOATING RATE FUNDING II, LLC, PENNANTPARK CLO I, LTD., PENNANTPARK CLO II, LTD., PENNANTPARK CLO VIII, LLC, PENNANTPARK CLO 11, LLC, PENNANTPARK CAPITAL LIQUIDITY SOLUTIONS, LP, PENNANTPARK CREDIT OPPORTUNITIES FUND II, LP, PENNANTPARK CREDIT OPPORTUNITIES FUND III, LP, PENNANTPARK CREDIT OPPORTUNITIES FUND IV AGGREGATOR, LP, PENNANTPARK SENIOR CREDIT FUND, LLC, PENNANTPARK SENIOR CREDIT FUND LEVERED, LP, PENNANTPARK SENIOR CREDIT FUND II AGGREGATOR, LP, LEVERED SERIES, PENNANTPARK SENIOR CREDIT FUND II AGGREGATOR, LP, UNLEVERED SERIES, PENNANTPARK SENIOR CREDIT FUND II LUXEMBOURG UNLEVERED MASTER FUND SCSP SICAV-RAIF, BERKELEY ROAD WC FUNDING SPV 2, LP, SP CREDIT ACQUISITIONS LLC, PENNANTPARK SENIOR CREDIT FUND SMA, LP, TPDS I PLATINUM HOLDINGS LP, PENNANTPARK SENIOR LOAN FUND, LLC, PENNANTPARK SENIOR SECURED LOAN FUND I LLC, AND PENNANTPARK SENIOR SECURED LOAN FUND II LLC</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1691 Michigan Avenue, Suite 500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Miami Beach, FL 33139</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AMENDED AND RESTATED 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212090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All Communications, Notices and Orders to:</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1691 Michigan Avenue, Suite 500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Miami Beach, FL 33139</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Thomas J. Friedman, Esq.</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Paul S. Stevens, Esq.</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One International Place,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40th Floor, 100 Oliver Street,</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Boston, MA, 02110-2605</w:t>
      </w:r>
    </w:p>
    <w:p>
      <w:pPr>
        <w:spacing w:after="0" w:line="9" w:lineRule="exact"/>
        <w:rPr>
          <w:sz w:val="24"/>
          <w:szCs w:val="24"/>
          <w:color w:val="auto"/>
        </w:rPr>
      </w:pPr>
    </w:p>
    <w:p>
      <w:pPr>
        <w:ind w:left="5340" w:hanging="438"/>
        <w:spacing w:after="0"/>
        <w:tabs>
          <w:tab w:leader="none" w:pos="5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728-7120</w:t>
      </w:r>
    </w:p>
    <w:p>
      <w:pPr>
        <w:spacing w:after="0" w:line="200" w:lineRule="exact"/>
        <w:rPr>
          <w:rFonts w:ascii="Times New Roman" w:cs="Times New Roman" w:eastAsia="Times New Roman" w:hAnsi="Times New Roman"/>
          <w:sz w:val="18"/>
          <w:szCs w:val="18"/>
          <w:b w:val="1"/>
          <w:bCs w:val="1"/>
          <w:color w:val="auto"/>
        </w:rPr>
      </w:pPr>
    </w:p>
    <w:p>
      <w:pPr>
        <w:spacing w:after="0" w:line="367" w:lineRule="exact"/>
        <w:rPr>
          <w:rFonts w:ascii="Times New Roman" w:cs="Times New Roman" w:eastAsia="Times New Roman" w:hAnsi="Times New Roman"/>
          <w:sz w:val="18"/>
          <w:szCs w:val="18"/>
          <w:b w:val="1"/>
          <w:bCs w:val="1"/>
          <w:color w:val="auto"/>
        </w:rPr>
      </w:pPr>
    </w:p>
    <w:p>
      <w:pPr>
        <w:ind w:left="5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-262255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165735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208280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80" w:top="225" w:right="4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OF AMERICA</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266" w:right="5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MATTER OF</w:t>
      </w:r>
    </w:p>
    <w:p>
      <w:pPr>
        <w:spacing w:after="0" w:line="25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color w:val="auto"/>
        </w:rPr>
        <w:t>PENNANTPARK INVESTMENT ADVISERS, LLC, PENNANTPARK PRIVATE INCOME FUND ADVISERS LLC, PENNANTPARK INVESTMENT CORPORATION, PENNANTPARK FLOATING RATE CAPITAL LTD., PENNANTPARK ENHANCED INCOME FUND, PENNANTPARK PRIVATE INCOME FUND, PNNT INVESTMENT HOLDINGS, LLC, PNNT INVESTMENT HOLDINGS II, LLC PFLT INVESTMENT HOLDINGS, LLC, PFLT INVESTMENT HOLDINGS II, LLC PENNANTPARK FLOATING RATE FUNDING I, LLC, PENNANTPARK FLOATING RATE FUNDING II, LLC, PENNANTPARK CLO I, LTD., PENNANTPARK CLO II, LTD., PENNANTPARK CLO VIII, LLC, PENNANTPARK CLO 11, LLC, PENNANTPARK CAPITAL LIQUIDITY SOLUTIONS, LP, PENNANTPARK CREDIT OPPORTUNITIES FUND II, LP, PENNANTPARK CREDIT OPPORTUNITIES FUND III, LP, PENNANTPARK CREDIT OPPORTUNITIES FUND IV AGGREGATOR, LP, PENNANTPARK SENIOR CREDIT FUND, LLC, PENNANTPARK SENIOR CREDIT FUND LEVERED, LP, PENNANTPARK SENIOR CREDIT FUND II AGGREGATOR, LP, LEVERED SERIES, PENNANTPARK SENIOR CREDIT FUND II AGGREGATOR, LP, UNLEVERED SERIES, PENNANTPARK SENIOR CREDIT FUND II LUXEMBOURG UNLEVERED MASTER FUND SCSP SICAV-RAIF, BERKELEY ROAD WC FUNDING SPV 2, LP, SP CREDIT ACQUISITIONS LLC, PENNANTPARK SENIOR CREDIT FUND SMA, LP, TPDS I PLATINUM HOLDINGS LP, PENNANTPARK SENIOR LOAN FUND, LLC, PENNANTPARK SENIOR SECURED LOAN FUND I LLC, AND PENNANTPARK SENIOR SECURED LOAN FUND II LLC</w:t>
      </w:r>
    </w:p>
    <w:p>
      <w:pPr>
        <w:spacing w:after="0" w:line="200" w:lineRule="exact"/>
        <w:rPr>
          <w:sz w:val="20"/>
          <w:szCs w:val="20"/>
          <w:color w:val="auto"/>
        </w:rPr>
      </w:pPr>
    </w:p>
    <w:p>
      <w:pPr>
        <w:spacing w:after="0" w:line="219" w:lineRule="exact"/>
        <w:rPr>
          <w:sz w:val="20"/>
          <w:szCs w:val="20"/>
          <w:color w:val="auto"/>
        </w:rPr>
      </w:pPr>
    </w:p>
    <w:p>
      <w:pPr>
        <w:ind w:right="2380"/>
        <w:spacing w:after="0" w:line="286" w:lineRule="auto"/>
        <w:rPr>
          <w:sz w:val="20"/>
          <w:szCs w:val="20"/>
          <w:color w:val="auto"/>
        </w:rPr>
      </w:pPr>
      <w:r>
        <w:rPr>
          <w:rFonts w:ascii="Times New Roman" w:cs="Times New Roman" w:eastAsia="Times New Roman" w:hAnsi="Times New Roman"/>
          <w:sz w:val="18"/>
          <w:szCs w:val="18"/>
          <w:b w:val="1"/>
          <w:bCs w:val="1"/>
          <w:color w:val="auto"/>
        </w:rPr>
        <w:t>1691 MICHIGAN AVENUE, SUITE 500 MIAMI BEACH, FL 33139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812-15957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220" w:hanging="215"/>
        <w:spacing w:after="0"/>
        <w:tabs>
          <w:tab w:leader="none" w:pos="2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AMENDED AND RESTATED APPLICATION FOR AN ORDER</w:t>
      </w:r>
    </w:p>
    <w:p>
      <w:pPr>
        <w:spacing w:after="0" w:line="42" w:lineRule="exact"/>
        <w:rPr>
          <w:rFonts w:ascii="Times New Roman" w:cs="Times New Roman" w:eastAsia="Times New Roman" w:hAnsi="Times New Roman"/>
          <w:sz w:val="17"/>
          <w:szCs w:val="17"/>
          <w:b w:val="1"/>
          <w:bCs w:val="1"/>
          <w:color w:val="auto"/>
        </w:rPr>
      </w:pPr>
    </w:p>
    <w:p>
      <w:pPr>
        <w:ind w:left="220" w:hanging="215"/>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PURSUANT TO SECTIONS 17(d) AND 57(i) OF THE</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COMPANY ACT OF 1940 AND RULE 17d-1</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 THE INVESTMENT COMPANY ACT OF 1940</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PERMITTING CERTAIN JOINT TRANSACTIONS</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OTHERWISE PROHIBITED BY SECTIONS 17(d) AND 57(a)(4)</w:t>
      </w:r>
    </w:p>
    <w:p>
      <w:pPr>
        <w:spacing w:after="0" w:line="20" w:lineRule="exact"/>
        <w:rPr>
          <w:rFonts w:ascii="Times New Roman" w:cs="Times New Roman" w:eastAsia="Times New Roman" w:hAnsi="Times New Roman"/>
          <w:sz w:val="17"/>
          <w:szCs w:val="17"/>
          <w:b w:val="1"/>
          <w:bCs w:val="1"/>
          <w:color w:val="auto"/>
        </w:rPr>
      </w:pPr>
    </w:p>
    <w:p>
      <w:pPr>
        <w:ind w:left="220" w:hanging="215"/>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AND RULE 17d-1 UNDER THE INVESTMENT COMPANY</w:t>
      </w:r>
    </w:p>
    <w:p>
      <w:pPr>
        <w:spacing w:after="0" w:line="9" w:lineRule="exact"/>
        <w:rPr>
          <w:rFonts w:ascii="Times New Roman" w:cs="Times New Roman" w:eastAsia="Times New Roman" w:hAnsi="Times New Roman"/>
          <w:sz w:val="18"/>
          <w:szCs w:val="18"/>
          <w:b w:val="1"/>
          <w:bCs w:val="1"/>
          <w:color w:val="auto"/>
        </w:rPr>
      </w:pPr>
    </w:p>
    <w:p>
      <w:pPr>
        <w:ind w:left="220" w:hanging="215"/>
        <w:spacing w:after="0"/>
        <w:tabs>
          <w:tab w:leader="none" w:pos="2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839" w:lineRule="exact"/>
        <w:rPr>
          <w:sz w:val="20"/>
          <w:szCs w:val="20"/>
          <w:color w:val="auto"/>
        </w:rPr>
      </w:pPr>
    </w:p>
    <w:p>
      <w:pPr>
        <w:sectPr>
          <w:pgSz w:w="11900" w:h="16838" w:orient="portrait"/>
          <w:cols w:equalWidth="0" w:num="2">
            <w:col w:w="5480" w:space="140"/>
            <w:col w:w="5300"/>
          </w:cols>
          <w:pgMar w:left="440" w:top="266" w:right="53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20"/>
          </w:cols>
          <w:pgMar w:left="440" w:top="266" w:right="539" w:bottom="1440" w:gutter="0" w:footer="0" w:header="0"/>
          <w:type w:val="continuous"/>
        </w:sectPr>
      </w:pPr>
    </w:p>
    <w:bookmarkStart w:id="2" w:name="page3"/>
    <w:bookmarkEnd w:id="2"/>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SUMMARY OF APPLICATION</w:t>
      </w:r>
    </w:p>
    <w:p>
      <w:pPr>
        <w:spacing w:after="0" w:line="117" w:lineRule="exact"/>
        <w:rPr>
          <w:sz w:val="20"/>
          <w:szCs w:val="20"/>
          <w:color w:val="auto"/>
        </w:rPr>
      </w:pPr>
    </w:p>
    <w:p>
      <w:pPr>
        <w:ind w:left="4" w:right="300"/>
        <w:spacing w:after="0" w:line="217" w:lineRule="auto"/>
        <w:rPr>
          <w:sz w:val="20"/>
          <w:szCs w:val="20"/>
          <w:color w:val="auto"/>
        </w:rPr>
      </w:pPr>
      <w:r>
        <w:rPr>
          <w:rFonts w:ascii="Times New Roman" w:cs="Times New Roman" w:eastAsia="Times New Roman" w:hAnsi="Times New Roman"/>
          <w:sz w:val="18"/>
          <w:szCs w:val="18"/>
          <w:color w:val="auto"/>
        </w:rPr>
        <w:t>The following entities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 57(i)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Rule 17d-1, permitting certain joint transactions otherwise prohibited by Sections 17(d) and 57(a)(4) of the 1940 Act and Rule 17d-1 thereunder. The Order would supersede the exemptive order issued by the Commission on October 28, 2022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that was granted pursuant to Sections 57(a)(4), 57(i) and Rule 17d-1, with the result that no person will continue to rely on the Prior Order if the Order is granted.</w:t>
      </w:r>
    </w:p>
    <w:p>
      <w:pPr>
        <w:spacing w:after="0" w:line="103" w:lineRule="exact"/>
        <w:rPr>
          <w:sz w:val="20"/>
          <w:szCs w:val="20"/>
          <w:color w:val="auto"/>
        </w:rPr>
      </w:pPr>
    </w:p>
    <w:p>
      <w:pPr>
        <w:ind w:left="964" w:right="64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Corporation, a closed-end management investment company that has elected to be regulated as a business development company (“</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under the 1940 Act (“</w:t>
      </w:r>
      <w:r>
        <w:rPr>
          <w:rFonts w:ascii="Times New Roman" w:cs="Times New Roman" w:eastAsia="Times New Roman" w:hAnsi="Times New Roman"/>
          <w:sz w:val="18"/>
          <w:szCs w:val="18"/>
          <w:b w:val="1"/>
          <w:bCs w:val="1"/>
          <w:i w:val="1"/>
          <w:iCs w:val="1"/>
          <w:color w:val="auto"/>
        </w:rPr>
        <w:t>PNNT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right="72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Floating Rate Capital Ltd., a closed-end management investment company that has elected to be regulated as a BDC (“</w:t>
      </w:r>
      <w:r>
        <w:rPr>
          <w:rFonts w:ascii="Times New Roman" w:cs="Times New Roman" w:eastAsia="Times New Roman" w:hAnsi="Times New Roman"/>
          <w:sz w:val="18"/>
          <w:szCs w:val="18"/>
          <w:b w:val="1"/>
          <w:bCs w:val="1"/>
          <w:i w:val="1"/>
          <w:iCs w:val="1"/>
          <w:color w:val="auto"/>
        </w:rPr>
        <w:t>PFLT</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Private Income Fund, a closed-end management investment company that has elected to be regulated as a BDC (“</w:t>
      </w:r>
      <w:r>
        <w:rPr>
          <w:rFonts w:ascii="Times New Roman" w:cs="Times New Roman" w:eastAsia="Times New Roman" w:hAnsi="Times New Roman"/>
          <w:sz w:val="18"/>
          <w:szCs w:val="18"/>
          <w:b w:val="1"/>
          <w:bCs w:val="1"/>
          <w:i w:val="1"/>
          <w:iCs w:val="1"/>
          <w:color w:val="auto"/>
        </w:rPr>
        <w:t>PPIF</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100" w:hanging="424"/>
        <w:spacing w:after="0" w:line="286"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Enhanced Income Fund, a registered closed-end management investment company (“</w:t>
      </w:r>
      <w:r>
        <w:rPr>
          <w:rFonts w:ascii="Times New Roman" w:cs="Times New Roman" w:eastAsia="Times New Roman" w:hAnsi="Times New Roman"/>
          <w:sz w:val="18"/>
          <w:szCs w:val="18"/>
          <w:b w:val="1"/>
          <w:bCs w:val="1"/>
          <w:i w:val="1"/>
          <w:iCs w:val="1"/>
          <w:color w:val="auto"/>
        </w:rPr>
        <w:t>PEIF</w:t>
      </w:r>
      <w:r>
        <w:rPr>
          <w:rFonts w:ascii="Times New Roman" w:cs="Times New Roman" w:eastAsia="Times New Roman" w:hAnsi="Times New Roman"/>
          <w:sz w:val="18"/>
          <w:szCs w:val="18"/>
          <w:color w:val="auto"/>
        </w:rPr>
        <w:t xml:space="preserve">” and, together with PNNT, PFLT and PPIF,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Existing Regulated Funds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4" w:right="54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Advisers, LLC, the investment adviser to PNNT, PFLT, PEIF, and the Existing Affiliated Funds (as defined below), on behalf of itself and its successors (“</w:t>
      </w:r>
      <w:r>
        <w:rPr>
          <w:rFonts w:ascii="Times New Roman" w:cs="Times New Roman" w:eastAsia="Times New Roman" w:hAnsi="Times New Roman"/>
          <w:sz w:val="18"/>
          <w:szCs w:val="18"/>
          <w:b w:val="1"/>
          <w:bCs w:val="1"/>
          <w:i w:val="1"/>
          <w:iCs w:val="1"/>
          <w:color w:val="auto"/>
        </w:rPr>
        <w:t>PPIA</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4" w:right="420" w:hanging="424"/>
        <w:spacing w:after="0" w:line="286"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Private Income Fund Advisers LLC, the investment adviser to PPIF, on behalf of itself and its successors (“</w:t>
      </w:r>
      <w:r>
        <w:rPr>
          <w:rFonts w:ascii="Times New Roman" w:cs="Times New Roman" w:eastAsia="Times New Roman" w:hAnsi="Times New Roman"/>
          <w:sz w:val="18"/>
          <w:szCs w:val="18"/>
          <w:b w:val="1"/>
          <w:bCs w:val="1"/>
          <w:i w:val="1"/>
          <w:iCs w:val="1"/>
          <w:color w:val="auto"/>
        </w:rPr>
        <w:t>PPIFA</w:t>
      </w:r>
      <w:r>
        <w:rPr>
          <w:rFonts w:ascii="Times New Roman" w:cs="Times New Roman" w:eastAsia="Times New Roman" w:hAnsi="Times New Roman"/>
          <w:sz w:val="18"/>
          <w:szCs w:val="18"/>
          <w:color w:val="auto"/>
        </w:rPr>
        <w:t>” and, together with PPIA, “</w:t>
      </w:r>
      <w:r>
        <w:rPr>
          <w:rFonts w:ascii="Times New Roman" w:cs="Times New Roman" w:eastAsia="Times New Roman" w:hAnsi="Times New Roman"/>
          <w:sz w:val="18"/>
          <w:szCs w:val="18"/>
          <w:b w:val="1"/>
          <w:bCs w:val="1"/>
          <w:i w:val="1"/>
          <w:iCs w:val="1"/>
          <w:color w:val="auto"/>
        </w:rPr>
        <w:t>PennantPark</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vehicle set forth on Schedule A hereto, each of which is a separate and distinct legal entity and each of which is a Wholly-Owned Investment Sub (as defined below) of an Existing Regulated Fund (the “</w:t>
      </w:r>
      <w:r>
        <w:rPr>
          <w:rFonts w:ascii="Times New Roman" w:cs="Times New Roman" w:eastAsia="Times New Roman" w:hAnsi="Times New Roman"/>
          <w:sz w:val="18"/>
          <w:szCs w:val="18"/>
          <w:b w:val="1"/>
          <w:bCs w:val="1"/>
          <w:i w:val="1"/>
          <w:iCs w:val="1"/>
          <w:color w:val="auto"/>
        </w:rPr>
        <w:t>Existing Wholly-Owned Subsidiaries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right="260" w:hanging="42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vehicle set forth on Schedule B hereto, each of which is a separate and distinct legal entity and each of which is a Joint Venture (as defined below) of an Existing Regulated Fund (the “</w:t>
      </w:r>
      <w:r>
        <w:rPr>
          <w:rFonts w:ascii="Times New Roman" w:cs="Times New Roman" w:eastAsia="Times New Roman" w:hAnsi="Times New Roman"/>
          <w:sz w:val="18"/>
          <w:szCs w:val="18"/>
          <w:b w:val="1"/>
          <w:bCs w:val="1"/>
          <w:i w:val="1"/>
          <w:iCs w:val="1"/>
          <w:color w:val="auto"/>
        </w:rPr>
        <w:t>Existing Joint Ventures</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Unless otherwise indicated, all section and rule references herein are to the 1940 Act and rules promulgated thereunder.</w:t>
      </w:r>
    </w:p>
    <w:p>
      <w:pPr>
        <w:spacing w:after="0" w:line="1" w:lineRule="exact"/>
        <w:rPr>
          <w:sz w:val="20"/>
          <w:szCs w:val="20"/>
          <w:color w:val="auto"/>
        </w:rPr>
      </w:pPr>
    </w:p>
    <w:p>
      <w:pPr>
        <w:ind w:left="424" w:right="460" w:hanging="424"/>
        <w:spacing w:after="0" w:line="199"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PennantPark Investment Advisers, LLC, et al.</w:t>
      </w:r>
      <w:r>
        <w:rPr>
          <w:rFonts w:ascii="Times New Roman" w:cs="Times New Roman" w:eastAsia="Times New Roman" w:hAnsi="Times New Roman"/>
          <w:sz w:val="18"/>
          <w:szCs w:val="18"/>
          <w:color w:val="auto"/>
        </w:rPr>
        <w:t>, (File No. 812-15305) Release No. 34723 (Oct. 3, 2022) (notice), Release No. 34742 (Oct. 28, 2022) (order).</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3" w:name="page4"/>
    <w:bookmarkEnd w:id="3"/>
    <w:p>
      <w:pPr>
        <w:ind w:left="964" w:right="220" w:hanging="424"/>
        <w:spacing w:after="0" w:line="277"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investment fund set forth on Schedule C hereto, each of which is a separate and distinct legal entity and each of which would be an investment company but for Section 3(c)(7) of the 1940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 and, together with the Existing Regulated Funds, the Existing Wholly-Owned Subsidiaries, the Existing Joint Ventures, and PennantPark,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w:t>
      </w:r>
    </w:p>
    <w:p>
      <w:pPr>
        <w:spacing w:after="0" w:line="37" w:lineRule="exact"/>
        <w:rPr>
          <w:sz w:val="20"/>
          <w:szCs w:val="20"/>
          <w:color w:val="auto"/>
        </w:rPr>
      </w:pPr>
    </w:p>
    <w:p>
      <w:pPr>
        <w:ind w:left="4" w:right="140"/>
        <w:spacing w:after="0" w:line="203" w:lineRule="auto"/>
        <w:rPr>
          <w:sz w:val="20"/>
          <w:szCs w:val="20"/>
          <w:color w:val="auto"/>
        </w:rPr>
      </w:pPr>
      <w:r>
        <w:rPr>
          <w:rFonts w:ascii="Times New Roman" w:cs="Times New Roman" w:eastAsia="Times New Roman" w:hAnsi="Times New Roman"/>
          <w:sz w:val="18"/>
          <w:szCs w:val="18"/>
          <w:color w:val="auto"/>
        </w:rPr>
        <w:t>The relief requested in this application for the Order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and one or more Affiliated Entities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to engage in Co-Investment Transactions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subject to the terms and conditions described herein. The Regulated Funds and Affiliated Entities that participate in a Co-Investment Transaction are collectively referred to herein as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The Applicants do not seek relief for transactions effected consistent with Commission staff no-action positions.</w:t>
      </w:r>
      <w:r>
        <w:rPr>
          <w:rFonts w:ascii="Times New Roman" w:cs="Times New Roman" w:eastAsia="Times New Roman" w:hAnsi="Times New Roman"/>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8" w:lineRule="exact"/>
        <w:rPr>
          <w:sz w:val="20"/>
          <w:szCs w:val="20"/>
          <w:color w:val="auto"/>
        </w:rPr>
      </w:pPr>
    </w:p>
    <w:p>
      <w:pPr>
        <w:ind w:left="424" w:right="120" w:hanging="424"/>
        <w:spacing w:after="0" w:line="208" w:lineRule="auto"/>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existing entities that currently intend to rely upon the requested Order have been named as Applicants. Any other existing or future entity that subsequently relies on the Order will comply with the terms and conditions of the Application.</w:t>
      </w:r>
    </w:p>
    <w:p>
      <w:pPr>
        <w:spacing w:after="0" w:line="2" w:lineRule="exact"/>
        <w:rPr>
          <w:sz w:val="20"/>
          <w:szCs w:val="20"/>
          <w:color w:val="auto"/>
        </w:rPr>
      </w:pPr>
    </w:p>
    <w:p>
      <w:pPr>
        <w:ind w:left="424" w:right="100" w:hanging="424"/>
        <w:spacing w:after="0" w:line="227" w:lineRule="auto"/>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w:t>
      </w:r>
      <w:r>
        <w:rPr>
          <w:rFonts w:ascii="Times New Roman" w:cs="Times New Roman" w:eastAsia="Times New Roman" w:hAnsi="Times New Roman"/>
          <w:sz w:val="18"/>
          <w:szCs w:val="18"/>
          <w:color w:val="auto"/>
        </w:rPr>
        <w:t>” means the Existing Regulated Funds and any Future Regulated Funds. “</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an entity (a) that is a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spacing w:after="0" w:line="92" w:lineRule="exact"/>
        <w:rPr>
          <w:rFonts w:ascii="Times New Roman" w:cs="Times New Roman" w:eastAsia="Times New Roman" w:hAnsi="Times New Roman"/>
          <w:sz w:val="27"/>
          <w:szCs w:val="27"/>
          <w:color w:val="auto"/>
          <w:vertAlign w:val="superscript"/>
        </w:rPr>
      </w:pPr>
    </w:p>
    <w:p>
      <w:pPr>
        <w:ind w:left="444" w:right="120"/>
        <w:spacing w:after="0" w:line="266"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cs="Times New Roman" w:eastAsia="Times New Roman" w:hAnsi="Times New Roman"/>
          <w:sz w:val="17"/>
          <w:szCs w:val="17"/>
          <w:b w:val="1"/>
          <w:bCs w:val="1"/>
          <w:i w:val="1"/>
          <w:iCs w:val="1"/>
          <w:color w:val="auto"/>
        </w:rPr>
        <w:t>Wholly-Owned Investment Sub</w:t>
      </w:r>
      <w:r>
        <w:rPr>
          <w:rFonts w:ascii="Times New Roman" w:cs="Times New Roman" w:eastAsia="Times New Roman" w:hAnsi="Times New Roman"/>
          <w:sz w:val="17"/>
          <w:szCs w:val="17"/>
          <w:color w:val="auto"/>
        </w:rPr>
        <w:t>” means the Existing Wholly-Owned Investment Subsidiaries and any Future Wholly-Owned Investment Subsidiaries. “Future Wholly-Owned Investment Subsidiaries” means the Existing Wholly-Owned Investment Subsidiaries and any Future Wholly-Owned Investment Subsidiaries. “</w:t>
      </w:r>
      <w:r>
        <w:rPr>
          <w:rFonts w:ascii="Times New Roman" w:cs="Times New Roman" w:eastAsia="Times New Roman" w:hAnsi="Times New Roman"/>
          <w:sz w:val="17"/>
          <w:szCs w:val="17"/>
          <w:b w:val="1"/>
          <w:bCs w:val="1"/>
          <w:i w:val="1"/>
          <w:iCs w:val="1"/>
          <w:color w:val="auto"/>
        </w:rPr>
        <w:t>Future Wholly-Owned Investment Subsidiaries</w:t>
      </w:r>
      <w:r>
        <w:rPr>
          <w:rFonts w:ascii="Times New Roman" w:cs="Times New Roman" w:eastAsia="Times New Roman" w:hAnsi="Times New Roman"/>
          <w:sz w:val="17"/>
          <w:szCs w:val="17"/>
          <w:color w:val="auto"/>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cs="Times New Roman" w:eastAsia="Times New Roman" w:hAnsi="Times New Roman"/>
          <w:sz w:val="17"/>
          <w:szCs w:val="17"/>
          <w:b w:val="1"/>
          <w:bCs w:val="1"/>
          <w:i w:val="1"/>
          <w:iCs w:val="1"/>
          <w:color w:val="auto"/>
        </w:rPr>
        <w:t>Joint Venture</w:t>
      </w:r>
      <w:r>
        <w:rPr>
          <w:rFonts w:ascii="Times New Roman" w:cs="Times New Roman" w:eastAsia="Times New Roman" w:hAnsi="Times New Roman"/>
          <w:sz w:val="17"/>
          <w:szCs w:val="17"/>
          <w:color w:val="auto"/>
        </w:rPr>
        <w:t xml:space="preserve">” means the Existing Joint Ventures and any Future Joint Venture. </w:t>
      </w:r>
      <w:r>
        <w:rPr>
          <w:rFonts w:ascii="Times New Roman" w:cs="Times New Roman" w:eastAsia="Times New Roman" w:hAnsi="Times New Roman"/>
          <w:sz w:val="17"/>
          <w:szCs w:val="17"/>
          <w:b w:val="1"/>
          <w:bCs w:val="1"/>
          <w:i w:val="1"/>
          <w:iCs w:val="1"/>
          <w:color w:val="auto"/>
        </w:rPr>
        <w:t>“Future Joint Venture</w:t>
      </w:r>
      <w:r>
        <w:rPr>
          <w:rFonts w:ascii="Times New Roman" w:cs="Times New Roman" w:eastAsia="Times New Roman" w:hAnsi="Times New Roman"/>
          <w:sz w:val="17"/>
          <w:szCs w:val="17"/>
          <w:color w:val="auto"/>
        </w:rPr>
        <w:t>” means the Existing Joint Ventures and any Future Joint Venture. “</w:t>
      </w:r>
      <w:r>
        <w:rPr>
          <w:rFonts w:ascii="Times New Roman" w:cs="Times New Roman" w:eastAsia="Times New Roman" w:hAnsi="Times New Roman"/>
          <w:sz w:val="17"/>
          <w:szCs w:val="17"/>
          <w:b w:val="1"/>
          <w:bCs w:val="1"/>
          <w:i w:val="1"/>
          <w:iCs w:val="1"/>
          <w:color w:val="auto"/>
        </w:rPr>
        <w:t>Future Joint Venture</w:t>
      </w:r>
      <w:r>
        <w:rPr>
          <w:rFonts w:ascii="Times New Roman" w:cs="Times New Roman" w:eastAsia="Times New Roman" w:hAnsi="Times New Roman"/>
          <w:sz w:val="17"/>
          <w:szCs w:val="17"/>
          <w:color w:val="auto"/>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cs="Times New Roman" w:eastAsia="Times New Roman" w:hAnsi="Times New Roman"/>
          <w:sz w:val="17"/>
          <w:szCs w:val="17"/>
          <w:b w:val="1"/>
          <w:bCs w:val="1"/>
          <w:i w:val="1"/>
          <w:iCs w:val="1"/>
          <w:color w:val="auto"/>
        </w:rPr>
        <w:t>BDC Downstream Fund</w:t>
      </w:r>
      <w:r>
        <w:rPr>
          <w:rFonts w:ascii="Times New Roman" w:cs="Times New Roman" w:eastAsia="Times New Roman" w:hAnsi="Times New Roman"/>
          <w:sz w:val="17"/>
          <w:szCs w:val="17"/>
          <w:color w:val="auto"/>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w:t>
      </w:r>
    </w:p>
    <w:p>
      <w:pPr>
        <w:spacing w:after="0" w:line="9" w:lineRule="exact"/>
        <w:rPr>
          <w:rFonts w:ascii="Times New Roman" w:cs="Times New Roman" w:eastAsia="Times New Roman" w:hAnsi="Times New Roman"/>
          <w:sz w:val="27"/>
          <w:szCs w:val="27"/>
          <w:color w:val="auto"/>
          <w:vertAlign w:val="superscript"/>
        </w:rPr>
      </w:pPr>
    </w:p>
    <w:p>
      <w:pPr>
        <w:ind w:left="44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 whose investment adviser is an Adviser and (e) that is not a Wholly-Owned Investment Sub.</w:t>
      </w:r>
    </w:p>
    <w:p>
      <w:pPr>
        <w:spacing w:after="0" w:line="99" w:lineRule="exact"/>
        <w:rPr>
          <w:sz w:val="20"/>
          <w:szCs w:val="20"/>
          <w:color w:val="auto"/>
        </w:rPr>
      </w:pPr>
    </w:p>
    <w:p>
      <w:pPr>
        <w:ind w:left="444" w:right="120"/>
        <w:spacing w:after="0" w:line="277" w:lineRule="auto"/>
        <w:rPr>
          <w:sz w:val="20"/>
          <w:szCs w:val="20"/>
          <w:color w:val="auto"/>
        </w:rPr>
      </w:pPr>
      <w:r>
        <w:rPr>
          <w:rFonts w:ascii="Times New Roman" w:cs="Times New Roman" w:eastAsia="Times New Roman" w:hAnsi="Times New Roman"/>
          <w:sz w:val="17"/>
          <w:szCs w:val="17"/>
          <w:color w:val="auto"/>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spacing w:after="0" w:line="69" w:lineRule="exact"/>
        <w:rPr>
          <w:sz w:val="20"/>
          <w:szCs w:val="20"/>
          <w:color w:val="auto"/>
        </w:rPr>
      </w:pPr>
    </w:p>
    <w:p>
      <w:pPr>
        <w:ind w:left="424" w:right="40" w:hanging="424"/>
        <w:spacing w:after="0" w:line="232"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Entity</w:t>
      </w:r>
      <w:r>
        <w:rPr>
          <w:rFonts w:ascii="Times New Roman" w:cs="Times New Roman" w:eastAsia="Times New Roman" w:hAnsi="Times New Roman"/>
          <w:sz w:val="18"/>
          <w:szCs w:val="18"/>
          <w:color w:val="auto"/>
        </w:rPr>
        <w:t>” means an entity not controlled by a Regulated Fund that intends to engage in Co-Investment Transactions and that is (a) with respect to a Regulated Fund, another Regulated Fund; (b) an Adviser or its affiliates (other than an open-end investment company registered under the 1940 Act), and any direct or indirect, wholly- or majority-owned subsidiary of an Adviser or its affiliates (other than an open-end investment company registered under the 1940 Act), that is participating in a Co-Investment Transaction in a principal capacity; or (c) any entity that would be an investment company but for Section 3(c) of the 1940 Act or Rule 3a-7 thereunder and whose investment adviser is an Adviser.</w:t>
      </w:r>
    </w:p>
    <w:p>
      <w:pPr>
        <w:spacing w:after="0" w:line="91" w:lineRule="exact"/>
        <w:rPr>
          <w:rFonts w:ascii="Times New Roman" w:cs="Times New Roman" w:eastAsia="Times New Roman" w:hAnsi="Times New Roman"/>
          <w:sz w:val="27"/>
          <w:szCs w:val="27"/>
          <w:color w:val="auto"/>
          <w:vertAlign w:val="superscript"/>
        </w:rPr>
      </w:pPr>
    </w:p>
    <w:p>
      <w:pPr>
        <w:ind w:left="444" w:right="200"/>
        <w:spacing w:after="0" w:line="28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the extent that an entity described in clause (b) is not advised by an Adviser, such entity shall be deemed to be an Adviser for purposes of the conditions.</w:t>
      </w:r>
    </w:p>
    <w:p>
      <w:pPr>
        <w:ind w:left="424" w:hanging="424"/>
        <w:spacing w:after="0" w:line="233" w:lineRule="auto"/>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the acquisition or Disposition of securities of an issuer in a transaction effected in reliance on the Order or</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previously granted relief.</w:t>
      </w:r>
    </w:p>
    <w:p>
      <w:pPr>
        <w:ind w:left="424" w:hanging="424"/>
        <w:spacing w:after="0" w:line="186" w:lineRule="auto"/>
        <w:tabs>
          <w:tab w:leader="none" w:pos="424"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Adviser</w:t>
      </w:r>
      <w:r>
        <w:rPr>
          <w:rFonts w:ascii="Times New Roman" w:cs="Times New Roman" w:eastAsia="Times New Roman" w:hAnsi="Times New Roman"/>
          <w:sz w:val="17"/>
          <w:szCs w:val="17"/>
          <w:color w:val="auto"/>
        </w:rPr>
        <w:t>” means PPIA and PPIFA and any other investment adviser controlling, controlled by, or under common control with PPIA or PPIFA.</w:t>
      </w:r>
    </w:p>
    <w:p>
      <w:pPr>
        <w:spacing w:after="0" w:line="196" w:lineRule="exact"/>
        <w:rPr>
          <w:sz w:val="20"/>
          <w:szCs w:val="20"/>
          <w:color w:val="auto"/>
        </w:rPr>
      </w:pPr>
    </w:p>
    <w:p>
      <w:pPr>
        <w:ind w:left="424" w:hanging="424"/>
        <w:spacing w:after="0" w:line="209" w:lineRule="auto"/>
        <w:tabs>
          <w:tab w:leader="none" w:pos="42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Massachusetts Mutual Life Insurance Co. (pub. avail. June 7, 2000), Massachusetts Mutual Life Insurance Co. (pub. avail. July 28,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SMC Capital, Inc. (pub. avail. Sept. 5, 1995).</w:t>
      </w:r>
    </w:p>
    <w:p>
      <w:pPr>
        <w:spacing w:after="0" w:line="3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4" w:name="page5"/>
    <w:bookmarkEnd w:id="4"/>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DESCRIPTION OF THE APPLICANTS</w:t>
      </w:r>
    </w:p>
    <w:p>
      <w:pPr>
        <w:spacing w:after="0" w:line="135" w:lineRule="exact"/>
        <w:rPr>
          <w:sz w:val="20"/>
          <w:szCs w:val="20"/>
          <w:color w:val="auto"/>
        </w:rPr>
      </w:pPr>
    </w:p>
    <w:p>
      <w:pPr>
        <w:ind w:left="964" w:hanging="532"/>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PNNT</w:t>
      </w:r>
    </w:p>
    <w:p>
      <w:pPr>
        <w:spacing w:after="0" w:line="117"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PNNT was organized as a Maryland corporation on January 11, 2007. PNNT is a closed-end, externally managed, non-diversified investment company that has elected to be regulated as a BDC under the 1940 Act. PNNT has elected to be treated as a regulated investment company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Subchapter M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intends to continue to qualify as a RIC in the future. PNNT’s principal place of business is 1691 Michigan Avenue, Suite 500, Miami Beach, FL 33139.</w:t>
      </w:r>
    </w:p>
    <w:p>
      <w:pPr>
        <w:spacing w:after="0" w:line="180" w:lineRule="exact"/>
        <w:rPr>
          <w:sz w:val="20"/>
          <w:szCs w:val="20"/>
          <w:color w:val="auto"/>
        </w:rPr>
      </w:pPr>
    </w:p>
    <w:p>
      <w:pPr>
        <w:ind w:left="4"/>
        <w:spacing w:after="0" w:line="317" w:lineRule="auto"/>
        <w:rPr>
          <w:sz w:val="20"/>
          <w:szCs w:val="20"/>
          <w:color w:val="auto"/>
        </w:rPr>
      </w:pPr>
      <w:r>
        <w:rPr>
          <w:rFonts w:ascii="Times New Roman" w:cs="Times New Roman" w:eastAsia="Times New Roman" w:hAnsi="Times New Roman"/>
          <w:sz w:val="17"/>
          <w:szCs w:val="17"/>
          <w:color w:val="auto"/>
        </w:rPr>
        <w:t>PNNT’s investment objective is to generate both current income and capital appreciation through debt and equity investments. PNNT has a five-member board (the “</w:t>
      </w:r>
      <w:r>
        <w:rPr>
          <w:rFonts w:ascii="Times New Roman" w:cs="Times New Roman" w:eastAsia="Times New Roman" w:hAnsi="Times New Roman"/>
          <w:sz w:val="17"/>
          <w:szCs w:val="17"/>
          <w:b w:val="1"/>
          <w:bCs w:val="1"/>
          <w:i w:val="1"/>
          <w:iCs w:val="1"/>
          <w:color w:val="auto"/>
        </w:rPr>
        <w:t>PNNT Board</w:t>
      </w:r>
      <w:r>
        <w:rPr>
          <w:rFonts w:ascii="Times New Roman" w:cs="Times New Roman" w:eastAsia="Times New Roman" w:hAnsi="Times New Roman"/>
          <w:sz w:val="17"/>
          <w:szCs w:val="17"/>
          <w:color w:val="auto"/>
        </w:rPr>
        <w:t>”), of which four members are not “interested” persons of the Fund within the meaning of Section 2(a)(19) of the 1940 Act.</w:t>
      </w:r>
      <w:r>
        <w:rPr>
          <w:rFonts w:ascii="Times New Roman" w:cs="Times New Roman" w:eastAsia="Times New Roman" w:hAnsi="Times New Roman"/>
          <w:sz w:val="25"/>
          <w:szCs w:val="25"/>
          <w:color w:val="auto"/>
          <w:vertAlign w:val="superscript"/>
        </w:rPr>
        <w:t>9</w:t>
      </w:r>
    </w:p>
    <w:p>
      <w:pPr>
        <w:spacing w:after="0" w:line="37" w:lineRule="exact"/>
        <w:rPr>
          <w:sz w:val="20"/>
          <w:szCs w:val="20"/>
          <w:color w:val="auto"/>
        </w:rPr>
      </w:pPr>
    </w:p>
    <w:p>
      <w:pPr>
        <w:ind w:left="964" w:hanging="532"/>
        <w:spacing w:after="0"/>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PFLT</w:t>
      </w:r>
    </w:p>
    <w:p>
      <w:pPr>
        <w:spacing w:after="0" w:line="11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PFLT was formed as a Maryland corporation on October 28, 2010. PFLT is a closed-end, externally managed, non-diversified investment company that has elected to be regulated as a BDC under the 1940 Act. PFLT has elected to be treated as a RIC under Subchapter M of the Code and intends to continue to qualify as a RIC in the future. PFLT’s principal place of business is 1691 Michigan Avenue, Suite 500, Miami Beach, FL 33139.</w:t>
      </w:r>
    </w:p>
    <w:p>
      <w:pPr>
        <w:spacing w:after="0" w:line="176"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PFLT’s investment objective is to generate current income and capital appreciation by investing primarily in floating rate loans and other investments made to U.S. private middle-market companies. PFLT has a five-member board (the “</w:t>
      </w:r>
      <w:r>
        <w:rPr>
          <w:rFonts w:ascii="Times New Roman" w:cs="Times New Roman" w:eastAsia="Times New Roman" w:hAnsi="Times New Roman"/>
          <w:sz w:val="18"/>
          <w:szCs w:val="18"/>
          <w:b w:val="1"/>
          <w:bCs w:val="1"/>
          <w:i w:val="1"/>
          <w:iCs w:val="1"/>
          <w:color w:val="auto"/>
        </w:rPr>
        <w:t>PFLT Board</w:t>
      </w:r>
      <w:r>
        <w:rPr>
          <w:rFonts w:ascii="Times New Roman" w:cs="Times New Roman" w:eastAsia="Times New Roman" w:hAnsi="Times New Roman"/>
          <w:sz w:val="18"/>
          <w:szCs w:val="18"/>
          <w:color w:val="auto"/>
        </w:rPr>
        <w:t>”), of which four are not “interested” persons of the Fund within the meaning of Section 2(a)(19) of the 1940 Act.</w:t>
      </w:r>
    </w:p>
    <w:p>
      <w:pPr>
        <w:spacing w:after="0" w:line="203" w:lineRule="exact"/>
        <w:rPr>
          <w:sz w:val="20"/>
          <w:szCs w:val="20"/>
          <w:color w:val="auto"/>
        </w:rPr>
      </w:pPr>
    </w:p>
    <w:p>
      <w:pPr>
        <w:ind w:left="964" w:hanging="532"/>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PPIF</w:t>
      </w:r>
    </w:p>
    <w:p>
      <w:pPr>
        <w:spacing w:after="0" w:line="117"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PPIF was formed as a Delaware statutory trust on April 24, 2025. PPIF is a closed-end, externally managed, non-diversified investment company that has elected to be regulated as a BDC under the 1940 Act. PPIF intends to elect to be treated as a RIC under Subchapter M of the Code and intends to qualify as a RIC in the future. PPIF’s principal place of business is 1691 Michigan Avenue, Suite 500, Miami Beach, FL 33139.</w:t>
      </w:r>
    </w:p>
    <w:p>
      <w:pPr>
        <w:spacing w:after="0" w:line="176"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PPIF’s investment objective is to generate current income and capital appreciation by investing primarily in senior secured debt of U.S. middle-market companies with last twelve-month earnings of between $10 million and $50 million. PPIF has a six-member board (the “</w:t>
      </w:r>
      <w:r>
        <w:rPr>
          <w:rFonts w:ascii="Times New Roman" w:cs="Times New Roman" w:eastAsia="Times New Roman" w:hAnsi="Times New Roman"/>
          <w:sz w:val="18"/>
          <w:szCs w:val="18"/>
          <w:b w:val="1"/>
          <w:bCs w:val="1"/>
          <w:i w:val="1"/>
          <w:iCs w:val="1"/>
          <w:color w:val="auto"/>
        </w:rPr>
        <w:t>PPIF Board</w:t>
      </w:r>
      <w:r>
        <w:rPr>
          <w:rFonts w:ascii="Times New Roman" w:cs="Times New Roman" w:eastAsia="Times New Roman" w:hAnsi="Times New Roman"/>
          <w:sz w:val="18"/>
          <w:szCs w:val="18"/>
          <w:color w:val="auto"/>
        </w:rPr>
        <w:t>”), of which four are not “interested” persons of the Fund within the meaning of Section 2(a)(19) of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0" w:lineRule="exact"/>
        <w:rPr>
          <w:sz w:val="20"/>
          <w:szCs w:val="20"/>
          <w:color w:val="auto"/>
        </w:rPr>
      </w:pPr>
    </w:p>
    <w:p>
      <w:pPr>
        <w:ind w:left="424" w:right="120" w:hanging="424"/>
        <w:spacing w:after="0" w:line="208" w:lineRule="auto"/>
        <w:tabs>
          <w:tab w:leader="none" w:pos="424"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Board of each Future Regulated Fund will consist of a majority of members who are not “interested persons” of such Future Regulated Fund within the meaning of Section 2(a)(19) of the 1940 Act.</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5" w:name="page6"/>
    <w:bookmarkEnd w:id="5"/>
    <w:p>
      <w:pPr>
        <w:ind w:left="964" w:hanging="532"/>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PEIF</w:t>
      </w:r>
    </w:p>
    <w:p>
      <w:pPr>
        <w:spacing w:after="0" w:line="117"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PEIF was formed as a Delaware statutory trust on July 8, 2025. PEIF is a continuously offered, externally managed, non-diversified, closed-end management investment company that has registered as an investment company under the 1940 Act and operates as an interval fund. PEIF intends to elect to be treated as a RIC under Subchapter M of the Code and intends to qualify as a RIC in the future. PEIF’s principal place of business is 1691 Michigan Avenue, Suite 500, Miami Beach, FL 33139.</w:t>
      </w:r>
    </w:p>
    <w:p>
      <w:pPr>
        <w:spacing w:after="0" w:line="180"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PEIF’s investment objective is to generate current income and, as a secondary objective, long-term capital appreciation by investing primarily in junior debt tranches of collateralized loan obligations that own a pool of senior secured loans made to companies whose debt is rated below investment grade or, in limited circumstances, unrated (commonly known as “junk” bonds). PEIF has a six-member board (the “</w:t>
      </w:r>
      <w:r>
        <w:rPr>
          <w:rFonts w:ascii="Times New Roman" w:cs="Times New Roman" w:eastAsia="Times New Roman" w:hAnsi="Times New Roman"/>
          <w:sz w:val="18"/>
          <w:szCs w:val="18"/>
          <w:b w:val="1"/>
          <w:bCs w:val="1"/>
          <w:i w:val="1"/>
          <w:iCs w:val="1"/>
          <w:color w:val="auto"/>
        </w:rPr>
        <w:t>PEIF Board</w:t>
      </w:r>
      <w:r>
        <w:rPr>
          <w:rFonts w:ascii="Times New Roman" w:cs="Times New Roman" w:eastAsia="Times New Roman" w:hAnsi="Times New Roman"/>
          <w:sz w:val="18"/>
          <w:szCs w:val="18"/>
          <w:color w:val="auto"/>
        </w:rPr>
        <w:t>”), of which four are not “interested” persons of the Fund within the meaning of Section 2(a)(19) of the 1940 Act.</w:t>
      </w:r>
    </w:p>
    <w:p>
      <w:pPr>
        <w:spacing w:after="0" w:line="207" w:lineRule="exact"/>
        <w:rPr>
          <w:sz w:val="20"/>
          <w:szCs w:val="20"/>
          <w:color w:val="auto"/>
        </w:rPr>
      </w:pPr>
    </w:p>
    <w:p>
      <w:pPr>
        <w:ind w:left="964" w:hanging="532"/>
        <w:spacing w:after="0"/>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Wholly-Owned Subsidiaries</w:t>
      </w:r>
    </w:p>
    <w:p>
      <w:pPr>
        <w:spacing w:after="0" w:line="117"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Each of the Existing Wholly-Owned Subsidiaries is a direct or indirect wholly-owned subsidiary of an Existing Regulated Fund whose business purpose is to hold one or more investments on behalf of such Existing Regulated Fund. Each Existing Wholly-Owned Subsidiary is a separate and distinct legal entity. The Existing Wholly-Owned Subsidiaries have investment objectives and strategies that are substantially the same as, or a subset of, those of the applicable Existing Regulated Fund. A list of the Existing Wholly-Owned Subsidiaries is included on Schedule A hereto.</w:t>
      </w:r>
    </w:p>
    <w:p>
      <w:pPr>
        <w:spacing w:after="0" w:line="207" w:lineRule="exact"/>
        <w:rPr>
          <w:sz w:val="20"/>
          <w:szCs w:val="20"/>
          <w:color w:val="auto"/>
        </w:rPr>
      </w:pPr>
    </w:p>
    <w:p>
      <w:pPr>
        <w:ind w:left="964" w:hanging="532"/>
        <w:spacing w:after="0"/>
        <w:tabs>
          <w:tab w:leader="none" w:pos="9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Joint Ventures</w:t>
      </w:r>
    </w:p>
    <w:p>
      <w:pPr>
        <w:spacing w:after="0" w:line="11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Each of the Existing Joint Ventures is an unconsolidated joint venture subsidiary of a Regulated Fund, in which all portfolio decisions, and generally all other material decisions in respect of such joint venture, must be approved by a board or committee, as applicable, consisting of representatives of the Regulated Fund and the unaffiliated joint venture partner (with approval from a representative of each required). Each Existing Joint Venture is a separate and distinct legal entity. The Existing Joint Ventures have investment objectives and strategies that are substantially the same as, or a subset of, those of the applicable Existing Regulated Fund. A list of the Existing Joint Ventures is included on Schedule B hereto.</w:t>
      </w:r>
    </w:p>
    <w:p>
      <w:pPr>
        <w:spacing w:after="0" w:line="210" w:lineRule="exact"/>
        <w:rPr>
          <w:sz w:val="20"/>
          <w:szCs w:val="20"/>
          <w:color w:val="auto"/>
        </w:rPr>
      </w:pPr>
    </w:p>
    <w:p>
      <w:pPr>
        <w:ind w:left="964" w:hanging="532"/>
        <w:spacing w:after="0"/>
        <w:tabs>
          <w:tab w:leader="none" w:pos="9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Affiliated Funds</w:t>
      </w:r>
    </w:p>
    <w:p>
      <w:pPr>
        <w:spacing w:after="0" w:line="117" w:lineRule="exact"/>
        <w:rPr>
          <w:sz w:val="20"/>
          <w:szCs w:val="20"/>
          <w:color w:val="auto"/>
        </w:rPr>
      </w:pPr>
    </w:p>
    <w:p>
      <w:pPr>
        <w:ind w:left="4" w:right="340"/>
        <w:spacing w:after="0" w:line="277" w:lineRule="auto"/>
        <w:rPr>
          <w:sz w:val="20"/>
          <w:szCs w:val="20"/>
          <w:color w:val="auto"/>
        </w:rPr>
      </w:pPr>
      <w:r>
        <w:rPr>
          <w:rFonts w:ascii="Times New Roman" w:cs="Times New Roman" w:eastAsia="Times New Roman" w:hAnsi="Times New Roman"/>
          <w:sz w:val="18"/>
          <w:szCs w:val="18"/>
          <w:color w:val="auto"/>
        </w:rPr>
        <w:t>The Existing Affiliated Funds are investment funds each of whose investment adviser and investment sub-adviser (if any) is an Adviser and each of which would be an investment company but for Section 3(c)(7) of the 1940 Act. A list of the Existing Affiliated Funds is included on Schedule C hereto.</w:t>
      </w:r>
      <w:r>
        <w:rPr>
          <w:rFonts w:ascii="Times New Roman" w:cs="Times New Roman" w:eastAsia="Times New Roman" w:hAnsi="Times New Roman"/>
          <w:sz w:val="26"/>
          <w:szCs w:val="26"/>
          <w:color w:val="auto"/>
          <w:vertAlign w:val="superscript"/>
        </w:rPr>
        <w:t>10</w:t>
      </w:r>
    </w:p>
    <w:p>
      <w:pPr>
        <w:spacing w:after="0" w:line="68" w:lineRule="exact"/>
        <w:rPr>
          <w:sz w:val="20"/>
          <w:szCs w:val="20"/>
          <w:color w:val="auto"/>
        </w:rPr>
      </w:pPr>
    </w:p>
    <w:p>
      <w:pPr>
        <w:ind w:left="964" w:hanging="532"/>
        <w:spacing w:after="0"/>
        <w:tabs>
          <w:tab w:leader="none" w:pos="9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PPIA</w:t>
      </w:r>
    </w:p>
    <w:p>
      <w:pPr>
        <w:spacing w:after="0" w:line="11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PPIA serves as the investment adviser of PNNT, PFLT, PEIF and the Existing Affiliated Funds, as applicable, and either it or another Adviser will serve as the investment adviser to any Future Regulated Fund. PPIA is a Delaware limited liability company and is a registered investment adviser with the Commission under the Advisers Act. On the date of this Application, PPIA’s sole clients that intend to rely on the Order are PNNT, PFLT, PEIF, and the Existing Affiliated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120" w:hanging="424"/>
        <w:spacing w:after="0" w:line="208" w:lineRule="auto"/>
        <w:tabs>
          <w:tab w:leader="none" w:pos="424"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future, the Affiliated Fund may register as a closed-end management investment company under the 1940 Act and, if so registered, will be considered a Regulated Fund for purposes of this application.</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6" w:name="page7"/>
    <w:bookmarkEnd w:id="6"/>
    <w:p>
      <w:pPr>
        <w:ind w:left="964" w:hanging="532"/>
        <w:spacing w:after="0"/>
        <w:tabs>
          <w:tab w:leader="none" w:pos="9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PPIFA</w:t>
      </w:r>
    </w:p>
    <w:p>
      <w:pPr>
        <w:spacing w:after="0" w:line="117" w:lineRule="exact"/>
        <w:rPr>
          <w:sz w:val="20"/>
          <w:szCs w:val="20"/>
          <w:color w:val="auto"/>
        </w:rPr>
      </w:pPr>
    </w:p>
    <w:p>
      <w:pPr>
        <w:ind w:left="4" w:right="440"/>
        <w:spacing w:after="0" w:line="289" w:lineRule="auto"/>
        <w:rPr>
          <w:sz w:val="20"/>
          <w:szCs w:val="20"/>
          <w:color w:val="auto"/>
        </w:rPr>
      </w:pPr>
      <w:r>
        <w:rPr>
          <w:rFonts w:ascii="Times New Roman" w:cs="Times New Roman" w:eastAsia="Times New Roman" w:hAnsi="Times New Roman"/>
          <w:sz w:val="17"/>
          <w:szCs w:val="17"/>
          <w:color w:val="auto"/>
        </w:rPr>
        <w:t>PPIFA is a wholly-owned subsidiary of PPIA. PPIFA serves as the investment adviser of PPIF and either it or another Adviser will serve as the investment adviser to any Future Regulated Fund. Each of PPIA and PPIFA is a Delaware limited liability company and is a registered investment adviser with the Commission under the Advisers Act. On the date of this Application, PPIFA’s sole client that intends to rely on the Order is PPIF.</w:t>
      </w:r>
    </w:p>
    <w:p>
      <w:pPr>
        <w:spacing w:after="0" w:line="30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III.</w:t>
        <w:tab/>
        <w:t>ORDER REQUESTED</w:t>
      </w:r>
    </w:p>
    <w:p>
      <w:pPr>
        <w:spacing w:after="0" w:line="12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Applicants request an Order of the Commission under Sections 17(d) and 57(i) of the 1940 Act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each Regulated Fund to be able to participate with one or more Affiliated Entities in Co-Investment Transactions otherwise prohibited by Sections 17(d) and 57(a)(4) of the 1940 Act and Rule 17d-1 thereunder.</w:t>
      </w:r>
    </w:p>
    <w:p>
      <w:pPr>
        <w:spacing w:after="0" w:line="203" w:lineRule="exact"/>
        <w:rPr>
          <w:sz w:val="20"/>
          <w:szCs w:val="20"/>
          <w:color w:val="auto"/>
        </w:rPr>
      </w:pPr>
    </w:p>
    <w:p>
      <w:pPr>
        <w:ind w:left="964" w:hanging="532"/>
        <w:spacing w:after="0"/>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117"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spacing w:after="0" w:line="180" w:lineRule="exact"/>
        <w:rPr>
          <w:sz w:val="20"/>
          <w:szCs w:val="20"/>
          <w:color w:val="auto"/>
        </w:rPr>
      </w:pPr>
    </w:p>
    <w:p>
      <w:pPr>
        <w:ind w:left="4" w:right="100"/>
        <w:spacing w:after="0" w:line="224" w:lineRule="auto"/>
        <w:rPr>
          <w:sz w:val="20"/>
          <w:szCs w:val="20"/>
          <w:color w:val="auto"/>
        </w:rPr>
      </w:pPr>
      <w:r>
        <w:rPr>
          <w:rFonts w:ascii="Times New Roman" w:cs="Times New Roman" w:eastAsia="Times New Roman" w:hAnsi="Times New Roman"/>
          <w:sz w:val="18"/>
          <w:szCs w:val="18"/>
          <w:color w:val="auto"/>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in which the fund is a participant without first obtaining an order from the SEC.</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57(a)(4), in relevant part, prohibits any person related to a business development company in the manner described in Section 57(b), acting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from knowingly effecting any transaction in which the business development company is a joint or a joint and several participant with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persons in contravention of such rules as the Commission may prescribe for the purpose of limiting or preventing participation by the business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development company on a basis less advantageous than that of such person. Section 57(i) provides that, until the SEC prescribes rules under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57(a), the SEC’s rules under Section 17(d) applicable to registered closed-end investment companies will be deemed to apply to persons subject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prohibitions of Section 57(a). Because the SEC has not adopted any rules under Section 57(a), Rule 17d-1 applies to persons subject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prohibitions of Section 57(a).</w:t>
      </w:r>
    </w:p>
    <w:p>
      <w:pPr>
        <w:spacing w:after="0" w:line="207"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80" w:hanging="424"/>
        <w:spacing w:after="0" w:line="227" w:lineRule="auto"/>
        <w:tabs>
          <w:tab w:leader="none" w:pos="424"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7" w:name="page8"/>
    <w:bookmarkEnd w:id="7"/>
    <w:p>
      <w:pPr>
        <w:ind w:left="964" w:hanging="532"/>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Need for Relief</w:t>
      </w:r>
    </w:p>
    <w:p>
      <w:pPr>
        <w:spacing w:after="0" w:line="11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 closed-end fund or a business development company, respectively, including a sub-adviser. Thus, an Adviser and any Affiliated Entities that it advises could be deemed to be persons related to Regulated Funds in a manner described by Sections 17(d) and 57(b). With respect to PPIA, PPIFA and any other Advisers that are deemed to be affiliated persons of PPIA or PPIFA, Affiliated Entities advised by any of them could be deemed to be persons related to Regulated Funds (or a company controlled by a Regulated Fund) in a manner described by Sections 17(d) and 57(b). In addition, any entities or accounts controlled by or under common control with PPIA, PPIFA,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spacing w:after="0" w:line="219" w:lineRule="exact"/>
        <w:rPr>
          <w:sz w:val="20"/>
          <w:szCs w:val="20"/>
          <w:color w:val="auto"/>
        </w:rPr>
      </w:pPr>
    </w:p>
    <w:p>
      <w:pPr>
        <w:ind w:left="964" w:hanging="532"/>
        <w:spacing w:after="0"/>
        <w:tabs>
          <w:tab w:leader="none" w:pos="9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will be subject to the following Conditions.</w:t>
      </w:r>
    </w:p>
    <w:p>
      <w:pPr>
        <w:spacing w:after="0" w:line="225" w:lineRule="exact"/>
        <w:rPr>
          <w:sz w:val="20"/>
          <w:szCs w:val="20"/>
          <w:color w:val="auto"/>
        </w:rPr>
      </w:pPr>
    </w:p>
    <w:p>
      <w:pPr>
        <w:ind w:left="4" w:right="40" w:firstLine="436"/>
        <w:spacing w:after="0" w:line="260" w:lineRule="auto"/>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w:t>
      </w:r>
      <w:r>
        <w:rPr>
          <w:rFonts w:ascii="Times New Roman" w:cs="Times New Roman" w:eastAsia="Times New Roman" w:hAnsi="Times New Roman"/>
          <w:sz w:val="18"/>
          <w:szCs w:val="18"/>
          <w:color w:val="auto"/>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cs="Times New Roman" w:eastAsia="Times New Roman" w:hAnsi="Times New Roman"/>
          <w:sz w:val="26"/>
          <w:szCs w:val="26"/>
          <w:color w:val="auto"/>
          <w:vertAlign w:val="superscript"/>
        </w:rPr>
        <w:t>12</w:t>
      </w:r>
    </w:p>
    <w:p>
      <w:pPr>
        <w:spacing w:after="0" w:line="58" w:lineRule="exact"/>
        <w:rPr>
          <w:rFonts w:ascii="Times New Roman" w:cs="Times New Roman" w:eastAsia="Times New Roman" w:hAnsi="Times New Roman"/>
          <w:sz w:val="18"/>
          <w:szCs w:val="18"/>
          <w:color w:val="auto"/>
        </w:rPr>
      </w:pPr>
    </w:p>
    <w:p>
      <w:pPr>
        <w:ind w:left="4" w:right="160" w:firstLine="436"/>
        <w:spacing w:after="0" w:line="216" w:lineRule="auto"/>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Investments in the Issuer</w:t>
      </w:r>
      <w:r>
        <w:rPr>
          <w:rFonts w:ascii="Times New Roman" w:cs="Times New Roman" w:eastAsia="Times New Roman" w:hAnsi="Times New Roman"/>
          <w:sz w:val="18"/>
          <w:szCs w:val="18"/>
          <w:color w:val="auto"/>
        </w:rPr>
        <w:t>. Prior to a Regulated Fund acquiring in a Co-Investment Transaction a security of an issuer in which an Affiliated Entity has an existing interest in such issuer, the “required majority,” as defined in Section 57(o) of the 1940 Act,</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of the Regulated Fund (“</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will take the steps set forth in Section 57(f) of the 1940 Act,</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unless: (i) the Regulated Fund already holds the same security as each such Affiliated Entity; and (ii) the Regulated Fund and each other Affiliated Entity holding the security is participating in the acquisition in approximate proportion to its then-current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2" w:lineRule="exact"/>
        <w:rPr>
          <w:sz w:val="20"/>
          <w:szCs w:val="20"/>
          <w:color w:val="auto"/>
        </w:rPr>
      </w:pPr>
    </w:p>
    <w:p>
      <w:pPr>
        <w:ind w:left="424" w:right="260" w:hanging="424"/>
        <w:spacing w:after="0" w:line="208" w:lineRule="auto"/>
        <w:tabs>
          <w:tab w:leader="none" w:pos="424"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Such a Board can also, consistent with applicable fund documents, facilitate this opportunity by delegating the authority to veto the selection of such person to a committee of the Board.</w:t>
      </w:r>
    </w:p>
    <w:p>
      <w:pPr>
        <w:spacing w:after="0" w:line="1" w:lineRule="exact"/>
        <w:rPr>
          <w:rFonts w:ascii="Times New Roman" w:cs="Times New Roman" w:eastAsia="Times New Roman" w:hAnsi="Times New Roman"/>
          <w:sz w:val="27"/>
          <w:szCs w:val="27"/>
          <w:color w:val="auto"/>
          <w:vertAlign w:val="superscript"/>
        </w:rPr>
      </w:pPr>
    </w:p>
    <w:p>
      <w:pPr>
        <w:ind w:left="424" w:right="120" w:hanging="424"/>
        <w:spacing w:after="0" w:line="222" w:lineRule="auto"/>
        <w:tabs>
          <w:tab w:leader="none" w:pos="424"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231" w:lineRule="auto"/>
        <w:tabs>
          <w:tab w:leader="none" w:pos="424"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8" w:name="page9"/>
    <w:bookmarkEnd w:id="8"/>
    <w:p>
      <w:pPr>
        <w:jc w:val="both"/>
        <w:ind w:left="4" w:right="80" w:firstLine="436"/>
        <w:spacing w:after="0" w:line="277" w:lineRule="auto"/>
        <w:tabs>
          <w:tab w:leader="none" w:pos="6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Expenses</w:t>
      </w:r>
      <w:r>
        <w:rPr>
          <w:rFonts w:ascii="Times New Roman" w:cs="Times New Roman" w:eastAsia="Times New Roman" w:hAnsi="Times New Roman"/>
          <w:sz w:val="18"/>
          <w:szCs w:val="18"/>
          <w:color w:val="auto"/>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w:t>
      </w:r>
      <w:r>
        <w:rPr>
          <w:rFonts w:ascii="Times New Roman" w:cs="Times New Roman" w:eastAsia="Times New Roman" w:hAnsi="Times New Roman"/>
          <w:sz w:val="26"/>
          <w:szCs w:val="26"/>
          <w:color w:val="auto"/>
          <w:vertAlign w:val="superscript"/>
        </w:rPr>
        <w:t>15</w:t>
      </w:r>
    </w:p>
    <w:p>
      <w:pPr>
        <w:ind w:left="624" w:hanging="184"/>
        <w:spacing w:after="0"/>
        <w:tabs>
          <w:tab w:leader="none" w:pos="6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Remuneration</w:t>
      </w:r>
      <w:r>
        <w:rPr>
          <w:rFonts w:ascii="Times New Roman" w:cs="Times New Roman" w:eastAsia="Times New Roman" w:hAnsi="Times New Roman"/>
          <w:sz w:val="18"/>
          <w:szCs w:val="18"/>
          <w:color w:val="auto"/>
        </w:rPr>
        <w:t>. Any transaction fee</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 xml:space="preserve"> (including break-up, structuring, monitoring or commitment fees but excluding broker’s fees</w:t>
      </w: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spacing w:after="0" w:line="191" w:lineRule="exact"/>
        <w:rPr>
          <w:rFonts w:ascii="Times New Roman" w:cs="Times New Roman" w:eastAsia="Times New Roman" w:hAnsi="Times New Roman"/>
          <w:sz w:val="18"/>
          <w:szCs w:val="18"/>
          <w:color w:val="auto"/>
        </w:rPr>
      </w:pPr>
    </w:p>
    <w:p>
      <w:pPr>
        <w:ind w:left="4" w:right="160" w:firstLine="436"/>
        <w:spacing w:after="0" w:line="265" w:lineRule="auto"/>
        <w:tabs>
          <w:tab w:leader="none" w:pos="6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cs="Times New Roman" w:eastAsia="Times New Roman" w:hAnsi="Times New Roman"/>
          <w:sz w:val="18"/>
          <w:szCs w:val="18"/>
          <w:b w:val="1"/>
          <w:bCs w:val="1"/>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provide its Co-Investment Policies to the Regulated Funds and will notify the Regulated Funds of any material changes thereto.</w:t>
      </w:r>
      <w:r>
        <w:rPr>
          <w:rFonts w:ascii="Times New Roman" w:cs="Times New Roman" w:eastAsia="Times New Roman" w:hAnsi="Times New Roman"/>
          <w:sz w:val="26"/>
          <w:szCs w:val="26"/>
          <w:color w:val="auto"/>
          <w:vertAlign w:val="superscript"/>
        </w:rPr>
        <w:t>17</w:t>
      </w:r>
    </w:p>
    <w:p>
      <w:pPr>
        <w:spacing w:after="0" w:line="5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36"/>
        <w:spacing w:after="0" w:line="224" w:lineRule="auto"/>
        <w:tabs>
          <w:tab w:leader="none" w:pos="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spacing w:after="0" w:line="198" w:lineRule="exact"/>
        <w:rPr>
          <w:rFonts w:ascii="Times New Roman" w:cs="Times New Roman" w:eastAsia="Times New Roman" w:hAnsi="Times New Roman"/>
          <w:sz w:val="18"/>
          <w:szCs w:val="18"/>
          <w:color w:val="auto"/>
        </w:rPr>
      </w:pPr>
    </w:p>
    <w:p>
      <w:pPr>
        <w:jc w:val="both"/>
        <w:ind w:left="4" w:right="20" w:firstLine="436"/>
        <w:spacing w:after="0" w:line="277" w:lineRule="auto"/>
        <w:tabs>
          <w:tab w:leader="none" w:pos="6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cs="Times New Roman" w:eastAsia="Times New Roman" w:hAnsi="Times New Roman"/>
          <w:sz w:val="26"/>
          <w:szCs w:val="26"/>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320" w:hanging="424"/>
        <w:spacing w:after="0" w:line="208" w:lineRule="auto"/>
        <w:tabs>
          <w:tab w:leader="none" w:pos="424"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Expenses of an individual Participant that are incurred solely by the Participant due to its unique circumstances (such as legal and compliance expenses) will be borne by such Participant.</w:t>
      </w:r>
    </w:p>
    <w:p>
      <w:pPr>
        <w:spacing w:after="0" w:line="1" w:lineRule="exact"/>
        <w:rPr>
          <w:rFonts w:ascii="Times New Roman" w:cs="Times New Roman" w:eastAsia="Times New Roman" w:hAnsi="Times New Roman"/>
          <w:sz w:val="27"/>
          <w:szCs w:val="27"/>
          <w:color w:val="auto"/>
          <w:vertAlign w:val="superscript"/>
        </w:rPr>
      </w:pPr>
    </w:p>
    <w:p>
      <w:pPr>
        <w:ind w:left="424" w:right="100" w:hanging="424"/>
        <w:spacing w:after="0" w:line="200" w:lineRule="auto"/>
        <w:tabs>
          <w:tab w:leader="none" w:pos="424"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ind w:left="424" w:hanging="424"/>
        <w:spacing w:after="0" w:line="180" w:lineRule="auto"/>
        <w:tabs>
          <w:tab w:leader="none" w:pos="424"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Affiliated Entities may adopt shared Co-Investment Allocation Policies.</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Disposition</w:t>
      </w:r>
      <w:r>
        <w:rPr>
          <w:rFonts w:ascii="Times New Roman" w:cs="Times New Roman" w:eastAsia="Times New Roman" w:hAnsi="Times New Roman"/>
          <w:sz w:val="16"/>
          <w:szCs w:val="16"/>
          <w:color w:val="auto"/>
        </w:rPr>
        <w:t>” means the sale, exchange, transfer or other disposition of an interest in a security of an issuer.</w:t>
      </w:r>
    </w:p>
    <w:p>
      <w:pPr>
        <w:spacing w:after="0" w:line="2" w:lineRule="exact"/>
        <w:rPr>
          <w:rFonts w:ascii="Times New Roman" w:cs="Times New Roman" w:eastAsia="Times New Roman" w:hAnsi="Times New Roman"/>
          <w:sz w:val="24"/>
          <w:szCs w:val="24"/>
          <w:color w:val="auto"/>
          <w:vertAlign w:val="superscript"/>
        </w:rPr>
      </w:pPr>
    </w:p>
    <w:p>
      <w:pPr>
        <w:ind w:left="424" w:right="40" w:hanging="424"/>
        <w:spacing w:after="0" w:line="222" w:lineRule="auto"/>
        <w:tabs>
          <w:tab w:leader="none" w:pos="424" w:val="left"/>
        </w:tabs>
        <w:numPr>
          <w:ilvl w:val="0"/>
          <w:numId w:val="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spacing w:after="0" w:line="1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9" w:name="page10"/>
    <w:bookmarkEnd w:id="9"/>
    <w:p>
      <w:pPr>
        <w:ind w:left="964" w:hanging="532"/>
        <w:spacing w:after="0"/>
        <w:tabs>
          <w:tab w:leader="none" w:pos="9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Oversight</w:t>
      </w:r>
    </w:p>
    <w:p>
      <w:pPr>
        <w:spacing w:after="0" w:line="131" w:lineRule="exact"/>
        <w:rPr>
          <w:sz w:val="20"/>
          <w:szCs w:val="20"/>
          <w:color w:val="auto"/>
        </w:rPr>
      </w:pPr>
    </w:p>
    <w:p>
      <w:pPr>
        <w:ind w:left="964" w:right="420" w:hanging="532"/>
        <w:spacing w:after="0" w:line="282" w:lineRule="auto"/>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directors will oversee the Regulated Fund’s participation in the co-investment program in the exercise of their reasonable business judgment.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Regulated Fund’s participation in Co-Investment Transactions, the Regulated Fund’s Board, including a Required Majority, will:</w:t>
      </w:r>
    </w:p>
    <w:p>
      <w:pPr>
        <w:spacing w:after="0" w:line="27" w:lineRule="exact"/>
        <w:rPr>
          <w:rFonts w:ascii="Times New Roman" w:cs="Times New Roman" w:eastAsia="Times New Roman" w:hAnsi="Times New Roman"/>
          <w:sz w:val="18"/>
          <w:szCs w:val="18"/>
          <w:color w:val="auto"/>
        </w:rPr>
      </w:pPr>
    </w:p>
    <w:p>
      <w:pPr>
        <w:jc w:val="both"/>
        <w:ind w:left="96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spacing w:after="0" w:line="91"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spacing w:after="0" w:line="85"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spacing w:after="0" w:line="81" w:lineRule="exact"/>
        <w:rPr>
          <w:rFonts w:ascii="Times New Roman" w:cs="Times New Roman" w:eastAsia="Times New Roman" w:hAnsi="Times New Roman"/>
          <w:sz w:val="18"/>
          <w:szCs w:val="18"/>
          <w:color w:val="auto"/>
        </w:rPr>
      </w:pPr>
    </w:p>
    <w:p>
      <w:pPr>
        <w:ind w:left="964" w:right="120" w:hanging="532"/>
        <w:spacing w:after="0" w:line="266" w:lineRule="auto"/>
        <w:tabs>
          <w:tab w:leader="none" w:pos="9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spacing w:after="0" w:line="176" w:lineRule="exact"/>
        <w:rPr>
          <w:sz w:val="20"/>
          <w:szCs w:val="20"/>
          <w:color w:val="auto"/>
        </w:rPr>
      </w:pPr>
    </w:p>
    <w:p>
      <w:pPr>
        <w:ind w:left="4" w:right="320" w:firstLine="436"/>
        <w:spacing w:after="0" w:line="269" w:lineRule="auto"/>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Recordkeeping</w:t>
      </w:r>
      <w:r>
        <w:rPr>
          <w:rFonts w:ascii="Times New Roman" w:cs="Times New Roman" w:eastAsia="Times New Roman" w:hAnsi="Times New Roman"/>
          <w:sz w:val="18"/>
          <w:szCs w:val="18"/>
          <w:color w:val="auto"/>
        </w:rPr>
        <w:t>. All information presented to the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cs="Times New Roman" w:eastAsia="Times New Roman" w:hAnsi="Times New Roman"/>
          <w:sz w:val="26"/>
          <w:szCs w:val="26"/>
          <w:color w:val="auto"/>
          <w:vertAlign w:val="superscript"/>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 w:lineRule="exact"/>
        <w:rPr>
          <w:sz w:val="20"/>
          <w:szCs w:val="20"/>
          <w:color w:val="auto"/>
        </w:rPr>
      </w:pPr>
    </w:p>
    <w:p>
      <w:pPr>
        <w:ind w:left="424" w:right="60" w:hanging="424"/>
        <w:spacing w:after="0" w:line="220" w:lineRule="auto"/>
        <w:tabs>
          <w:tab w:leader="none" w:pos="424"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0" w:name="page11"/>
    <w:bookmarkEnd w:id="10"/>
    <w:p>
      <w:pPr>
        <w:ind w:left="4" w:right="260" w:firstLine="987"/>
        <w:spacing w:after="0" w:line="282" w:lineRule="auto"/>
        <w:tabs>
          <w:tab w:leader="none" w:pos="11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Commission adopts a rule under the 1940 Act allowing co-investments of the type described in this Application, any relief granted by the Order will expire on the effective date of that rule.</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STATEMENT IN SUPPORT OF RELIEF REQUESTED</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spacing w:after="0" w:line="189" w:lineRule="exact"/>
        <w:rPr>
          <w:sz w:val="20"/>
          <w:szCs w:val="20"/>
          <w:color w:val="auto"/>
        </w:rPr>
      </w:pPr>
    </w:p>
    <w:p>
      <w:pPr>
        <w:ind w:left="964" w:hanging="532"/>
        <w:spacing w:after="0"/>
        <w:tabs>
          <w:tab w:leader="none" w:pos="9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Benefits to the Regulated Funds and their Shareholders</w:t>
      </w:r>
    </w:p>
    <w:p>
      <w:pPr>
        <w:spacing w:after="0" w:line="11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spacing w:after="0" w:line="219" w:lineRule="exact"/>
        <w:rPr>
          <w:sz w:val="20"/>
          <w:szCs w:val="20"/>
          <w:color w:val="auto"/>
        </w:rPr>
      </w:pPr>
    </w:p>
    <w:p>
      <w:pPr>
        <w:ind w:left="964" w:hanging="532"/>
        <w:spacing w:after="0"/>
        <w:tabs>
          <w:tab w:leader="none" w:pos="9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Protections</w:t>
      </w:r>
    </w:p>
    <w:p>
      <w:pPr>
        <w:spacing w:after="0" w:line="117"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spacing w:after="0" w:line="336"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PRECEDENTS</w:t>
      </w:r>
    </w:p>
    <w:p>
      <w:pPr>
        <w:spacing w:after="0" w:line="121" w:lineRule="exact"/>
        <w:rPr>
          <w:sz w:val="20"/>
          <w:szCs w:val="20"/>
          <w:color w:val="auto"/>
        </w:rPr>
      </w:pPr>
    </w:p>
    <w:p>
      <w:pPr>
        <w:ind w:left="4" w:right="320"/>
        <w:spacing w:after="0" w:line="230" w:lineRule="auto"/>
        <w:rPr>
          <w:sz w:val="20"/>
          <w:szCs w:val="20"/>
          <w:color w:val="auto"/>
        </w:rPr>
      </w:pPr>
      <w:r>
        <w:rPr>
          <w:rFonts w:ascii="Times New Roman" w:cs="Times New Roman" w:eastAsia="Times New Roman" w:hAnsi="Times New Roman"/>
          <w:sz w:val="18"/>
          <w:szCs w:val="18"/>
          <w:color w:val="auto"/>
        </w:rPr>
        <w:t>The Commission has previously issued orders permitting certain investment companies subject to regulation under the 1940 Act and their affiliated persons to be able to participate in Co-Investment Transactions (the “</w:t>
      </w:r>
      <w:r>
        <w:rPr>
          <w:rFonts w:ascii="Times New Roman" w:cs="Times New Roman" w:eastAsia="Times New Roman" w:hAnsi="Times New Roman"/>
          <w:sz w:val="18"/>
          <w:szCs w:val="18"/>
          <w:b w:val="1"/>
          <w:bCs w:val="1"/>
          <w:i w:val="1"/>
          <w:iCs w:val="1"/>
          <w:color w:val="auto"/>
        </w:rPr>
        <w:t>Existing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21</w:t>
      </w:r>
      <w:r>
        <w:rPr>
          <w:rFonts w:ascii="Times New Roman" w:cs="Times New Roman" w:eastAsia="Times New Roman" w:hAnsi="Times New Roman"/>
          <w:sz w:val="18"/>
          <w:szCs w:val="18"/>
          <w:color w:val="auto"/>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424" w:right="40" w:hanging="424"/>
        <w:spacing w:after="0" w:line="231" w:lineRule="auto"/>
        <w:tabs>
          <w:tab w:leader="none" w:pos="424" w:val="left"/>
        </w:tabs>
        <w:numPr>
          <w:ilvl w:val="0"/>
          <w:numId w:val="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 xml:space="preserve">See, e.g., </w:t>
      </w:r>
      <w:r>
        <w:rPr>
          <w:rFonts w:ascii="Times New Roman" w:cs="Times New Roman" w:eastAsia="Times New Roman" w:hAnsi="Times New Roman"/>
          <w:sz w:val="18"/>
          <w:szCs w:val="18"/>
          <w:color w:val="auto"/>
        </w:rPr>
        <w:t>FS Credit Opportunities Corp., et al. (File No. 812-15706), Release No. IC-35520 (April 3, 2025) (notice), Release No. IC-35561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29, 2025) (order); Sixth Street Specialty Lending, Inc. et al. (File No. 812-15729), Release No. IC-35531 (April 10, 2025) (notice), Release No. IC-35570 (May 6, 2025) (order); Blue Owl Capital Corporation, et al. (File No. 812-15715), Release No. IC-35530 (April 9, 2025) (notice), Release No. IC-35573 (May 6, 2025) (order); BlackRock Growth Equity Fund LP, et al. (File No. 812-15712), Release No. IC-35525 (April 8, 2025) (notice), Release No. IC-35572 (May 6, 2025) (order).</w:t>
      </w:r>
    </w:p>
    <w:p>
      <w:pPr>
        <w:spacing w:after="0" w:line="1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1" w:name="page12"/>
    <w:bookmarkEnd w:id="1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w:t>
      </w:r>
      <w:r>
        <w:rPr>
          <w:sz w:val="20"/>
          <w:szCs w:val="20"/>
          <w:color w:val="auto"/>
        </w:rPr>
        <w:tab/>
      </w:r>
      <w:r>
        <w:rPr>
          <w:rFonts w:ascii="Times New Roman" w:cs="Times New Roman" w:eastAsia="Times New Roman" w:hAnsi="Times New Roman"/>
          <w:sz w:val="17"/>
          <w:szCs w:val="17"/>
          <w:b w:val="1"/>
          <w:bCs w:val="1"/>
          <w:color w:val="auto"/>
        </w:rPr>
        <w:t>PROCEDURAL MATTERS</w:t>
      </w:r>
    </w:p>
    <w:p>
      <w:pPr>
        <w:spacing w:after="0" w:line="135" w:lineRule="exact"/>
        <w:rPr>
          <w:sz w:val="20"/>
          <w:szCs w:val="20"/>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the Notice and the Order to:</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1691 Michigan Avenue, Suite 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Miami Beach, FL 33139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(212) 905-1000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the Order to:</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Thomas J. Friedman, Esq.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Paul S. Stevens, Esq.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International Place,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40th Floor, 100 Oliver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 02110-2605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728-7120</w:t>
      </w:r>
    </w:p>
    <w:p>
      <w:pPr>
        <w:spacing w:after="0" w:line="112" w:lineRule="exact"/>
        <w:rPr>
          <w:sz w:val="20"/>
          <w:szCs w:val="20"/>
          <w:color w:val="auto"/>
        </w:rPr>
      </w:pPr>
    </w:p>
    <w:p>
      <w:pPr>
        <w:ind w:left="960" w:hanging="53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Authorizations</w:t>
      </w:r>
    </w:p>
    <w:p>
      <w:pPr>
        <w:spacing w:after="0" w:line="11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filing of this Application for the Order sought hereby and the taking of all acts reasonably necessary to obtain the relief requested herein was authorized by the Board of each Existing Regulated Fund pursuant to resolutions duly adopted by the Board. Copies of the resolutions are provided below.</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Rule 0-2(c), Applicants hereby state that each Existing Regulated Fund and Existing Affiliated Fund have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Applicants have caused this Application to be duly signed on their behalf on the 4th day of May,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2" w:name="page13"/>
    <w:bookmarkEnd w:id="12"/>
    <w:p>
      <w:pPr>
        <w:ind w:left="5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FLOATING RATE CAPITAL LTD.</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PRIVATE INCOME FUND</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ENHANCED INCOME FUND</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PRIVATE INCOME FUND</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ADVISERS LLC</w:t>
      </w:r>
    </w:p>
    <w:p>
      <w:pPr>
        <w:spacing w:after="0" w:line="207"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PNNT INVESTMENT HOLDINGS, LLC</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PNNT INVESTMENT HOLDINGS II, LLC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PFLT INVESTMENT HOLDINGS, LLC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PFLT INVESTMENT HOLDINGS II, LLC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FLOATING RATE FUNDING I, LLC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b w:val="1"/>
          <w:bCs w:val="1"/>
          <w:color w:val="auto"/>
        </w:rPr>
        <w:t>PENNANTPARK FLOATING RATE FUNDING II, LLC</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CLO I, LTD.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CLO II, LTD.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CLO VIII, LLC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PENNANTPARK CLO 11, LLC</w:t>
      </w:r>
    </w:p>
    <w:p>
      <w:pPr>
        <w:spacing w:after="0" w:line="220"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205"/>
        </w:trPr>
        <w:tc>
          <w:tcPr>
            <w:tcW w:w="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Arthur H. Penn</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20"/>
          </w:cols>
          <w:pgMar w:left="1440" w:top="266" w:right="43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SENIOR LOAN FUND,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administrative agent</w:t>
      </w:r>
    </w:p>
    <w:p>
      <w:pPr>
        <w:spacing w:after="0" w:line="220"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2028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SECURED LOAN FUND 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administrative agent</w:t>
      </w:r>
    </w:p>
    <w:p>
      <w:pPr>
        <w:spacing w:after="0" w:line="220"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2028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SECURED LOAN FUND II</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administrative agent</w:t>
      </w:r>
    </w:p>
    <w:p>
      <w:pPr>
        <w:spacing w:after="0" w:line="220"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2028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II,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III,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IV AGGREGATOR,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PENNANTPARK CAPITAL LIQUIDITY SOLUTIONS,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PENNANTPARK SENIOR CREDIT FUND LEVERED,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AGGREGATOR, LP, LEVERED 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AGGREGATOR, LP, UNLEVERED 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LUXEMBOURG UNLEVERED MASTER FUND SCSP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SICAV-RAIF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BERKELEY ROAD WC FUNDING SPV 2,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SP CREDIT ACQUISITIONS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SMA,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TPDS I PLATINUM HOLDINGS LP</w:t>
      </w:r>
    </w:p>
    <w:p>
      <w:pPr>
        <w:spacing w:after="0" w:line="1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80"/>
          </w:cols>
          <w:pgMar w:left="1440" w:top="266" w:right="479" w:bottom="1440" w:gutter="0" w:footer="0" w:header="0"/>
        </w:sectPr>
      </w:pPr>
    </w:p>
    <w:bookmarkStart w:id="14" w:name="page15"/>
    <w:bookmarkEnd w:id="14"/>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jc w:val="both"/>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019"/>
          </w:cols>
          <w:pgMar w:left="1440" w:top="4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VERIFICATION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Investment Corporation, that he is the Chief Executive Officer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Floating Rate Capital Ltd., that he is the Chief Executive Officer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Private Income Fund, that he is the Chief Executive Officer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PRIVATE INCOME FUND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Enhanced Income Fund, that he is the Chief Executive Officer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16" w:name="page17"/>
    <w:bookmarkEnd w:id="16"/>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ENHANCED INCOME FUND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Investment Advisers, LLC, that he is the Managing Member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PennantPark Private Income Fund Advisers LLC, that he is the Managing Member of such entity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PRIVATE INCOME FUND</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ADVISERS LLC</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the following Applicants, that he is the Authorized Signatory of such entities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PNNT INVESTMENT HOLDINGS,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PNNT INVESTMENT HOLDINGS II,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PFLT INVESTMENT HOLDINGS,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PFLT INVESTMENT HOLDINGS II,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PENNANTPARK FLOATING RATE FUNDING I, LLC</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FLOATING RATE FUNDING 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I, LTD.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II, LTD.</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66" w:right="499" w:bottom="1440" w:gutter="0" w:footer="0" w:header="0"/>
        </w:sectPr>
      </w:pPr>
    </w:p>
    <w:bookmarkStart w:id="17" w:name="page18"/>
    <w:bookmarkEnd w:id="17"/>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CLO VIII,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CLO 11, LLC</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the following Applicants, that he is the Authorized Signatory of such entities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LOAN FUND,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its administrative agent</w:t>
      </w:r>
    </w:p>
    <w:p>
      <w:pPr>
        <w:spacing w:after="0" w:line="220"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17145</wp:posOffset>
            </wp:positionV>
            <wp:extent cx="22028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PENNANTPARK SENIOR SECURED LOAN FUND I</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its administrative agent</w:t>
      </w:r>
    </w:p>
    <w:p>
      <w:pPr>
        <w:spacing w:after="0" w:line="220"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17145</wp:posOffset>
            </wp:positionV>
            <wp:extent cx="2202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PENNANTPARK SENIOR SECURED LOAN FUND II</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Investment Administration, LLC,</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its administrative agent</w:t>
      </w:r>
    </w:p>
    <w:p>
      <w:pPr>
        <w:spacing w:after="0" w:line="220"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17145</wp:posOffset>
            </wp:positionV>
            <wp:extent cx="22028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VERIFICATION</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foregoing Application for and on behalf of the following Applicants, that he is the Authorized Signatory of such entities and that all action by officers, directors, and other bodies necessary to authorize deponent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509" w:right="53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PENNANTPARK CREDIT OPPORTUNITIES FUND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II,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III,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CREDIT OPPORTUNITIES FUND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IV AGGREGATOR,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PENNANTPARK CAPITAL LIQUIDITY SOLUTIONS,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PENNANTPARK SENIOR CREDIT FUND LEVERED,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AGGREGATOR, LP, LEVERED 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AGGREGATOR, LP, UNLEVERED 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II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LUXEMBOURG UNLEVERED MASTER FUND SCSP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SICAV-RAIF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BERKELEY ROAD WC FUNDING SPV 2,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SP CREDIT ACQUISITIONS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SENIOR CREDIT FUND SMA,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TPDS I PLATINUM HOLDINGS LP</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80"/>
          </w:cols>
          <w:pgMar w:left="1440" w:top="266" w:right="479" w:bottom="1440" w:gutter="0" w:footer="0" w:header="0"/>
        </w:sectPr>
      </w:pPr>
    </w:p>
    <w:bookmarkStart w:id="19" w:name="page20"/>
    <w:bookmarkEnd w:id="19"/>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Wholly-Owned Subsidiary of PennantPark Investment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Investment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Investment Holdings II, LLC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Existing Wholly-Owned Subsidiaries of PennantPark Floating Rate Capital Ltd.: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PFLT Investment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PFLT Investment Holdings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VIII,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11, LLC</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19"/>
          </w:cols>
          <w:pgMar w:left="440" w:top="266" w:right="1440" w:bottom="1440" w:gutter="0" w:footer="0" w:header="0"/>
        </w:sectPr>
      </w:pPr>
    </w:p>
    <w:bookmarkStart w:id="20" w:name="page21"/>
    <w:bookmarkEnd w:id="20"/>
    <w:p>
      <w:pPr>
        <w:jc w:val="right"/>
        <w:ind w:right="40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Joint Venture of PennantPark Investment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Loan Fund, LLC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Joint Ventures of PennantPark Floating Rate Capital 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Secured Loan Fund II LLC</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19"/>
          </w:cols>
          <w:pgMar w:left="440" w:top="266" w:right="1440" w:bottom="1440" w:gutter="0" w:footer="0" w:header="0"/>
        </w:sectPr>
      </w:pPr>
    </w:p>
    <w:bookmarkStart w:id="21" w:name="page22"/>
    <w:bookmarkEnd w:id="21"/>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Affiliated Funds: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Credit Opportunities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Credit Opportunities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Credit Opportunities Fund IV Aggregator,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Capital Liquidity Solutions,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Levered,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Berkeley Road WC Funding SPV 2,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 Credit Acquisitions,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SMA,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TPDS I Platinum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II Aggregator, LP, Levered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II Aggregator, LP, Unlevered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PennantPark Senior Credit Fund II Luxembourg Unlevered Master Fund SCSp SICAV-RAIF</w:t>
      </w:r>
    </w:p>
    <w:p>
      <w:pPr>
        <w:spacing w:after="0" w:line="15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019"/>
          </w:cols>
          <w:pgMar w:left="440" w:top="266"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Resolutions of the Directors/Trustees of PennantPark Floating Rate Capital Ltd. (“PFLT”), PennantPark Investment Corporation (“PNNT”), PennantPark Private Income Fund (“PPIF”) and PennantPark Enhanced Income Fund (“PEIF”)</w:t>
      </w:r>
    </w:p>
    <w:p>
      <w:pPr>
        <w:spacing w:after="0" w:line="15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each of PFLT,PNNT, PPIF and PEIF deem it is advisable and in the best interest of the applicable Fund to 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SEC an application for an order pursuant to Sections 17(d) and 57(i) of the 1940 Act, and Rule 17d-l promulgated thereunder (the “Application”), to authorize the entering into of certain joint transactions that otherwise may be prohibited by Sections 17(d) and 57(a)(4) of the 1940 Act and Rule 17d-1 promulgated thereunder.</w:t>
      </w:r>
    </w:p>
    <w:p>
      <w:pPr>
        <w:spacing w:after="0" w:line="176"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officers of the Adviser and the Authorized Officers of each of PFLT, PNNT, PPIF and PEIF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of them hereby is, authorized and directed on behalf of the applicable Fund and in its name and on behalf of the applicable Fund, to prepare, execute, and cause to be filed with the SEC an Application for an Order of Exemption, substantially in the form presented to the Board of Directors/Trustees of each of PFLT,PNNT, PPIF and PEIF, and any amendments thereto, pursuant to Section 17(d) of the 1940 Act, and Rule 17d-1 promulgated under the 1940 Act, authorizing certain joint transactions that otherwise may be prohibited by Section 17(d) of the 1940 Act; and it is further</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applicable Fund be, and each of them hereby is, with respect to the applicable Fund, authorized and directed to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further action and execute such other documents as such officer or officers shall deem necessary or advisable in order to effectuate the intent of the foregoing resolution; and it is further</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any and all actions previously taken by the applicable Fund or any of its respective directors or officers in connection with the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foregoing resolutions be, and each of them hereby is, ratified, confirmed, approved and adopted in all respects as and for the acts and deeds of the applicable Fund.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617"/>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upperLetter"/>
      <w:start w:val="9"/>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bullet"/>
      <w:start w:val="1"/>
    </w:lvl>
  </w:abstractNum>
  <w:abstractNum w:abstractNumId="5">
    <w:nsid w:val="4353D0CD"/>
    <w:multiLevelType w:val="hybridMultilevel"/>
    <w:lvl w:ilvl="0">
      <w:lvlJc w:val="left"/>
      <w:lvlText w:val="2"/>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3"/>
      <w:numFmt w:val="bullet"/>
      <w:start w:val="1"/>
    </w:lvl>
  </w:abstractNum>
  <w:abstractNum w:abstractNumId="8">
    <w:nsid w:val="54E49EB4"/>
    <w:multiLevelType w:val="hybridMultilevel"/>
    <w:lvl w:ilvl="0">
      <w:lvlJc w:val="left"/>
      <w:lvlText w:val="4"/>
      <w:numFmt w:val="bullet"/>
      <w:start w:val="1"/>
    </w:lvl>
  </w:abstractNum>
  <w:abstractNum w:abstractNumId="9">
    <w:nsid w:val="71F32454"/>
    <w:multiLevelType w:val="hybridMultilevel"/>
    <w:lvl w:ilvl="0">
      <w:lvlJc w:val="left"/>
      <w:lvlText w:val="5"/>
      <w:numFmt w:val="bullet"/>
      <w:start w:val="1"/>
    </w:lvl>
  </w:abstractNum>
  <w:abstractNum w:abstractNumId="10">
    <w:nsid w:val="2CA88611"/>
    <w:multiLevelType w:val="hybridMultilevel"/>
    <w:lvl w:ilvl="0">
      <w:lvlJc w:val="left"/>
      <w:lvlText w:val="6"/>
      <w:numFmt w:val="bullet"/>
      <w:start w:val="1"/>
    </w:lvl>
  </w:abstractNum>
  <w:abstractNum w:abstractNumId="11">
    <w:nsid w:val="836C40E"/>
    <w:multiLevelType w:val="hybridMultilevel"/>
    <w:lvl w:ilvl="0">
      <w:lvlJc w:val="left"/>
      <w:lvlText w:val="7"/>
      <w:numFmt w:val="bullet"/>
      <w:start w:val="1"/>
    </w:lvl>
  </w:abstractNum>
  <w:abstractNum w:abstractNumId="12">
    <w:nsid w:val="2901D82"/>
    <w:multiLevelType w:val="hybridMultilevel"/>
    <w:lvl w:ilvl="0">
      <w:lvlJc w:val="left"/>
      <w:lvlText w:val="8"/>
      <w:numFmt w:val="bullet"/>
      <w:start w:val="1"/>
    </w:lvl>
  </w:abstractNum>
  <w:abstractNum w:abstractNumId="13">
    <w:nsid w:val="3A95F874"/>
    <w:multiLevelType w:val="hybridMultilevel"/>
    <w:lvl w:ilvl="0">
      <w:lvlJc w:val="left"/>
      <w:lvlText w:val="%1."/>
      <w:numFmt w:val="upperLetter"/>
      <w:start w:val="35"/>
    </w:lvl>
  </w:abstractNum>
  <w:abstractNum w:abstractNumId="14">
    <w:nsid w:val="8138641"/>
    <w:multiLevelType w:val="hybridMultilevel"/>
    <w:lvl w:ilvl="0">
      <w:lvlJc w:val="left"/>
      <w:lvlText w:val="%1."/>
      <w:numFmt w:val="upperLetter"/>
      <w:start w:val="1"/>
    </w:lvl>
  </w:abstractNum>
  <w:abstractNum w:abstractNumId="15">
    <w:nsid w:val="1E7FF521"/>
    <w:multiLevelType w:val="hybridMultilevel"/>
    <w:lvl w:ilvl="0">
      <w:lvlJc w:val="left"/>
      <w:lvlText w:val="%1."/>
      <w:numFmt w:val="upperLetter"/>
      <w:start w:val="2"/>
    </w:lvl>
  </w:abstractNum>
  <w:abstractNum w:abstractNumId="16">
    <w:nsid w:val="7C3DBD3D"/>
    <w:multiLevelType w:val="hybridMultilevel"/>
    <w:lvl w:ilvl="0">
      <w:lvlJc w:val="left"/>
      <w:lvlText w:val="%1."/>
      <w:numFmt w:val="upperLetter"/>
      <w:start w:val="3"/>
    </w:lvl>
  </w:abstractNum>
  <w:abstractNum w:abstractNumId="17">
    <w:nsid w:val="737B8DDC"/>
    <w:multiLevelType w:val="hybridMultilevel"/>
    <w:lvl w:ilvl="0">
      <w:lvlJc w:val="left"/>
      <w:lvlText w:val="9"/>
      <w:numFmt w:val="bullet"/>
      <w:start w:val="1"/>
    </w:lvl>
  </w:abstractNum>
  <w:abstractNum w:abstractNumId="18">
    <w:nsid w:val="6CEAF087"/>
    <w:multiLevelType w:val="hybridMultilevel"/>
    <w:lvl w:ilvl="0">
      <w:lvlJc w:val="left"/>
      <w:lvlText w:val="%1."/>
      <w:numFmt w:val="upperLetter"/>
      <w:start w:val="4"/>
    </w:lvl>
  </w:abstractNum>
  <w:abstractNum w:abstractNumId="19">
    <w:nsid w:val="22221A70"/>
    <w:multiLevelType w:val="hybridMultilevel"/>
    <w:lvl w:ilvl="0">
      <w:lvlJc w:val="left"/>
      <w:lvlText w:val="%1."/>
      <w:numFmt w:val="upperLetter"/>
      <w:start w:val="5"/>
    </w:lvl>
  </w:abstractNum>
  <w:abstractNum w:abstractNumId="20">
    <w:nsid w:val="4516DDE9"/>
    <w:multiLevelType w:val="hybridMultilevel"/>
    <w:lvl w:ilvl="0">
      <w:lvlJc w:val="left"/>
      <w:lvlText w:val="%1."/>
      <w:numFmt w:val="upperLetter"/>
      <w:start w:val="6"/>
    </w:lvl>
  </w:abstractNum>
  <w:abstractNum w:abstractNumId="21">
    <w:nsid w:val="3006C83E"/>
    <w:multiLevelType w:val="hybridMultilevel"/>
    <w:lvl w:ilvl="0">
      <w:lvlJc w:val="left"/>
      <w:lvlText w:val="%1."/>
      <w:numFmt w:val="upperLetter"/>
      <w:start w:val="7"/>
    </w:lvl>
  </w:abstractNum>
  <w:abstractNum w:abstractNumId="22">
    <w:nsid w:val="614FD4A1"/>
    <w:multiLevelType w:val="hybridMultilevel"/>
    <w:lvl w:ilvl="0">
      <w:lvlJc w:val="left"/>
      <w:lvlText w:val="%1."/>
      <w:numFmt w:val="upperLetter"/>
      <w:start w:val="8"/>
    </w:lvl>
  </w:abstractNum>
  <w:abstractNum w:abstractNumId="23">
    <w:nsid w:val="419AC241"/>
    <w:multiLevelType w:val="hybridMultilevel"/>
    <w:lvl w:ilvl="0">
      <w:lvlJc w:val="left"/>
      <w:lvlText w:val="%1"/>
      <w:numFmt w:val="decimal"/>
      <w:start w:val="10"/>
    </w:lvl>
  </w:abstractNum>
  <w:abstractNum w:abstractNumId="24">
    <w:nsid w:val="5577F8E1"/>
    <w:multiLevelType w:val="hybridMultilevel"/>
    <w:lvl w:ilvl="0">
      <w:lvlJc w:val="left"/>
      <w:lvlText w:val="%1."/>
      <w:numFmt w:val="upperLetter"/>
      <w:start w:val="9"/>
    </w:lvl>
  </w:abstractNum>
  <w:abstractNum w:abstractNumId="25">
    <w:nsid w:val="440BADFC"/>
    <w:multiLevelType w:val="hybridMultilevel"/>
    <w:lvl w:ilvl="0">
      <w:lvlJc w:val="left"/>
      <w:lvlText w:val="%1."/>
      <w:numFmt w:val="upperLetter"/>
      <w:start w:val="1"/>
    </w:lvl>
  </w:abstractNum>
  <w:abstractNum w:abstractNumId="26">
    <w:nsid w:val="5072367"/>
    <w:multiLevelType w:val="hybridMultilevel"/>
    <w:lvl w:ilvl="0">
      <w:lvlJc w:val="left"/>
      <w:lvlText w:val="%1"/>
      <w:numFmt w:val="decimal"/>
      <w:start w:val="11"/>
    </w:lvl>
  </w:abstractNum>
  <w:abstractNum w:abstractNumId="27">
    <w:nsid w:val="3804823E"/>
    <w:multiLevelType w:val="hybridMultilevel"/>
    <w:lvl w:ilvl="0">
      <w:lvlJc w:val="left"/>
      <w:lvlText w:val="%1."/>
      <w:numFmt w:val="upperLetter"/>
      <w:start w:val="2"/>
    </w:lvl>
  </w:abstractNum>
  <w:abstractNum w:abstractNumId="28">
    <w:nsid w:val="77465F01"/>
    <w:multiLevelType w:val="hybridMultilevel"/>
    <w:lvl w:ilvl="0">
      <w:lvlJc w:val="left"/>
      <w:lvlText w:val="%1."/>
      <w:numFmt w:val="upperLetter"/>
      <w:start w:val="3"/>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2"/>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decimal"/>
      <w:start w:val="15"/>
    </w:lvl>
  </w:abstractNum>
  <w:abstractNum w:abstractNumId="34">
    <w:nsid w:val="2D517796"/>
    <w:multiLevelType w:val="hybridMultilevel"/>
    <w:lvl w:ilvl="0">
      <w:lvlJc w:val="left"/>
      <w:lvlText w:val="%1."/>
      <w:numFmt w:val="decimal"/>
      <w:start w:val="7"/>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decimal"/>
      <w:start w:val="8"/>
    </w:lvl>
  </w:abstractNum>
  <w:abstractNum w:abstractNumId="37">
    <w:nsid w:val="3855585C"/>
    <w:multiLevelType w:val="hybridMultilevel"/>
    <w:lvl w:ilvl="0">
      <w:lvlJc w:val="left"/>
      <w:lvlText w:val="%1"/>
      <w:numFmt w:val="decimal"/>
      <w:start w:val="20"/>
    </w:lvl>
  </w:abstractNum>
  <w:abstractNum w:abstractNumId="38">
    <w:nsid w:val="70A64E2A"/>
    <w:multiLevelType w:val="hybridMultilevel"/>
    <w:lvl w:ilvl="0">
      <w:lvlJc w:val="left"/>
      <w:lvlText w:val="%1."/>
      <w:numFmt w:val="decimal"/>
      <w:start w:val="9"/>
    </w:lvl>
  </w:abstractNum>
  <w:abstractNum w:abstractNumId="39">
    <w:nsid w:val="6A2342EC"/>
    <w:multiLevelType w:val="hybridMultilevel"/>
    <w:lvl w:ilvl="0">
      <w:lvlJc w:val="left"/>
      <w:lvlText w:val="%1."/>
      <w:numFmt w:val="upperLetter"/>
      <w:start w:val="1"/>
    </w:lvl>
  </w:abstractNum>
  <w:abstractNum w:abstractNumId="40">
    <w:nsid w:val="2A487CB0"/>
    <w:multiLevelType w:val="hybridMultilevel"/>
    <w:lvl w:ilvl="0">
      <w:lvlJc w:val="left"/>
      <w:lvlText w:val="%1."/>
      <w:numFmt w:val="upperLetter"/>
      <w:start w:val="2"/>
    </w:lvl>
  </w:abstractNum>
  <w:abstractNum w:abstractNumId="41">
    <w:nsid w:val="1D4ED43B"/>
    <w:multiLevelType w:val="hybridMultilevel"/>
    <w:lvl w:ilvl="0">
      <w:lvlJc w:val="left"/>
      <w:lvlText w:val="%1."/>
      <w:numFmt w:val="upperLetter"/>
      <w:start w:val="22"/>
    </w:lvl>
  </w:abstractNum>
  <w:abstractNum w:abstractNumId="42">
    <w:nsid w:val="725A06FB"/>
    <w:multiLevelType w:val="hybridMultilevel"/>
    <w:lvl w:ilvl="0">
      <w:lvlJc w:val="left"/>
      <w:lvlText w:val="%1"/>
      <w:numFmt w:val="decimal"/>
      <w:start w:val="21"/>
    </w:lvl>
  </w:abstractNum>
  <w:abstractNum w:abstractNumId="43">
    <w:nsid w:val="2CD89A32"/>
    <w:multiLevelType w:val="hybridMultilevel"/>
    <w:lvl w:ilvl="0">
      <w:lvlJc w:val="left"/>
      <w:lvlText w:val="%1."/>
      <w:numFmt w:val="upperLetter"/>
      <w:start w:val="1"/>
    </w:lvl>
  </w:abstractNum>
  <w:abstractNum w:abstractNumId="44">
    <w:nsid w:val="57E4CCAF"/>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2026-05-04T12:13:31Z</dcterms:created>
  <dcterms:modified xsi:type="dcterms:W3CDTF">2026-05-04T12:13:31Z</dcterms:modified>
</cp:coreProperties>
</file>