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Filed Pursuant to Rule 424(b)(2)</w:t>
      </w:r>
    </w:p>
    <w:p>
      <w:pPr>
        <w:spacing w:after="0" w:line="22" w:lineRule="exact"/>
        <w:rPr>
          <w:sz w:val="24"/>
          <w:szCs w:val="24"/>
          <w:color w:val="auto"/>
        </w:rPr>
      </w:pPr>
    </w:p>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File No. 333-268813</w:t>
      </w:r>
    </w:p>
    <w:p>
      <w:pPr>
        <w:spacing w:after="0" w:line="102"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2"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To the Prospectus dated January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2082800</wp:posOffset>
            </wp:positionH>
            <wp:positionV relativeFrom="paragraph">
              <wp:posOffset>2540</wp:posOffset>
            </wp:positionV>
            <wp:extent cx="1560830" cy="375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830" cy="37528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4,250,000 Shares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106045</wp:posOffset>
            </wp:positionV>
            <wp:extent cx="11328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181" w:lineRule="exact"/>
        <w:rPr>
          <w:sz w:val="24"/>
          <w:szCs w:val="24"/>
          <w:color w:val="auto"/>
        </w:rPr>
      </w:pPr>
    </w:p>
    <w:p>
      <w:pPr>
        <w:ind w:left="280" w:right="299"/>
        <w:spacing w:after="0" w:line="224" w:lineRule="auto"/>
        <w:rPr>
          <w:sz w:val="20"/>
          <w:szCs w:val="20"/>
          <w:color w:val="auto"/>
        </w:rPr>
      </w:pPr>
      <w:r>
        <w:rPr>
          <w:rFonts w:ascii="Times New Roman" w:cs="Times New Roman" w:eastAsia="Times New Roman" w:hAnsi="Times New Roman"/>
          <w:sz w:val="11"/>
          <w:szCs w:val="11"/>
          <w:color w:val="auto"/>
        </w:rPr>
        <w:t>This is a public offering of common stock of PennantPark Floating Rate Capital Ltd. (“we”, “our”, or “us”). We are a Maryland corporation and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We seek to achieve our investment objectives by investing primarily in loans bearing variable rates of interest, or Floating Rate Loans, and other investments made to U.S. middle-market companies.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We are externally managed by PennantPark Investment Advisers, LLC. PennantPark Investment Administration, LLC provides the administrative services necessary for us to operate.</w:t>
      </w:r>
    </w:p>
    <w:p>
      <w:pPr>
        <w:spacing w:after="0" w:line="34" w:lineRule="exact"/>
        <w:rPr>
          <w:sz w:val="24"/>
          <w:szCs w:val="24"/>
          <w:color w:val="auto"/>
        </w:rPr>
      </w:pPr>
    </w:p>
    <w:p>
      <w:pPr>
        <w:ind w:left="280" w:right="299"/>
        <w:spacing w:after="0" w:line="234" w:lineRule="auto"/>
        <w:rPr>
          <w:sz w:val="20"/>
          <w:szCs w:val="20"/>
          <w:color w:val="auto"/>
        </w:rPr>
      </w:pPr>
      <w:r>
        <w:rPr>
          <w:rFonts w:ascii="Times New Roman" w:cs="Times New Roman" w:eastAsia="Times New Roman" w:hAnsi="Times New Roman"/>
          <w:sz w:val="11"/>
          <w:szCs w:val="11"/>
          <w:color w:val="auto"/>
        </w:rPr>
        <w:t>We are offering for sale 4,250,000 shares of our common stock at a price of $11.10 per share. Our common stock is traded on the New York Stock Exchange, or NYSE, and The Tel Aviv Stock Exchange, or TASE, under the symbol “PFLT”. The last reported closing price for our common stock on the NYSE on January 23, 2023 was $11.81 per share. The net asset value of our common stock on September 30, 2022 was $11.62 per share.</w:t>
      </w:r>
    </w:p>
    <w:p>
      <w:pPr>
        <w:spacing w:after="0" w:line="24" w:lineRule="exact"/>
        <w:rPr>
          <w:sz w:val="24"/>
          <w:szCs w:val="24"/>
          <w:color w:val="auto"/>
        </w:rPr>
      </w:pPr>
    </w:p>
    <w:p>
      <w:pPr>
        <w:ind w:left="280" w:right="299"/>
        <w:spacing w:after="0" w:line="224" w:lineRule="auto"/>
        <w:rPr>
          <w:sz w:val="20"/>
          <w:szCs w:val="20"/>
          <w:color w:val="auto"/>
        </w:rPr>
      </w:pPr>
      <w:r>
        <w:rPr>
          <w:rFonts w:ascii="Times New Roman" w:cs="Times New Roman" w:eastAsia="Times New Roman" w:hAnsi="Times New Roman"/>
          <w:sz w:val="11"/>
          <w:szCs w:val="11"/>
          <w:color w:val="auto"/>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1691 Michigan Avenue, Miami Beach, FL 33139 by calling us collect at (786) 297-9500 or by visiting our website at </w:t>
      </w:r>
      <w:r>
        <w:rPr>
          <w:rFonts w:ascii="Times New Roman" w:cs="Times New Roman" w:eastAsia="Times New Roman" w:hAnsi="Times New Roman"/>
          <w:sz w:val="11"/>
          <w:szCs w:val="11"/>
          <w:i w:val="1"/>
          <w:iCs w:val="1"/>
          <w:u w:val="single" w:color="auto"/>
          <w:color w:val="auto"/>
        </w:rPr>
        <w:t>www.pennantpark.com</w:t>
      </w:r>
      <w:r>
        <w:rPr>
          <w:rFonts w:ascii="Times New Roman" w:cs="Times New Roman" w:eastAsia="Times New Roman" w:hAnsi="Times New Roman"/>
          <w:sz w:val="11"/>
          <w:szCs w:val="11"/>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Times New Roman" w:cs="Times New Roman" w:eastAsia="Times New Roman" w:hAnsi="Times New Roman"/>
          <w:sz w:val="11"/>
          <w:szCs w:val="11"/>
          <w:i w:val="1"/>
          <w:iCs w:val="1"/>
          <w:u w:val="single" w:color="auto"/>
          <w:color w:val="auto"/>
        </w:rPr>
        <w:t>www.sec.gov</w:t>
      </w:r>
      <w:r>
        <w:rPr>
          <w:rFonts w:ascii="Times New Roman" w:cs="Times New Roman" w:eastAsia="Times New Roman" w:hAnsi="Times New Roman"/>
          <w:sz w:val="11"/>
          <w:szCs w:val="11"/>
          <w:color w:val="auto"/>
        </w:rPr>
        <w:t xml:space="preserve"> that contains such information free of charge.</w:t>
      </w:r>
    </w:p>
    <w:p>
      <w:pPr>
        <w:spacing w:after="0" w:line="28" w:lineRule="exact"/>
        <w:rPr>
          <w:sz w:val="24"/>
          <w:szCs w:val="24"/>
          <w:color w:val="auto"/>
        </w:rPr>
      </w:pPr>
    </w:p>
    <w:p>
      <w:pPr>
        <w:ind w:left="280" w:right="279"/>
        <w:spacing w:after="0" w:line="286" w:lineRule="auto"/>
        <w:rPr>
          <w:sz w:val="20"/>
          <w:szCs w:val="20"/>
          <w:color w:val="auto"/>
        </w:rPr>
      </w:pPr>
      <w:r>
        <w:rPr>
          <w:rFonts w:ascii="Times New Roman" w:cs="Times New Roman" w:eastAsia="Times New Roman" w:hAnsi="Times New Roman"/>
          <w:sz w:val="12"/>
          <w:szCs w:val="12"/>
          <w:b w:val="1"/>
          <w:bCs w:val="1"/>
          <w:color w:val="auto"/>
        </w:rPr>
        <w:t>Investing in our common stock involves a high degree of risk, including the risk of leverage. Before buying any shares of our common stock, you should read the discussion of the material risks of investing in us described in the section titled “</w:t>
      </w:r>
      <w:r>
        <w:rPr>
          <w:rFonts w:ascii="Times New Roman" w:cs="Times New Roman" w:eastAsia="Times New Roman" w:hAnsi="Times New Roman"/>
          <w:sz w:val="12"/>
          <w:szCs w:val="12"/>
          <w:b w:val="1"/>
          <w:bCs w:val="1"/>
          <w:u w:val="single" w:color="auto"/>
          <w:color w:val="0000EE"/>
        </w:rPr>
        <w:t>Risk Factors</w:t>
      </w:r>
      <w:r>
        <w:rPr>
          <w:rFonts w:ascii="Times New Roman" w:cs="Times New Roman" w:eastAsia="Times New Roman" w:hAnsi="Times New Roman"/>
          <w:sz w:val="12"/>
          <w:szCs w:val="12"/>
          <w:b w:val="1"/>
          <w:bCs w:val="1"/>
          <w:color w:val="auto"/>
        </w:rPr>
        <w:t>” in our most recent Annual Report on Form 10-K, this prospectus supplement and the accompanying prospectus and under similar headings in other documents that are filed with the SEC on or after the date hereof and incorporated by reference into this prospectus supplement and the accompanying prospectus.</w:t>
      </w:r>
    </w:p>
    <w:p>
      <w:pPr>
        <w:spacing w:after="0" w:line="24" w:lineRule="exact"/>
        <w:rPr>
          <w:sz w:val="24"/>
          <w:szCs w:val="24"/>
          <w:color w:val="auto"/>
        </w:rPr>
      </w:pPr>
    </w:p>
    <w:p>
      <w:pPr>
        <w:ind w:left="280" w:right="419"/>
        <w:spacing w:after="0" w:line="239" w:lineRule="auto"/>
        <w:rPr>
          <w:sz w:val="20"/>
          <w:szCs w:val="20"/>
          <w:color w:val="auto"/>
        </w:rPr>
      </w:pPr>
      <w:r>
        <w:rPr>
          <w:rFonts w:ascii="Times New Roman" w:cs="Times New Roman" w:eastAsia="Times New Roman" w:hAnsi="Times New Roman"/>
          <w:sz w:val="10"/>
          <w:szCs w:val="10"/>
          <w:b w:val="1"/>
          <w:bCs w:val="1"/>
          <w:color w:val="auto"/>
        </w:rPr>
        <w:t>Shares of closed-end investment companies, including BDCs, frequently trade at a discount to their net asset value, or NAV. If our shares trade at a discount to our NAV, it may increase the risk of loss for purchasers in this offering.</w:t>
      </w:r>
    </w:p>
    <w:p>
      <w:pPr>
        <w:spacing w:after="0" w:line="30" w:lineRule="exact"/>
        <w:rPr>
          <w:sz w:val="24"/>
          <w:szCs w:val="24"/>
          <w:color w:val="auto"/>
        </w:rPr>
      </w:pPr>
    </w:p>
    <w:p>
      <w:pPr>
        <w:ind w:left="280" w:right="559"/>
        <w:spacing w:after="0" w:line="239" w:lineRule="auto"/>
        <w:rPr>
          <w:sz w:val="20"/>
          <w:szCs w:val="20"/>
          <w:color w:val="auto"/>
        </w:rPr>
      </w:pPr>
      <w:r>
        <w:rPr>
          <w:rFonts w:ascii="Times New Roman" w:cs="Times New Roman" w:eastAsia="Times New Roman" w:hAnsi="Times New Roman"/>
          <w:sz w:val="10"/>
          <w:szCs w:val="10"/>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43" w:lineRule="exact"/>
        <w:rPr>
          <w:sz w:val="24"/>
          <w:szCs w:val="24"/>
          <w:color w:val="auto"/>
        </w:rPr>
      </w:pPr>
    </w:p>
    <w:tbl>
      <w:tblPr>
        <w:tblLayout w:type="fixed"/>
        <w:tblInd w:w="1280" w:type="dxa"/>
        <w:tblCellMar>
          <w:top w:w="0" w:type="dxa"/>
          <w:left w:w="0" w:type="dxa"/>
          <w:bottom w:w="0" w:type="dxa"/>
          <w:right w:w="0" w:type="dxa"/>
        </w:tblCellMar>
      </w:tblPr>
      <w:tr>
        <w:trPr>
          <w:trHeight w:val="117"/>
        </w:trPr>
        <w:tc>
          <w:tcPr>
            <w:tcW w:w="4720" w:type="dxa"/>
            <w:vAlign w:val="bottom"/>
          </w:tcPr>
          <w:p>
            <w:pPr>
              <w:spacing w:after="0"/>
              <w:rPr>
                <w:sz w:val="10"/>
                <w:szCs w:val="10"/>
                <w:color w:val="auto"/>
              </w:rPr>
            </w:pPr>
          </w:p>
        </w:tc>
        <w:tc>
          <w:tcPr>
            <w:tcW w:w="940" w:type="dxa"/>
            <w:vAlign w:val="bottom"/>
            <w:gridSpan w:val="2"/>
          </w:tcPr>
          <w:p>
            <w:pPr>
              <w:jc w:val="right"/>
              <w:ind w:right="125"/>
              <w:spacing w:after="0"/>
              <w:rPr>
                <w:sz w:val="20"/>
                <w:szCs w:val="20"/>
                <w:color w:val="auto"/>
              </w:rPr>
            </w:pPr>
            <w:r>
              <w:rPr>
                <w:rFonts w:ascii="Times New Roman" w:cs="Times New Roman" w:eastAsia="Times New Roman" w:hAnsi="Times New Roman"/>
                <w:sz w:val="10"/>
                <w:szCs w:val="10"/>
                <w:color w:val="auto"/>
              </w:rPr>
              <w:t>Per Share</w:t>
            </w:r>
          </w:p>
        </w:tc>
        <w:tc>
          <w:tcPr>
            <w:tcW w:w="220" w:type="dxa"/>
            <w:vAlign w:val="bottom"/>
          </w:tcPr>
          <w:p>
            <w:pPr>
              <w:spacing w:after="0"/>
              <w:rPr>
                <w:sz w:val="10"/>
                <w:szCs w:val="10"/>
                <w:color w:val="auto"/>
              </w:rPr>
            </w:pPr>
          </w:p>
        </w:tc>
        <w:tc>
          <w:tcPr>
            <w:tcW w:w="560" w:type="dxa"/>
            <w:vAlign w:val="bottom"/>
          </w:tcPr>
          <w:p>
            <w:pPr>
              <w:jc w:val="right"/>
              <w:ind w:right="186"/>
              <w:spacing w:after="0"/>
              <w:rPr>
                <w:sz w:val="20"/>
                <w:szCs w:val="20"/>
                <w:color w:val="auto"/>
              </w:rPr>
            </w:pPr>
            <w:r>
              <w:rPr>
                <w:rFonts w:ascii="Times New Roman" w:cs="Times New Roman" w:eastAsia="Times New Roman" w:hAnsi="Times New Roman"/>
                <w:sz w:val="10"/>
                <w:szCs w:val="10"/>
                <w:color w:val="auto"/>
              </w:rPr>
              <w:t>Total</w:t>
            </w:r>
          </w:p>
        </w:tc>
      </w:tr>
      <w:tr>
        <w:trPr>
          <w:trHeight w:val="114"/>
        </w:trPr>
        <w:tc>
          <w:tcPr>
            <w:tcW w:w="47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Public offering price</w:t>
            </w: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85"/>
              <w:spacing w:after="0" w:line="114" w:lineRule="exact"/>
              <w:rPr>
                <w:sz w:val="20"/>
                <w:szCs w:val="20"/>
                <w:color w:val="auto"/>
              </w:rPr>
            </w:pPr>
            <w:r>
              <w:rPr>
                <w:rFonts w:ascii="Times New Roman" w:cs="Times New Roman" w:eastAsia="Times New Roman" w:hAnsi="Times New Roman"/>
                <w:sz w:val="11"/>
                <w:szCs w:val="11"/>
                <w:color w:val="auto"/>
                <w:w w:val="94"/>
              </w:rPr>
              <w:t>11.1000</w:t>
            </w:r>
          </w:p>
        </w:tc>
        <w:tc>
          <w:tcPr>
            <w:tcW w:w="2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47,175,000</w:t>
            </w:r>
          </w:p>
        </w:tc>
      </w:tr>
      <w:tr>
        <w:trPr>
          <w:trHeight w:val="114"/>
        </w:trPr>
        <w:tc>
          <w:tcPr>
            <w:tcW w:w="4720" w:type="dxa"/>
            <w:vAlign w:val="bottom"/>
          </w:tcPr>
          <w:p>
            <w:pPr>
              <w:spacing w:after="0" w:line="114" w:lineRule="exact"/>
              <w:rPr>
                <w:sz w:val="20"/>
                <w:szCs w:val="20"/>
                <w:color w:val="auto"/>
              </w:rPr>
            </w:pPr>
            <w:r>
              <w:rPr>
                <w:rFonts w:ascii="Times New Roman" w:cs="Times New Roman" w:eastAsia="Times New Roman" w:hAnsi="Times New Roman"/>
                <w:sz w:val="11"/>
                <w:szCs w:val="11"/>
                <w:color w:val="auto"/>
              </w:rPr>
              <w:t>Sales load (underwriting discounts and commissions)</w:t>
            </w:r>
            <w:r>
              <w:rPr>
                <w:rFonts w:ascii="Times New Roman" w:cs="Times New Roman" w:eastAsia="Times New Roman" w:hAnsi="Times New Roman"/>
                <w:sz w:val="6"/>
                <w:szCs w:val="6"/>
                <w:color w:val="auto"/>
              </w:rPr>
              <w:t>(1)</w:t>
            </w:r>
          </w:p>
        </w:tc>
        <w:tc>
          <w:tcPr>
            <w:tcW w:w="44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85"/>
              <w:spacing w:after="0" w:line="114"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r>
      <w:tr>
        <w:trPr>
          <w:trHeight w:val="114"/>
        </w:trPr>
        <w:tc>
          <w:tcPr>
            <w:tcW w:w="47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Additional supplemental payment to the underwriters by PennantPark Investment Advisers, LLC</w:t>
            </w:r>
            <w:r>
              <w:rPr>
                <w:rFonts w:ascii="Times New Roman" w:cs="Times New Roman" w:eastAsia="Times New Roman" w:hAnsi="Times New Roman"/>
                <w:sz w:val="6"/>
                <w:szCs w:val="6"/>
                <w:color w:val="auto"/>
              </w:rPr>
              <w:t>(2)</w:t>
            </w:r>
          </w:p>
        </w:tc>
        <w:tc>
          <w:tcPr>
            <w:tcW w:w="4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ind w:right="85"/>
              <w:spacing w:after="0" w:line="114" w:lineRule="exact"/>
              <w:rPr>
                <w:sz w:val="20"/>
                <w:szCs w:val="20"/>
                <w:color w:val="auto"/>
              </w:rPr>
            </w:pPr>
            <w:r>
              <w:rPr>
                <w:rFonts w:ascii="Times New Roman" w:cs="Times New Roman" w:eastAsia="Times New Roman" w:hAnsi="Times New Roman"/>
                <w:sz w:val="11"/>
                <w:szCs w:val="11"/>
                <w:color w:val="auto"/>
              </w:rPr>
              <w:t>0.0998</w:t>
            </w:r>
          </w:p>
        </w:tc>
        <w:tc>
          <w:tcPr>
            <w:tcW w:w="2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424,150</w:t>
            </w:r>
          </w:p>
        </w:tc>
      </w:tr>
      <w:tr>
        <w:trPr>
          <w:trHeight w:val="142"/>
        </w:trPr>
        <w:tc>
          <w:tcPr>
            <w:tcW w:w="4720" w:type="dxa"/>
            <w:vAlign w:val="bottom"/>
          </w:tcPr>
          <w:p>
            <w:pPr>
              <w:spacing w:after="0"/>
              <w:rPr>
                <w:sz w:val="20"/>
                <w:szCs w:val="20"/>
                <w:color w:val="auto"/>
              </w:rPr>
            </w:pPr>
            <w:r>
              <w:rPr>
                <w:rFonts w:ascii="Times New Roman" w:cs="Times New Roman" w:eastAsia="Times New Roman" w:hAnsi="Times New Roman"/>
                <w:sz w:val="11"/>
                <w:szCs w:val="11"/>
                <w:color w:val="auto"/>
              </w:rPr>
              <w:t>Proceeds to us (before expenses)</w:t>
            </w:r>
            <w:r>
              <w:rPr>
                <w:rFonts w:ascii="Times New Roman" w:cs="Times New Roman" w:eastAsia="Times New Roman" w:hAnsi="Times New Roman"/>
                <w:sz w:val="6"/>
                <w:szCs w:val="6"/>
                <w:color w:val="auto"/>
              </w:rPr>
              <w:t>(3)</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94"/>
              </w:rPr>
              <w:t>11.1998</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47,599,150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173355</wp:posOffset>
            </wp:positionH>
            <wp:positionV relativeFrom="paragraph">
              <wp:posOffset>54610</wp:posOffset>
            </wp:positionV>
            <wp:extent cx="59245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455" cy="6350"/>
                    </a:xfrm>
                    <a:prstGeom prst="rect">
                      <a:avLst/>
                    </a:prstGeom>
                    <a:noFill/>
                  </pic:spPr>
                </pic:pic>
              </a:graphicData>
            </a:graphic>
          </wp:anchor>
        </w:drawing>
      </w:r>
    </w:p>
    <w:p>
      <w:pPr>
        <w:spacing w:after="0" w:line="79" w:lineRule="exact"/>
        <w:rPr>
          <w:sz w:val="24"/>
          <w:szCs w:val="24"/>
          <w:color w:val="auto"/>
        </w:rPr>
      </w:pPr>
    </w:p>
    <w:p>
      <w:pPr>
        <w:ind w:left="600" w:hanging="327"/>
        <w:spacing w:after="0"/>
        <w:tabs>
          <w:tab w:leader="none" w:pos="6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PennantPark Investment Advisers, LLC, our investment adviser, has agreed to pay all of the sales load (underwriting discounts and commissions) in the amount of approximately</w:t>
      </w:r>
    </w:p>
    <w:p>
      <w:pPr>
        <w:ind w:left="600" w:right="399"/>
        <w:spacing w:after="0" w:line="216"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$1.4 million, or $0.3330 per share (or approximately $1.6 million or $0.3330 per share if the underwriters’ option to purchase additional shares is fully exercised), in connection with the shares of common stock offered by us in this offering, which is not reflected in the above table. We are not obligated to repay the sales load paid by PennantPark Investment Advisers, LLC. See “Underwriting” for additional information regarding underwriting compensation.</w:t>
      </w:r>
    </w:p>
    <w:p>
      <w:pPr>
        <w:ind w:left="600" w:right="299" w:hanging="327"/>
        <w:spacing w:after="0" w:line="216" w:lineRule="auto"/>
        <w:tabs>
          <w:tab w:leader="none" w:pos="6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PennantPark Investment Advisers, LLC has agreed to pay the underwriters an additional supplemental payment of $424,150, or $0.0998 per share (or $487,773, or $0.0998 per share if the option to purchase additional shares is fully exercised), which reflects the difference between the offering price and the proceeds per share received by us in this offering. We are not obligated to repay the additional supplemental payment made by PennantPark Investment Advisers, LLC.</w:t>
      </w:r>
    </w:p>
    <w:p>
      <w:pPr>
        <w:ind w:left="600" w:hanging="327"/>
        <w:spacing w:after="0"/>
        <w:tabs>
          <w:tab w:leader="none" w:pos="60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estimated expenses of this offering are expected to be approximately $250,000.</w:t>
      </w:r>
    </w:p>
    <w:p>
      <w:pPr>
        <w:spacing w:after="0" w:line="38" w:lineRule="exact"/>
        <w:rPr>
          <w:sz w:val="24"/>
          <w:szCs w:val="24"/>
          <w:color w:val="auto"/>
        </w:rPr>
      </w:pPr>
    </w:p>
    <w:p>
      <w:pPr>
        <w:jc w:val="both"/>
        <w:ind w:left="280" w:right="359" w:firstLine="338"/>
        <w:spacing w:after="0" w:line="229" w:lineRule="auto"/>
        <w:rPr>
          <w:sz w:val="20"/>
          <w:szCs w:val="20"/>
          <w:color w:val="auto"/>
        </w:rPr>
      </w:pPr>
      <w:r>
        <w:rPr>
          <w:rFonts w:ascii="Times New Roman" w:cs="Times New Roman" w:eastAsia="Times New Roman" w:hAnsi="Times New Roman"/>
          <w:sz w:val="11"/>
          <w:szCs w:val="11"/>
          <w:color w:val="auto"/>
        </w:rPr>
        <w:t>In addition, the underwriters may purchase up to an additional 637,500 shares of common stock at the public offering price, less the sales load payable by us, within 30 days from the date of this prospectus supplement. If the underwriters exercise this option in full, the total public offering price will be approximately $54.3 million, the total sales load paid by PennantPark Investment Advisers, LLC will be approximately $1.6 million, the additional supplemental payment to the underwriters paid by PennantPark Investment Advisers, LLC will be $487,773 and total proceeds to us, before expenses, will be approximately $54.7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79375</wp:posOffset>
            </wp:positionV>
            <wp:extent cx="11328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14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1"/>
          <w:szCs w:val="11"/>
          <w:color w:val="auto"/>
        </w:rPr>
        <w:t>The underwriters expect to deliver the shares on or about January 26, 2023.</w:t>
      </w:r>
    </w:p>
    <w:p>
      <w:pPr>
        <w:spacing w:after="0" w:line="3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1"/>
          <w:szCs w:val="11"/>
          <w:i w:val="1"/>
          <w:iCs w:val="1"/>
          <w:color w:val="auto"/>
        </w:rPr>
        <w:t>Joint Book-Running Managers</w:t>
      </w:r>
    </w:p>
    <w:p>
      <w:pPr>
        <w:sectPr>
          <w:pgSz w:w="11900" w:h="16838" w:orient="portrait"/>
          <w:cols w:equalWidth="0" w:num="1">
            <w:col w:w="9019"/>
          </w:cols>
          <w:pgMar w:left="1440" w:top="206" w:right="1440" w:bottom="1440" w:gutter="0" w:footer="0" w:header="0"/>
        </w:sectPr>
      </w:pPr>
    </w:p>
    <w:p>
      <w:pPr>
        <w:spacing w:after="0" w:line="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1"/>
          <w:szCs w:val="11"/>
          <w:b w:val="1"/>
          <w:bCs w:val="1"/>
          <w:color w:val="auto"/>
        </w:rPr>
        <w:t>Morgan Stanley</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UBS Investment</w:t>
      </w:r>
    </w:p>
    <w:p>
      <w:pPr>
        <w:spacing w:after="0" w:line="2"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Bank</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J.P. Morgan</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jc w:val="right"/>
        <w:ind w:right="279"/>
        <w:spacing w:after="0"/>
        <w:rPr>
          <w:sz w:val="20"/>
          <w:szCs w:val="20"/>
          <w:color w:val="auto"/>
        </w:rPr>
      </w:pPr>
      <w:r>
        <w:rPr>
          <w:rFonts w:ascii="Times New Roman" w:cs="Times New Roman" w:eastAsia="Times New Roman" w:hAnsi="Times New Roman"/>
          <w:sz w:val="10"/>
          <w:szCs w:val="10"/>
          <w:b w:val="1"/>
          <w:bCs w:val="1"/>
          <w:color w:val="auto"/>
        </w:rPr>
        <w:t>Keefe, Bruyette &amp; Woods</w:t>
      </w:r>
    </w:p>
    <w:p>
      <w:pPr>
        <w:spacing w:after="0" w:line="13" w:lineRule="exact"/>
        <w:rPr>
          <w:sz w:val="24"/>
          <w:szCs w:val="24"/>
          <w:color w:val="auto"/>
        </w:rPr>
      </w:pPr>
    </w:p>
    <w:p>
      <w:pPr>
        <w:jc w:val="right"/>
        <w:ind w:right="279"/>
        <w:spacing w:after="0"/>
        <w:rPr>
          <w:sz w:val="20"/>
          <w:szCs w:val="20"/>
          <w:color w:val="auto"/>
        </w:rPr>
      </w:pPr>
      <w:r>
        <w:rPr>
          <w:rFonts w:ascii="Times New Roman" w:cs="Times New Roman" w:eastAsia="Times New Roman" w:hAnsi="Times New Roman"/>
          <w:sz w:val="11"/>
          <w:szCs w:val="11"/>
          <w:b w:val="1"/>
          <w:bCs w:val="1"/>
          <w:i w:val="1"/>
          <w:iCs w:val="1"/>
          <w:color w:val="auto"/>
        </w:rPr>
        <w:t>A Stifel Company</w:t>
      </w:r>
    </w:p>
    <w:p>
      <w:pPr>
        <w:spacing w:after="0" w:line="25" w:lineRule="exact"/>
        <w:rPr>
          <w:sz w:val="24"/>
          <w:szCs w:val="24"/>
          <w:color w:val="auto"/>
        </w:rPr>
      </w:pPr>
    </w:p>
    <w:p>
      <w:pPr>
        <w:sectPr>
          <w:pgSz w:w="11900" w:h="16838" w:orient="portrait"/>
          <w:cols w:equalWidth="0" w:num="5">
            <w:col w:w="1660" w:space="720"/>
            <w:col w:w="940" w:space="720"/>
            <w:col w:w="1300" w:space="500"/>
            <w:col w:w="980" w:space="720"/>
            <w:col w:w="1479"/>
          </w:cols>
          <w:pgMar w:left="1440" w:top="206"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1"/>
          <w:szCs w:val="11"/>
          <w:i w:val="1"/>
          <w:iCs w:val="1"/>
          <w:color w:val="auto"/>
        </w:rPr>
        <w:t>Co-Managers</w:t>
      </w:r>
    </w:p>
    <w:p>
      <w:pPr>
        <w:sectPr>
          <w:pgSz w:w="11900" w:h="16838" w:orient="portrait"/>
          <w:cols w:equalWidth="0" w:num="1">
            <w:col w:w="9019"/>
          </w:cols>
          <w:pgMar w:left="1440" w:top="206" w:right="1440" w:bottom="1440" w:gutter="0" w:footer="0" w:header="0"/>
          <w:type w:val="continuous"/>
        </w:sectPr>
      </w:pPr>
    </w:p>
    <w:p>
      <w:pPr>
        <w:spacing w:after="0" w:line="50"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0"/>
          <w:szCs w:val="10"/>
          <w:b w:val="1"/>
          <w:bCs w:val="1"/>
          <w:color w:val="auto"/>
        </w:rPr>
        <w:t>JMP Securities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Oppenheimer &amp; Co.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Maxim Group LLC</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Ladenburg Thalmann</w:t>
      </w:r>
    </w:p>
    <w:p>
      <w:pPr>
        <w:spacing w:after="0" w:line="18" w:lineRule="exact"/>
        <w:rPr>
          <w:sz w:val="24"/>
          <w:szCs w:val="24"/>
          <w:color w:val="auto"/>
        </w:rPr>
      </w:pPr>
    </w:p>
    <w:p>
      <w:pPr>
        <w:sectPr>
          <w:pgSz w:w="11900" w:h="16838" w:orient="portrait"/>
          <w:cols w:equalWidth="0" w:num="4">
            <w:col w:w="1760" w:space="720"/>
            <w:col w:w="2360" w:space="720"/>
            <w:col w:w="1400" w:space="720"/>
            <w:col w:w="1339"/>
          </w:cols>
          <w:pgMar w:left="1440" w:top="206"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4"/>
          <w:szCs w:val="4"/>
          <w:color w:val="auto"/>
        </w:rPr>
        <w:t>A CITIZENS COMPANY</w:t>
      </w:r>
    </w:p>
    <w:p>
      <w:pPr>
        <w:sectPr>
          <w:pgSz w:w="11900" w:h="16838" w:orient="portrait"/>
          <w:cols w:equalWidth="0" w:num="1">
            <w:col w:w="9019"/>
          </w:cols>
          <w:pgMar w:left="1440" w:top="206" w:right="1440" w:bottom="1440" w:gutter="0" w:footer="0" w:header="0"/>
          <w:type w:val="continuous"/>
        </w:sectPr>
      </w:pP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The date of this prospectus supplement is January 23, 2023.</w:t>
      </w:r>
    </w:p>
    <w:p>
      <w:pPr>
        <w:sectPr>
          <w:pgSz w:w="11900" w:h="16838" w:orient="portrait"/>
          <w:cols w:equalWidth="0" w:num="1">
            <w:col w:w="9019"/>
          </w:cols>
          <w:pgMar w:left="1440" w:top="206" w:right="1440" w:bottom="1440" w:gutter="0" w:footer="0" w:header="0"/>
          <w:type w:val="continuous"/>
        </w:sectPr>
      </w:pPr>
    </w:p>
    <w:bookmarkStart w:id="1" w:name="page2"/>
    <w:bookmarkEnd w:id="1"/>
    <w:tbl>
      <w:tblPr>
        <w:tblLayout w:type="fixed"/>
        <w:tblInd w:w="280" w:type="dxa"/>
        <w:tblCellMar>
          <w:top w:w="0" w:type="dxa"/>
          <w:left w:w="0" w:type="dxa"/>
          <w:bottom w:w="0" w:type="dxa"/>
          <w:right w:w="0" w:type="dxa"/>
        </w:tblCellMar>
      </w:tblPr>
      <w:tr>
        <w:trPr>
          <w:trHeight w:val="183"/>
        </w:trPr>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20" w:type="dxa"/>
            <w:vAlign w:val="bottom"/>
            <w:gridSpan w:val="5"/>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w w:val="98"/>
              </w:rPr>
              <w:t>TABLE OF CONTENTS</w:t>
            </w: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80" w:type="dxa"/>
            <w:vAlign w:val="bottom"/>
            <w:gridSpan w:val="6"/>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9"/>
              </w:rPr>
              <w:t>PROSPECTUS SUPPLEMENT</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6"/>
              </w:rPr>
              <w:t>TABLE OF CONTENTS</w:t>
            </w:r>
          </w:p>
        </w:tc>
        <w:tc>
          <w:tcPr>
            <w:tcW w:w="5260" w:type="dxa"/>
            <w:vAlign w:val="bottom"/>
            <w:gridSpan w:val="20"/>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S-i</w:t>
            </w:r>
          </w:p>
        </w:tc>
        <w:tc>
          <w:tcPr>
            <w:tcW w:w="0" w:type="dxa"/>
            <w:vAlign w:val="bottom"/>
          </w:tcPr>
          <w:p>
            <w:pPr>
              <w:spacing w:after="0"/>
              <w:rPr>
                <w:sz w:val="1"/>
                <w:szCs w:val="1"/>
                <w:color w:val="auto"/>
              </w:rPr>
            </w:pPr>
          </w:p>
        </w:tc>
      </w:tr>
      <w:tr>
        <w:trPr>
          <w:trHeight w:val="146"/>
        </w:trPr>
        <w:tc>
          <w:tcPr>
            <w:tcW w:w="2640" w:type="dxa"/>
            <w:vAlign w:val="bottom"/>
            <w:tcBorders>
              <w:bottom w:val="single" w:sz="8" w:color="0000EE"/>
            </w:tcBorders>
            <w:gridSpan w:val="19"/>
          </w:tcPr>
          <w:p>
            <w:pPr>
              <w:spacing w:after="0" w:line="146" w:lineRule="exact"/>
              <w:rPr>
                <w:sz w:val="20"/>
                <w:szCs w:val="20"/>
                <w:color w:val="auto"/>
              </w:rPr>
            </w:pPr>
            <w:r>
              <w:rPr>
                <w:rFonts w:ascii="Times New Roman" w:cs="Times New Roman" w:eastAsia="Times New Roman" w:hAnsi="Times New Roman"/>
                <w:sz w:val="14"/>
                <w:szCs w:val="14"/>
                <w:color w:val="0000EE"/>
                <w:w w:val="98"/>
              </w:rPr>
              <w:t>ABOUT THIS PROSPECTUS SUPPLEMENT</w:t>
            </w:r>
          </w:p>
        </w:tc>
        <w:tc>
          <w:tcPr>
            <w:tcW w:w="4020" w:type="dxa"/>
            <w:vAlign w:val="bottom"/>
            <w:gridSpan w:val="8"/>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S-ii</w:t>
            </w:r>
          </w:p>
        </w:tc>
        <w:tc>
          <w:tcPr>
            <w:tcW w:w="0" w:type="dxa"/>
            <w:vAlign w:val="bottom"/>
          </w:tcPr>
          <w:p>
            <w:pPr>
              <w:spacing w:after="0"/>
              <w:rPr>
                <w:sz w:val="1"/>
                <w:szCs w:val="1"/>
                <w:color w:val="auto"/>
              </w:rPr>
            </w:pPr>
          </w:p>
        </w:tc>
      </w:tr>
      <w:tr>
        <w:trPr>
          <w:trHeight w:val="146"/>
        </w:trPr>
        <w:tc>
          <w:tcPr>
            <w:tcW w:w="2520" w:type="dxa"/>
            <w:vAlign w:val="bottom"/>
            <w:tcBorders>
              <w:bottom w:val="single" w:sz="8" w:color="0000EE"/>
            </w:tcBorders>
            <w:gridSpan w:val="17"/>
          </w:tcPr>
          <w:p>
            <w:pPr>
              <w:spacing w:after="0" w:line="146" w:lineRule="exact"/>
              <w:rPr>
                <w:sz w:val="20"/>
                <w:szCs w:val="20"/>
                <w:color w:val="auto"/>
              </w:rPr>
            </w:pPr>
            <w:r>
              <w:rPr>
                <w:rFonts w:ascii="Times New Roman" w:cs="Times New Roman" w:eastAsia="Times New Roman" w:hAnsi="Times New Roman"/>
                <w:sz w:val="14"/>
                <w:szCs w:val="14"/>
                <w:color w:val="0000EE"/>
                <w:w w:val="97"/>
              </w:rPr>
              <w:t>PROSPECTUS SUPPLEMENT SUMMARY</w:t>
            </w:r>
          </w:p>
        </w:tc>
        <w:tc>
          <w:tcPr>
            <w:tcW w:w="4140" w:type="dxa"/>
            <w:vAlign w:val="bottom"/>
            <w:gridSpan w:val="10"/>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146"/>
        </w:trPr>
        <w:tc>
          <w:tcPr>
            <w:tcW w:w="980" w:type="dxa"/>
            <w:vAlign w:val="bottom"/>
            <w:tcBorders>
              <w:bottom w:val="single" w:sz="8" w:color="0000EE"/>
            </w:tcBorders>
            <w:gridSpan w:val="2"/>
          </w:tcPr>
          <w:p>
            <w:pPr>
              <w:spacing w:after="0" w:line="146" w:lineRule="exact"/>
              <w:rPr>
                <w:sz w:val="20"/>
                <w:szCs w:val="20"/>
                <w:color w:val="auto"/>
              </w:rPr>
            </w:pPr>
            <w:r>
              <w:rPr>
                <w:rFonts w:ascii="Times New Roman" w:cs="Times New Roman" w:eastAsia="Times New Roman" w:hAnsi="Times New Roman"/>
                <w:sz w:val="14"/>
                <w:szCs w:val="14"/>
                <w:color w:val="0000EE"/>
                <w:w w:val="96"/>
              </w:rPr>
              <w:t>THE OFFERING</w:t>
            </w:r>
          </w:p>
        </w:tc>
        <w:tc>
          <w:tcPr>
            <w:tcW w:w="5680" w:type="dxa"/>
            <w:vAlign w:val="bottom"/>
            <w:gridSpan w:val="25"/>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S-5</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FEES AND EXPENSES</w:t>
            </w:r>
          </w:p>
        </w:tc>
        <w:tc>
          <w:tcPr>
            <w:tcW w:w="1520" w:type="dxa"/>
            <w:vAlign w:val="bottom"/>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S-8</w:t>
            </w:r>
          </w:p>
        </w:tc>
        <w:tc>
          <w:tcPr>
            <w:tcW w:w="0" w:type="dxa"/>
            <w:vAlign w:val="bottom"/>
          </w:tcPr>
          <w:p>
            <w:pPr>
              <w:spacing w:after="0"/>
              <w:rPr>
                <w:sz w:val="1"/>
                <w:szCs w:val="1"/>
                <w:color w:val="auto"/>
              </w:rPr>
            </w:pPr>
          </w:p>
        </w:tc>
      </w:tr>
      <w:tr>
        <w:trPr>
          <w:trHeight w:val="146"/>
        </w:trPr>
        <w:tc>
          <w:tcPr>
            <w:tcW w:w="960" w:type="dxa"/>
            <w:vAlign w:val="bottom"/>
            <w:tcBorders>
              <w:top w:val="single" w:sz="8" w:color="0000EE"/>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color w:val="0000EE"/>
                <w:w w:val="95"/>
              </w:rPr>
              <w:t>RISK FACTORS</w:t>
            </w:r>
          </w:p>
        </w:tc>
        <w:tc>
          <w:tcPr>
            <w:tcW w:w="400" w:type="dxa"/>
            <w:vAlign w:val="bottom"/>
            <w:tcBorders>
              <w:top w:val="single" w:sz="8" w:color="0000EE"/>
            </w:tcBorders>
            <w:gridSpan w:val="5"/>
          </w:tcPr>
          <w:p>
            <w:pPr>
              <w:spacing w:after="0"/>
              <w:rPr>
                <w:sz w:val="12"/>
                <w:szCs w:val="12"/>
                <w:color w:val="auto"/>
              </w:rPr>
            </w:pPr>
          </w:p>
        </w:tc>
        <w:tc>
          <w:tcPr>
            <w:tcW w:w="5300" w:type="dxa"/>
            <w:vAlign w:val="bottom"/>
            <w:gridSpan w:val="21"/>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S-11</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FORWARD-LOOKING STATEMENTS</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S-12</w:t>
            </w:r>
          </w:p>
        </w:tc>
        <w:tc>
          <w:tcPr>
            <w:tcW w:w="0" w:type="dxa"/>
            <w:vAlign w:val="bottom"/>
          </w:tcPr>
          <w:p>
            <w:pPr>
              <w:spacing w:after="0"/>
              <w:rPr>
                <w:sz w:val="1"/>
                <w:szCs w:val="1"/>
                <w:color w:val="auto"/>
              </w:rPr>
            </w:pPr>
          </w:p>
        </w:tc>
      </w:tr>
      <w:tr>
        <w:trPr>
          <w:trHeight w:val="146"/>
        </w:trPr>
        <w:tc>
          <w:tcPr>
            <w:tcW w:w="2240" w:type="dxa"/>
            <w:vAlign w:val="bottom"/>
            <w:tcBorders>
              <w:top w:val="single" w:sz="8" w:color="0000EE"/>
            </w:tcBorders>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USE OF PROCEEDS</w:t>
            </w:r>
          </w:p>
        </w:tc>
        <w:tc>
          <w:tcPr>
            <w:tcW w:w="4420" w:type="dxa"/>
            <w:vAlign w:val="bottom"/>
            <w:gridSpan w:val="12"/>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S-14</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200" w:type="dxa"/>
            <w:vAlign w:val="bottom"/>
            <w:tcBorders>
              <w:bottom w:val="single" w:sz="8" w:color="0000EE"/>
            </w:tcBorders>
            <w:gridSpan w:val="13"/>
          </w:tcPr>
          <w:p>
            <w:pPr>
              <w:spacing w:after="0" w:line="146" w:lineRule="exact"/>
              <w:rPr>
                <w:sz w:val="20"/>
                <w:szCs w:val="20"/>
                <w:color w:val="auto"/>
              </w:rPr>
            </w:pPr>
            <w:r>
              <w:rPr>
                <w:rFonts w:ascii="Times New Roman" w:cs="Times New Roman" w:eastAsia="Times New Roman" w:hAnsi="Times New Roman"/>
                <w:sz w:val="14"/>
                <w:szCs w:val="14"/>
                <w:color w:val="0000EE"/>
                <w:w w:val="96"/>
              </w:rPr>
              <w:t>PRICE RANGE OF CAPITAL STOCK</w:t>
            </w:r>
          </w:p>
        </w:tc>
        <w:tc>
          <w:tcPr>
            <w:tcW w:w="4460" w:type="dxa"/>
            <w:vAlign w:val="bottom"/>
            <w:gridSpan w:val="14"/>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S-15</w:t>
            </w:r>
          </w:p>
        </w:tc>
        <w:tc>
          <w:tcPr>
            <w:tcW w:w="0" w:type="dxa"/>
            <w:vAlign w:val="bottom"/>
          </w:tcPr>
          <w:p>
            <w:pPr>
              <w:spacing w:after="0"/>
              <w:rPr>
                <w:sz w:val="1"/>
                <w:szCs w:val="1"/>
                <w:color w:val="auto"/>
              </w:rPr>
            </w:pPr>
          </w:p>
        </w:tc>
      </w:tr>
      <w:tr>
        <w:trPr>
          <w:trHeight w:val="146"/>
        </w:trPr>
        <w:tc>
          <w:tcPr>
            <w:tcW w:w="1200" w:type="dxa"/>
            <w:vAlign w:val="bottom"/>
            <w:tcBorders>
              <w:bottom w:val="single" w:sz="8" w:color="0000EE"/>
            </w:tcBorders>
            <w:gridSpan w:val="5"/>
          </w:tcPr>
          <w:p>
            <w:pPr>
              <w:spacing w:after="0" w:line="146" w:lineRule="exact"/>
              <w:rPr>
                <w:sz w:val="20"/>
                <w:szCs w:val="20"/>
                <w:color w:val="auto"/>
              </w:rPr>
            </w:pPr>
            <w:r>
              <w:rPr>
                <w:rFonts w:ascii="Times New Roman" w:cs="Times New Roman" w:eastAsia="Times New Roman" w:hAnsi="Times New Roman"/>
                <w:sz w:val="14"/>
                <w:szCs w:val="14"/>
                <w:color w:val="0000EE"/>
              </w:rPr>
              <w:t>CAPITALIZATION</w:t>
            </w:r>
          </w:p>
        </w:tc>
        <w:tc>
          <w:tcPr>
            <w:tcW w:w="5460" w:type="dxa"/>
            <w:vAlign w:val="bottom"/>
            <w:gridSpan w:val="22"/>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S-16</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UNDERWRITING</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S-17</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120" w:type="dxa"/>
            <w:vAlign w:val="bottom"/>
            <w:tcBorders>
              <w:bottom w:val="single" w:sz="8" w:color="0000EE"/>
            </w:tcBorders>
            <w:gridSpan w:val="4"/>
          </w:tcPr>
          <w:p>
            <w:pPr>
              <w:spacing w:after="0" w:line="146" w:lineRule="exact"/>
              <w:rPr>
                <w:sz w:val="20"/>
                <w:szCs w:val="20"/>
                <w:color w:val="auto"/>
              </w:rPr>
            </w:pPr>
            <w:r>
              <w:rPr>
                <w:rFonts w:ascii="Times New Roman" w:cs="Times New Roman" w:eastAsia="Times New Roman" w:hAnsi="Times New Roman"/>
                <w:sz w:val="14"/>
                <w:szCs w:val="14"/>
                <w:color w:val="0000EE"/>
                <w:w w:val="95"/>
              </w:rPr>
              <w:t>LEGAL MATTERS</w:t>
            </w:r>
          </w:p>
        </w:tc>
        <w:tc>
          <w:tcPr>
            <w:tcW w:w="5540" w:type="dxa"/>
            <w:vAlign w:val="bottom"/>
            <w:gridSpan w:val="23"/>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S-22</w:t>
            </w:r>
          </w:p>
        </w:tc>
        <w:tc>
          <w:tcPr>
            <w:tcW w:w="0" w:type="dxa"/>
            <w:vAlign w:val="bottom"/>
          </w:tcPr>
          <w:p>
            <w:pPr>
              <w:spacing w:after="0"/>
              <w:rPr>
                <w:sz w:val="1"/>
                <w:szCs w:val="1"/>
                <w:color w:val="auto"/>
              </w:rPr>
            </w:pPr>
          </w:p>
        </w:tc>
      </w:tr>
      <w:tr>
        <w:trPr>
          <w:trHeight w:val="146"/>
        </w:trPr>
        <w:tc>
          <w:tcPr>
            <w:tcW w:w="3680" w:type="dxa"/>
            <w:vAlign w:val="bottom"/>
            <w:tcBorders>
              <w:bottom w:val="single" w:sz="8" w:color="0000EE"/>
            </w:tcBorders>
            <w:gridSpan w:val="24"/>
          </w:tcPr>
          <w:p>
            <w:pPr>
              <w:spacing w:after="0" w:line="146" w:lineRule="exact"/>
              <w:rPr>
                <w:sz w:val="20"/>
                <w:szCs w:val="20"/>
                <w:color w:val="auto"/>
              </w:rPr>
            </w:pPr>
            <w:r>
              <w:rPr>
                <w:rFonts w:ascii="Times New Roman" w:cs="Times New Roman" w:eastAsia="Times New Roman" w:hAnsi="Times New Roman"/>
                <w:sz w:val="14"/>
                <w:szCs w:val="14"/>
                <w:color w:val="0000EE"/>
                <w:w w:val="98"/>
              </w:rPr>
              <w:t>INDEPENDENT REGISTERED PUBLIC ACCOUNTING FIRM</w:t>
            </w:r>
          </w:p>
        </w:tc>
        <w:tc>
          <w:tcPr>
            <w:tcW w:w="2980" w:type="dxa"/>
            <w:vAlign w:val="bottom"/>
            <w:gridSpan w:val="3"/>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S-22</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INDEPENDENT AUDITOR</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160" w:type="dxa"/>
            <w:vAlign w:val="bottom"/>
            <w:tcBorders>
              <w:bottom w:val="single" w:sz="8" w:color="0000EE"/>
            </w:tcBorders>
            <w:gridSpan w:val="12"/>
          </w:tcPr>
          <w:p>
            <w:pPr>
              <w:spacing w:after="0" w:line="146" w:lineRule="exact"/>
              <w:rPr>
                <w:sz w:val="20"/>
                <w:szCs w:val="20"/>
                <w:color w:val="auto"/>
              </w:rPr>
            </w:pPr>
            <w:r>
              <w:rPr>
                <w:rFonts w:ascii="Times New Roman" w:cs="Times New Roman" w:eastAsia="Times New Roman" w:hAnsi="Times New Roman"/>
                <w:sz w:val="14"/>
                <w:szCs w:val="14"/>
                <w:color w:val="0000EE"/>
                <w:w w:val="96"/>
              </w:rPr>
              <w:t>INCORPORATION BY REFERENCE</w:t>
            </w:r>
          </w:p>
        </w:tc>
        <w:tc>
          <w:tcPr>
            <w:tcW w:w="4500" w:type="dxa"/>
            <w:vAlign w:val="bottom"/>
            <w:gridSpan w:val="15"/>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S-22</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AVAILABLE INFORMATION</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S-23</w:t>
            </w:r>
          </w:p>
        </w:tc>
        <w:tc>
          <w:tcPr>
            <w:tcW w:w="0" w:type="dxa"/>
            <w:vAlign w:val="bottom"/>
          </w:tcPr>
          <w:p>
            <w:pPr>
              <w:spacing w:after="0"/>
              <w:rPr>
                <w:sz w:val="1"/>
                <w:szCs w:val="1"/>
                <w:color w:val="auto"/>
              </w:rPr>
            </w:pPr>
          </w:p>
        </w:tc>
      </w:tr>
      <w:tr>
        <w:trPr>
          <w:trHeight w:val="509"/>
        </w:trPr>
        <w:tc>
          <w:tcPr>
            <w:tcW w:w="9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gridSpan w:val="2"/>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w w:val="99"/>
              </w:rPr>
              <w:t>PROSPECTUS</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56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0000EE"/>
                <w:w w:val="93"/>
              </w:rPr>
              <w:t>PROSPECTUS SUMMARY</w:t>
            </w:r>
          </w:p>
        </w:tc>
        <w:tc>
          <w:tcPr>
            <w:tcW w:w="5100" w:type="dxa"/>
            <w:vAlign w:val="bottom"/>
            <w:gridSpan w:val="19"/>
            <w:vMerge w:val="restart"/>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20"/>
        </w:trPr>
        <w:tc>
          <w:tcPr>
            <w:tcW w:w="1560" w:type="dxa"/>
            <w:vAlign w:val="bottom"/>
            <w:tcBorders>
              <w:bottom w:val="single" w:sz="8" w:color="0000EE"/>
            </w:tcBorders>
            <w:gridSpan w:val="8"/>
            <w:vMerge w:val="continue"/>
          </w:tcPr>
          <w:p>
            <w:pPr>
              <w:spacing w:after="0"/>
              <w:rPr>
                <w:sz w:val="9"/>
                <w:szCs w:val="9"/>
                <w:color w:val="auto"/>
              </w:rPr>
            </w:pPr>
          </w:p>
        </w:tc>
        <w:tc>
          <w:tcPr>
            <w:tcW w:w="5100" w:type="dxa"/>
            <w:vAlign w:val="bottom"/>
            <w:gridSpan w:val="19"/>
            <w:vMerge w:val="continue"/>
          </w:tcPr>
          <w:p>
            <w:pPr>
              <w:spacing w:after="0"/>
              <w:rPr>
                <w:sz w:val="9"/>
                <w:szCs w:val="9"/>
                <w:color w:val="auto"/>
              </w:rPr>
            </w:pPr>
          </w:p>
        </w:tc>
        <w:tc>
          <w:tcPr>
            <w:tcW w:w="1520" w:type="dxa"/>
            <w:vAlign w:val="bottom"/>
          </w:tcPr>
          <w:p>
            <w:pPr>
              <w:spacing w:after="0"/>
              <w:rPr>
                <w:sz w:val="9"/>
                <w:szCs w:val="9"/>
                <w:color w:val="auto"/>
              </w:rPr>
            </w:pPr>
          </w:p>
        </w:tc>
        <w:tc>
          <w:tcPr>
            <w:tcW w:w="2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6660" w:type="dxa"/>
            <w:vAlign w:val="bottom"/>
            <w:gridSpan w:val="27"/>
          </w:tcPr>
          <w:p>
            <w:pPr>
              <w:spacing w:after="0" w:line="156" w:lineRule="exact"/>
              <w:rPr>
                <w:sz w:val="20"/>
                <w:szCs w:val="20"/>
                <w:color w:val="auto"/>
              </w:rPr>
            </w:pPr>
            <w:r>
              <w:rPr>
                <w:rFonts w:ascii="Times New Roman" w:cs="Times New Roman" w:eastAsia="Times New Roman" w:hAnsi="Times New Roman"/>
                <w:sz w:val="14"/>
                <w:szCs w:val="14"/>
                <w:color w:val="0000EE"/>
              </w:rPr>
              <w:t>FEES AND EXPENSES</w:t>
            </w:r>
          </w:p>
        </w:tc>
        <w:tc>
          <w:tcPr>
            <w:tcW w:w="1780" w:type="dxa"/>
            <w:vAlign w:val="bottom"/>
            <w:gridSpan w:val="3"/>
          </w:tcPr>
          <w:p>
            <w:pPr>
              <w:jc w:val="right"/>
              <w:ind w:right="20"/>
              <w:spacing w:after="0" w:line="156"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FINANCIAL HIGHLIGHTS</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6"/>
        </w:trPr>
        <w:tc>
          <w:tcPr>
            <w:tcW w:w="960" w:type="dxa"/>
            <w:vAlign w:val="bottom"/>
            <w:tcBorders>
              <w:top w:val="single" w:sz="8" w:color="0000EE"/>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color w:val="0000EE"/>
                <w:w w:val="95"/>
              </w:rPr>
              <w:t>RISK FACTORS</w:t>
            </w:r>
          </w:p>
        </w:tc>
        <w:tc>
          <w:tcPr>
            <w:tcW w:w="600" w:type="dxa"/>
            <w:vAlign w:val="bottom"/>
            <w:tcBorders>
              <w:top w:val="single" w:sz="8" w:color="0000EE"/>
            </w:tcBorders>
            <w:gridSpan w:val="7"/>
          </w:tcPr>
          <w:p>
            <w:pPr>
              <w:spacing w:after="0"/>
              <w:rPr>
                <w:sz w:val="12"/>
                <w:szCs w:val="12"/>
                <w:color w:val="auto"/>
              </w:rPr>
            </w:pPr>
          </w:p>
        </w:tc>
        <w:tc>
          <w:tcPr>
            <w:tcW w:w="5100" w:type="dxa"/>
            <w:vAlign w:val="bottom"/>
            <w:gridSpan w:val="19"/>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FORWARD-LOOKING STATEMENTS</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6"/>
        </w:trPr>
        <w:tc>
          <w:tcPr>
            <w:tcW w:w="2240" w:type="dxa"/>
            <w:vAlign w:val="bottom"/>
            <w:tcBorders>
              <w:top w:val="single" w:sz="8" w:color="0000EE"/>
            </w:tcBorders>
            <w:gridSpan w:val="15"/>
          </w:tcPr>
          <w:p>
            <w:pPr>
              <w:spacing w:after="0" w:line="146" w:lineRule="exact"/>
              <w:rPr>
                <w:sz w:val="20"/>
                <w:szCs w:val="20"/>
                <w:color w:val="auto"/>
              </w:rPr>
            </w:pPr>
            <w:r>
              <w:rPr>
                <w:rFonts w:ascii="Times New Roman" w:cs="Times New Roman" w:eastAsia="Times New Roman" w:hAnsi="Times New Roman"/>
                <w:sz w:val="14"/>
                <w:szCs w:val="14"/>
                <w:color w:val="0000EE"/>
              </w:rPr>
              <w:t>USE OF PROCEEDS</w:t>
            </w:r>
          </w:p>
        </w:tc>
        <w:tc>
          <w:tcPr>
            <w:tcW w:w="4420" w:type="dxa"/>
            <w:vAlign w:val="bottom"/>
            <w:gridSpan w:val="12"/>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360" w:type="dxa"/>
            <w:vAlign w:val="bottom"/>
            <w:tcBorders>
              <w:bottom w:val="single" w:sz="8" w:color="0000EE"/>
            </w:tcBorders>
            <w:gridSpan w:val="6"/>
          </w:tcPr>
          <w:p>
            <w:pPr>
              <w:spacing w:after="0" w:line="146" w:lineRule="exact"/>
              <w:rPr>
                <w:sz w:val="20"/>
                <w:szCs w:val="20"/>
                <w:color w:val="auto"/>
              </w:rPr>
            </w:pPr>
            <w:r>
              <w:rPr>
                <w:rFonts w:ascii="Times New Roman" w:cs="Times New Roman" w:eastAsia="Times New Roman" w:hAnsi="Times New Roman"/>
                <w:sz w:val="14"/>
                <w:szCs w:val="14"/>
                <w:color w:val="0000EE"/>
                <w:w w:val="98"/>
              </w:rPr>
              <w:t>SENIOR SECURITIES</w:t>
            </w:r>
          </w:p>
        </w:tc>
        <w:tc>
          <w:tcPr>
            <w:tcW w:w="5300" w:type="dxa"/>
            <w:vAlign w:val="bottom"/>
            <w:gridSpan w:val="21"/>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PRICE RANGE OF COMMON STOCK</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560" w:type="dxa"/>
            <w:vAlign w:val="bottom"/>
            <w:tcBorders>
              <w:bottom w:val="single" w:sz="8" w:color="0000EE"/>
            </w:tcBorders>
            <w:gridSpan w:val="23"/>
          </w:tcPr>
          <w:p>
            <w:pPr>
              <w:spacing w:after="0" w:line="146" w:lineRule="exact"/>
              <w:rPr>
                <w:sz w:val="20"/>
                <w:szCs w:val="20"/>
                <w:color w:val="auto"/>
              </w:rPr>
            </w:pPr>
            <w:r>
              <w:rPr>
                <w:rFonts w:ascii="Times New Roman" w:cs="Times New Roman" w:eastAsia="Times New Roman" w:hAnsi="Times New Roman"/>
                <w:sz w:val="14"/>
                <w:szCs w:val="14"/>
                <w:color w:val="0000EE"/>
                <w:w w:val="97"/>
              </w:rPr>
              <w:t>SALES OF COMMON STOCK BELOW NET ASSET VALUE</w:t>
            </w:r>
          </w:p>
        </w:tc>
        <w:tc>
          <w:tcPr>
            <w:tcW w:w="3100" w:type="dxa"/>
            <w:vAlign w:val="bottom"/>
            <w:gridSpan w:val="4"/>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6"/>
        </w:trPr>
        <w:tc>
          <w:tcPr>
            <w:tcW w:w="1060" w:type="dxa"/>
            <w:vAlign w:val="bottom"/>
            <w:tcBorders>
              <w:bottom w:val="single" w:sz="8" w:color="0000EE"/>
            </w:tcBorders>
            <w:gridSpan w:val="3"/>
          </w:tcPr>
          <w:p>
            <w:pPr>
              <w:spacing w:after="0" w:line="146" w:lineRule="exact"/>
              <w:rPr>
                <w:sz w:val="20"/>
                <w:szCs w:val="20"/>
                <w:color w:val="auto"/>
              </w:rPr>
            </w:pPr>
            <w:r>
              <w:rPr>
                <w:rFonts w:ascii="Times New Roman" w:cs="Times New Roman" w:eastAsia="Times New Roman" w:hAnsi="Times New Roman"/>
                <w:sz w:val="14"/>
                <w:szCs w:val="14"/>
                <w:color w:val="0000EE"/>
                <w:w w:val="96"/>
              </w:rPr>
              <w:t>DISTRIBUTIONS</w:t>
            </w:r>
          </w:p>
        </w:tc>
        <w:tc>
          <w:tcPr>
            <w:tcW w:w="5600" w:type="dxa"/>
            <w:vAlign w:val="bottom"/>
            <w:gridSpan w:val="24"/>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PORTFOLIO COMPANIES</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780" w:type="dxa"/>
            <w:vAlign w:val="bottom"/>
            <w:tcBorders>
              <w:bottom w:val="single" w:sz="8" w:color="0000EE"/>
            </w:tcBorders>
            <w:gridSpan w:val="11"/>
          </w:tcPr>
          <w:p>
            <w:pPr>
              <w:spacing w:after="0" w:line="146" w:lineRule="exact"/>
              <w:rPr>
                <w:sz w:val="20"/>
                <w:szCs w:val="20"/>
                <w:color w:val="auto"/>
              </w:rPr>
            </w:pPr>
            <w:r>
              <w:rPr>
                <w:rFonts w:ascii="Times New Roman" w:cs="Times New Roman" w:eastAsia="Times New Roman" w:hAnsi="Times New Roman"/>
                <w:sz w:val="14"/>
                <w:szCs w:val="14"/>
                <w:color w:val="0000EE"/>
                <w:w w:val="96"/>
              </w:rPr>
              <w:t>PORTFOLIO MANAGEMENT</w:t>
            </w:r>
          </w:p>
        </w:tc>
        <w:tc>
          <w:tcPr>
            <w:tcW w:w="4880" w:type="dxa"/>
            <w:vAlign w:val="bottom"/>
            <w:gridSpan w:val="16"/>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6"/>
        </w:trPr>
        <w:tc>
          <w:tcPr>
            <w:tcW w:w="2580" w:type="dxa"/>
            <w:vAlign w:val="bottom"/>
            <w:tcBorders>
              <w:bottom w:val="single" w:sz="8" w:color="0000EE"/>
            </w:tcBorders>
            <w:gridSpan w:val="18"/>
          </w:tcPr>
          <w:p>
            <w:pPr>
              <w:spacing w:after="0" w:line="146" w:lineRule="exact"/>
              <w:rPr>
                <w:sz w:val="20"/>
                <w:szCs w:val="20"/>
                <w:color w:val="auto"/>
              </w:rPr>
            </w:pPr>
            <w:r>
              <w:rPr>
                <w:rFonts w:ascii="Times New Roman" w:cs="Times New Roman" w:eastAsia="Times New Roman" w:hAnsi="Times New Roman"/>
                <w:sz w:val="14"/>
                <w:szCs w:val="14"/>
                <w:color w:val="0000EE"/>
                <w:w w:val="96"/>
              </w:rPr>
              <w:t>DETERMINATION OF NET ASSET VALUE</w:t>
            </w:r>
          </w:p>
        </w:tc>
        <w:tc>
          <w:tcPr>
            <w:tcW w:w="4080" w:type="dxa"/>
            <w:vAlign w:val="bottom"/>
            <w:gridSpan w:val="9"/>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CAPITAL STOCK</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740" w:type="dxa"/>
            <w:vAlign w:val="bottom"/>
            <w:tcBorders>
              <w:bottom w:val="single" w:sz="8" w:color="0000EE"/>
            </w:tcBorders>
            <w:gridSpan w:val="20"/>
          </w:tcPr>
          <w:p>
            <w:pPr>
              <w:spacing w:after="0" w:line="146" w:lineRule="exact"/>
              <w:rPr>
                <w:sz w:val="20"/>
                <w:szCs w:val="20"/>
                <w:color w:val="auto"/>
              </w:rPr>
            </w:pPr>
            <w:r>
              <w:rPr>
                <w:rFonts w:ascii="Times New Roman" w:cs="Times New Roman" w:eastAsia="Times New Roman" w:hAnsi="Times New Roman"/>
                <w:sz w:val="14"/>
                <w:szCs w:val="14"/>
                <w:color w:val="0000EE"/>
                <w:w w:val="97"/>
              </w:rPr>
              <w:t>DESCRIPTION OF OUR PREFERRED STOCK</w:t>
            </w:r>
          </w:p>
        </w:tc>
        <w:tc>
          <w:tcPr>
            <w:tcW w:w="3920" w:type="dxa"/>
            <w:vAlign w:val="bottom"/>
            <w:gridSpan w:val="7"/>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WARRANTS</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SUBSCRIPTION RIGHTS</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6"/>
        </w:trPr>
        <w:tc>
          <w:tcPr>
            <w:tcW w:w="2980" w:type="dxa"/>
            <w:vAlign w:val="bottom"/>
            <w:tcBorders>
              <w:top w:val="single" w:sz="8" w:color="0000EE"/>
            </w:tcBorders>
            <w:gridSpan w:val="21"/>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DEBT SECURITIES</w:t>
            </w:r>
          </w:p>
        </w:tc>
        <w:tc>
          <w:tcPr>
            <w:tcW w:w="3680" w:type="dxa"/>
            <w:vAlign w:val="bottom"/>
            <w:gridSpan w:val="6"/>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9"/>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440" w:type="dxa"/>
            <w:vAlign w:val="bottom"/>
            <w:tcBorders>
              <w:bottom w:val="single" w:sz="8" w:color="0000EE"/>
            </w:tcBorders>
            <w:gridSpan w:val="22"/>
          </w:tcPr>
          <w:p>
            <w:pPr>
              <w:spacing w:after="0" w:line="146" w:lineRule="exact"/>
              <w:rPr>
                <w:sz w:val="20"/>
                <w:szCs w:val="20"/>
                <w:color w:val="auto"/>
              </w:rPr>
            </w:pPr>
            <w:r>
              <w:rPr>
                <w:rFonts w:ascii="Times New Roman" w:cs="Times New Roman" w:eastAsia="Times New Roman" w:hAnsi="Times New Roman"/>
                <w:sz w:val="14"/>
                <w:szCs w:val="14"/>
                <w:color w:val="0000EE"/>
                <w:w w:val="97"/>
              </w:rPr>
              <w:t>BROKERAGE ALLOCATIONS AND OTHER PRACTICES</w:t>
            </w:r>
          </w:p>
        </w:tc>
        <w:tc>
          <w:tcPr>
            <w:tcW w:w="3220" w:type="dxa"/>
            <w:vAlign w:val="bottom"/>
            <w:gridSpan w:val="5"/>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6"/>
        </w:trPr>
        <w:tc>
          <w:tcPr>
            <w:tcW w:w="3740" w:type="dxa"/>
            <w:vAlign w:val="bottom"/>
            <w:tcBorders>
              <w:bottom w:val="single" w:sz="8" w:color="0000EE"/>
            </w:tcBorders>
            <w:gridSpan w:val="25"/>
          </w:tcPr>
          <w:p>
            <w:pPr>
              <w:spacing w:after="0" w:line="146" w:lineRule="exact"/>
              <w:rPr>
                <w:sz w:val="20"/>
                <w:szCs w:val="20"/>
                <w:color w:val="auto"/>
              </w:rPr>
            </w:pPr>
            <w:r>
              <w:rPr>
                <w:rFonts w:ascii="Times New Roman" w:cs="Times New Roman" w:eastAsia="Times New Roman" w:hAnsi="Times New Roman"/>
                <w:sz w:val="14"/>
                <w:szCs w:val="14"/>
                <w:color w:val="0000EE"/>
                <w:w w:val="97"/>
              </w:rPr>
              <w:t>MATERIAL U.S. FEDERAL INCOME TAX CONSIDERATIONS</w:t>
            </w:r>
          </w:p>
        </w:tc>
        <w:tc>
          <w:tcPr>
            <w:tcW w:w="2920" w:type="dxa"/>
            <w:vAlign w:val="bottom"/>
            <w:gridSpan w:val="2"/>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PLAN OF DISTRIBUTION</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gridSpan w:val="1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560" w:type="dxa"/>
            <w:vAlign w:val="bottom"/>
            <w:tcBorders>
              <w:bottom w:val="single" w:sz="8" w:color="0000EE"/>
            </w:tcBorders>
            <w:gridSpan w:val="26"/>
          </w:tcPr>
          <w:p>
            <w:pPr>
              <w:spacing w:after="0" w:line="146" w:lineRule="exact"/>
              <w:rPr>
                <w:sz w:val="20"/>
                <w:szCs w:val="20"/>
                <w:color w:val="auto"/>
              </w:rPr>
            </w:pPr>
            <w:r>
              <w:rPr>
                <w:rFonts w:ascii="Times New Roman" w:cs="Times New Roman" w:eastAsia="Times New Roman" w:hAnsi="Times New Roman"/>
                <w:sz w:val="14"/>
                <w:szCs w:val="14"/>
                <w:color w:val="0000EE"/>
                <w:w w:val="97"/>
              </w:rPr>
              <w:t>SUB-ADMINISTRATOR, CUSTODIAN, TRANSFER AGENT AND TRUSTEE</w:t>
            </w:r>
          </w:p>
        </w:tc>
        <w:tc>
          <w:tcPr>
            <w:tcW w:w="2100" w:type="dxa"/>
            <w:vAlign w:val="bottom"/>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6"/>
        </w:trPr>
        <w:tc>
          <w:tcPr>
            <w:tcW w:w="1120" w:type="dxa"/>
            <w:vAlign w:val="bottom"/>
            <w:tcBorders>
              <w:bottom w:val="single" w:sz="8" w:color="0000EE"/>
            </w:tcBorders>
            <w:gridSpan w:val="4"/>
          </w:tcPr>
          <w:p>
            <w:pPr>
              <w:spacing w:after="0" w:line="146" w:lineRule="exact"/>
              <w:rPr>
                <w:sz w:val="20"/>
                <w:szCs w:val="20"/>
                <w:color w:val="auto"/>
              </w:rPr>
            </w:pPr>
            <w:r>
              <w:rPr>
                <w:rFonts w:ascii="Times New Roman" w:cs="Times New Roman" w:eastAsia="Times New Roman" w:hAnsi="Times New Roman"/>
                <w:sz w:val="14"/>
                <w:szCs w:val="14"/>
                <w:color w:val="0000EE"/>
                <w:w w:val="95"/>
              </w:rPr>
              <w:t>LEGAL MATTERS</w:t>
            </w:r>
          </w:p>
        </w:tc>
        <w:tc>
          <w:tcPr>
            <w:tcW w:w="5540" w:type="dxa"/>
            <w:vAlign w:val="bottom"/>
            <w:gridSpan w:val="23"/>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6"/>
        </w:trPr>
        <w:tc>
          <w:tcPr>
            <w:tcW w:w="3680" w:type="dxa"/>
            <w:vAlign w:val="bottom"/>
            <w:tcBorders>
              <w:bottom w:val="single" w:sz="8" w:color="0000EE"/>
            </w:tcBorders>
            <w:gridSpan w:val="24"/>
          </w:tcPr>
          <w:p>
            <w:pPr>
              <w:spacing w:after="0" w:line="146" w:lineRule="exact"/>
              <w:rPr>
                <w:sz w:val="20"/>
                <w:szCs w:val="20"/>
                <w:color w:val="auto"/>
              </w:rPr>
            </w:pPr>
            <w:r>
              <w:rPr>
                <w:rFonts w:ascii="Times New Roman" w:cs="Times New Roman" w:eastAsia="Times New Roman" w:hAnsi="Times New Roman"/>
                <w:sz w:val="14"/>
                <w:szCs w:val="14"/>
                <w:color w:val="0000EE"/>
                <w:w w:val="98"/>
              </w:rPr>
              <w:t>INDEPENDENT REGISTERED PUBLIC ACCOUNTING FIRM</w:t>
            </w:r>
          </w:p>
        </w:tc>
        <w:tc>
          <w:tcPr>
            <w:tcW w:w="2980" w:type="dxa"/>
            <w:vAlign w:val="bottom"/>
            <w:gridSpan w:val="3"/>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6"/>
        </w:trPr>
        <w:tc>
          <w:tcPr>
            <w:tcW w:w="6660" w:type="dxa"/>
            <w:vAlign w:val="bottom"/>
            <w:gridSpan w:val="27"/>
          </w:tcPr>
          <w:p>
            <w:pPr>
              <w:spacing w:after="0" w:line="146" w:lineRule="exact"/>
              <w:rPr>
                <w:sz w:val="20"/>
                <w:szCs w:val="20"/>
                <w:color w:val="auto"/>
              </w:rPr>
            </w:pPr>
            <w:r>
              <w:rPr>
                <w:rFonts w:ascii="Times New Roman" w:cs="Times New Roman" w:eastAsia="Times New Roman" w:hAnsi="Times New Roman"/>
                <w:sz w:val="14"/>
                <w:szCs w:val="14"/>
                <w:color w:val="0000EE"/>
              </w:rPr>
              <w:t>INDEPENDENT AUDITORS</w:t>
            </w: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
        </w:trPr>
        <w:tc>
          <w:tcPr>
            <w:tcW w:w="168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20" w:type="dxa"/>
            <w:vAlign w:val="bottom"/>
            <w:gridSpan w:val="17"/>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160" w:type="dxa"/>
            <w:vAlign w:val="bottom"/>
            <w:tcBorders>
              <w:bottom w:val="single" w:sz="8" w:color="0000EE"/>
            </w:tcBorders>
            <w:gridSpan w:val="12"/>
          </w:tcPr>
          <w:p>
            <w:pPr>
              <w:spacing w:after="0" w:line="146" w:lineRule="exact"/>
              <w:rPr>
                <w:sz w:val="20"/>
                <w:szCs w:val="20"/>
                <w:color w:val="auto"/>
              </w:rPr>
            </w:pPr>
            <w:r>
              <w:rPr>
                <w:rFonts w:ascii="Times New Roman" w:cs="Times New Roman" w:eastAsia="Times New Roman" w:hAnsi="Times New Roman"/>
                <w:sz w:val="14"/>
                <w:szCs w:val="14"/>
                <w:color w:val="0000EE"/>
                <w:w w:val="96"/>
              </w:rPr>
              <w:t>INCORPORATION BY REFERENCE</w:t>
            </w:r>
          </w:p>
        </w:tc>
        <w:tc>
          <w:tcPr>
            <w:tcW w:w="4500" w:type="dxa"/>
            <w:vAlign w:val="bottom"/>
            <w:gridSpan w:val="15"/>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6"/>
        </w:trPr>
        <w:tc>
          <w:tcPr>
            <w:tcW w:w="1740" w:type="dxa"/>
            <w:vAlign w:val="bottom"/>
            <w:tcBorders>
              <w:bottom w:val="single" w:sz="8" w:color="0000EE"/>
            </w:tcBorders>
            <w:gridSpan w:val="10"/>
          </w:tcPr>
          <w:p>
            <w:pPr>
              <w:spacing w:after="0" w:line="146" w:lineRule="exact"/>
              <w:rPr>
                <w:sz w:val="20"/>
                <w:szCs w:val="20"/>
                <w:color w:val="auto"/>
              </w:rPr>
            </w:pPr>
            <w:r>
              <w:rPr>
                <w:rFonts w:ascii="Times New Roman" w:cs="Times New Roman" w:eastAsia="Times New Roman" w:hAnsi="Times New Roman"/>
                <w:sz w:val="14"/>
                <w:szCs w:val="14"/>
                <w:color w:val="0000EE"/>
                <w:w w:val="94"/>
              </w:rPr>
              <w:t>AVAILABLE INFORMATION</w:t>
            </w:r>
          </w:p>
        </w:tc>
        <w:tc>
          <w:tcPr>
            <w:tcW w:w="4920" w:type="dxa"/>
            <w:vAlign w:val="bottom"/>
            <w:gridSpan w:val="17"/>
          </w:tcPr>
          <w:p>
            <w:pPr>
              <w:spacing w:after="0"/>
              <w:rPr>
                <w:sz w:val="12"/>
                <w:szCs w:val="12"/>
                <w:color w:val="auto"/>
              </w:rPr>
            </w:pPr>
          </w:p>
        </w:tc>
        <w:tc>
          <w:tcPr>
            <w:tcW w:w="178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9019"/>
          </w:cols>
          <w:pgMar w:left="1440" w:top="25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ABOUT THIS PROSPECTUS SUPPLEMENT</w:t>
      </w:r>
    </w:p>
    <w:p>
      <w:pPr>
        <w:spacing w:after="0" w:line="173" w:lineRule="exact"/>
        <w:rPr>
          <w:sz w:val="20"/>
          <w:szCs w:val="20"/>
          <w:color w:val="auto"/>
        </w:rPr>
      </w:pPr>
    </w:p>
    <w:p>
      <w:pPr>
        <w:ind w:left="280" w:right="339"/>
        <w:spacing w:after="0" w:line="250"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specific details regarding the terms of this offering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or any exhibits and documents incorporated by reference. Please carefully read this prospectus supplement and the accompanying prospectus together with any free writing prospectus that we have authorized for use in connection with this offering and any exhibits and documents incorporated by reference before you make an investment decision.</w:t>
      </w:r>
    </w:p>
    <w:p>
      <w:pPr>
        <w:spacing w:after="0" w:line="144" w:lineRule="exact"/>
        <w:rPr>
          <w:sz w:val="20"/>
          <w:szCs w:val="20"/>
          <w:color w:val="auto"/>
        </w:rPr>
      </w:pPr>
    </w:p>
    <w:p>
      <w:pPr>
        <w:ind w:left="280" w:right="339"/>
        <w:spacing w:after="0" w:line="269" w:lineRule="auto"/>
        <w:rPr>
          <w:sz w:val="20"/>
          <w:szCs w:val="20"/>
          <w:color w:val="auto"/>
        </w:rPr>
      </w:pPr>
      <w:r>
        <w:rPr>
          <w:rFonts w:ascii="Times New Roman" w:cs="Times New Roman" w:eastAsia="Times New Roman" w:hAnsi="Times New Roman"/>
          <w:sz w:val="13"/>
          <w:szCs w:val="13"/>
          <w:b w:val="1"/>
          <w:bCs w:val="1"/>
          <w:color w:val="auto"/>
        </w:rPr>
        <w:t>YOU SHOULD RELY ONLY ON THE INFORMATION CONTAINED IN THIS PROSPECTUS SUPPLEMENT, INCLUDING ANY DOCUMENTS WE INCORPORATE BY REFERENCE HEREIN, THE ACCOMPANYING PROSPECTUS AND ANY FREE WRITING PROSPECTUS PREPARED BY OR ON BEHALF OF US THAT RELATES TO THIS OFFERING, INCLUDING THE DOCUMENTS WE INCORPORATE BY REFERENCE THEREIN. NEITHER WE NOR ANY UNDERWRITER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UNDERWRITERS ARE NOT, MAKING AN OFFER TO SELL SHARES OF OUR COMMON STOCK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ARE ACCURATE ONLY AS OF THEIR RESPECTIVE DATE, REGARDLESS OF THE TIME OF DELIVERY OF THIS PROSPECTUS SUPPLEMENT, THE ACCOMPANYING PROSPECTUS, ANY FREE WRITING PROSPECTUS OR ANY SALES OF SHARES OF OUR COMMON STOCK. OUR BUSINESS, FINANCIAL CONDITION, RESULTS OF OPERATIONS AND PROSPECTS MAY HAVE CHANGED SINCE THOSE DATES.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9019"/>
          </w:cols>
          <w:pgMar w:left="1440" w:top="258"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691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805" cy="4691380"/>
                    </a:xfrm>
                    <a:prstGeom prst="rect">
                      <a:avLst/>
                    </a:prstGeom>
                    <a:noFill/>
                  </pic:spPr>
                </pic:pic>
              </a:graphicData>
            </a:graphic>
          </wp:anchor>
        </w:drawing>
        <w:t>PROSPECTUS SUPPLEMENT SUMMARY</w:t>
      </w:r>
    </w:p>
    <w:p>
      <w:pPr>
        <w:spacing w:after="0" w:line="171" w:lineRule="exact"/>
        <w:rPr>
          <w:sz w:val="20"/>
          <w:szCs w:val="20"/>
          <w:color w:val="auto"/>
        </w:rPr>
      </w:pPr>
    </w:p>
    <w:p>
      <w:pPr>
        <w:ind w:left="420" w:right="439"/>
        <w:spacing w:after="0" w:line="251" w:lineRule="auto"/>
        <w:rPr>
          <w:sz w:val="20"/>
          <w:szCs w:val="20"/>
          <w:color w:val="auto"/>
        </w:rPr>
      </w:pPr>
      <w:r>
        <w:rPr>
          <w:rFonts w:ascii="Times New Roman" w:cs="Times New Roman" w:eastAsia="Times New Roman" w:hAnsi="Times New Roman"/>
          <w:sz w:val="14"/>
          <w:szCs w:val="14"/>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the section titled “Risk Factors” in our most recent Annual Report on Form 10-K and elsewhere in this prospectus supplement and the accompanying prospectus. You should read carefully the more detailed information set forth under “Risk Factors” and the other information included in this prospectus supplement and accompanying prospectus.</w:t>
      </w:r>
    </w:p>
    <w:p>
      <w:pPr>
        <w:spacing w:after="0" w:line="144" w:lineRule="exact"/>
        <w:rPr>
          <w:sz w:val="20"/>
          <w:szCs w:val="20"/>
          <w:color w:val="auto"/>
        </w:rPr>
      </w:pPr>
    </w:p>
    <w:p>
      <w:pPr>
        <w:ind w:left="420" w:right="459"/>
        <w:spacing w:after="0" w:line="268" w:lineRule="auto"/>
        <w:rPr>
          <w:sz w:val="20"/>
          <w:szCs w:val="20"/>
          <w:color w:val="auto"/>
        </w:rPr>
      </w:pPr>
      <w:r>
        <w:rPr>
          <w:rFonts w:ascii="Times New Roman" w:cs="Times New Roman" w:eastAsia="Times New Roman" w:hAnsi="Times New Roman"/>
          <w:sz w:val="13"/>
          <w:szCs w:val="13"/>
          <w:i w:val="1"/>
          <w:iCs w:val="1"/>
          <w:color w:val="auto"/>
        </w:rPr>
        <w:t>In this prospectus supplement and the accompanying prospectus, except where the context suggests otherwise, the terms “Company,” “we,” “our” or “us” refer to PennantPark Floating Rate Capital Ltd. and its wholly-owned consolidated subsidiaries; “Funding I” refers to PennantPark Floating Rate Funding I, LLC; “PSSL” refers to PennantPark Senior Secured Loan Fund I LLC, an unconsolidated joint venture; “PTSF” refers to PennantPark-TSO Senior Loan Fund, LP, an unconsolidated limited partnership; “PennantPark Investment Advisers” or “Investment Adviser” refer to PennantPark Investment Advisers, LLC; “Administrator” refers to PennantPark Investment Administration, LLC; “2023 Notes” refers to our 4.3% Series A notes due 2023; “2026 Notes” refers to our 4.25% Notes due 2026; “1940 Act” refers to the Investment Company Act of 1940, as amended; “Code” refers to the Internal Revenue Code of 1986, as amended; “RIC” refers to a regulated investment company under the Code; “BDC” refers to a business development company under the 1940 Act; “Credit Facility” refers to our multi-currency senior secured revolving credit facility, as amended from time to time, with Truist Bank and other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w:t>
      </w:r>
    </w:p>
    <w:p>
      <w:pPr>
        <w:spacing w:after="0" w:line="3" w:lineRule="exact"/>
        <w:rPr>
          <w:sz w:val="20"/>
          <w:szCs w:val="20"/>
          <w:color w:val="auto"/>
        </w:rPr>
      </w:pPr>
    </w:p>
    <w:p>
      <w:pPr>
        <w:jc w:val="both"/>
        <w:ind w:left="420" w:right="959" w:hanging="7"/>
        <w:spacing w:after="0" w:line="251" w:lineRule="auto"/>
        <w:tabs>
          <w:tab w:leader="none" w:pos="623"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borrowing of the Class A-1 Senior Secured Floating Rate Notes due 2031 by the Securitization Issuers in connection with the Debt Securitization. References to our portfolio, our investments, the Credit Facility and our business include investments we make through our subsidiaries.</w:t>
      </w: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General Business of PennantPark Floating Rate Capital Ltd.</w:t>
      </w:r>
    </w:p>
    <w:p>
      <w:pPr>
        <w:spacing w:after="0" w:line="90" w:lineRule="exact"/>
        <w:rPr>
          <w:sz w:val="20"/>
          <w:szCs w:val="20"/>
          <w:color w:val="auto"/>
        </w:rPr>
      </w:pPr>
    </w:p>
    <w:p>
      <w:pPr>
        <w:ind w:left="420" w:right="619"/>
        <w:spacing w:after="0" w:line="277" w:lineRule="auto"/>
        <w:rPr>
          <w:sz w:val="20"/>
          <w:szCs w:val="20"/>
          <w:color w:val="auto"/>
        </w:rPr>
      </w:pPr>
      <w:r>
        <w:rPr>
          <w:rFonts w:ascii="Times New Roman" w:cs="Times New Roman" w:eastAsia="Times New Roman" w:hAnsi="Times New Roman"/>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26" w:lineRule="exact"/>
        <w:rPr>
          <w:sz w:val="20"/>
          <w:szCs w:val="20"/>
          <w:color w:val="auto"/>
        </w:rPr>
      </w:pPr>
    </w:p>
    <w:p>
      <w:pPr>
        <w:ind w:left="420" w:right="599"/>
        <w:spacing w:after="0" w:line="252" w:lineRule="auto"/>
        <w:rPr>
          <w:sz w:val="20"/>
          <w:szCs w:val="20"/>
          <w:color w:val="auto"/>
        </w:rPr>
      </w:pPr>
      <w:r>
        <w:rPr>
          <w:rFonts w:ascii="Times New Roman" w:cs="Times New Roman" w:eastAsia="Times New Roman" w:hAnsi="Times New Roman"/>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403" w:right="1440" w:bottom="1440" w:gutter="0" w:footer="0" w:header="0"/>
        </w:sectPr>
      </w:pPr>
    </w:p>
    <w:bookmarkStart w:id="4" w:name="page5"/>
    <w:bookmarkEnd w:id="4"/>
    <w:p>
      <w:pPr>
        <w:ind w:left="420" w:right="53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375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805" cy="4375150"/>
                    </a:xfrm>
                    <a:prstGeom prst="rect">
                      <a:avLst/>
                    </a:prstGeom>
                    <a:noFill/>
                  </pic:spPr>
                </pic:pic>
              </a:graphicData>
            </a:graphic>
          </wp:anchor>
        </w:drawing>
        <w:t>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36" w:lineRule="exact"/>
        <w:rPr>
          <w:sz w:val="20"/>
          <w:szCs w:val="20"/>
          <w:color w:val="auto"/>
        </w:rPr>
      </w:pPr>
    </w:p>
    <w:p>
      <w:pPr>
        <w:ind w:left="420" w:right="459"/>
        <w:spacing w:after="0" w:line="253" w:lineRule="auto"/>
        <w:rPr>
          <w:sz w:val="20"/>
          <w:szCs w:val="20"/>
          <w:color w:val="auto"/>
        </w:rPr>
      </w:pPr>
      <w:r>
        <w:rPr>
          <w:rFonts w:ascii="Times New Roman" w:cs="Times New Roman" w:eastAsia="Times New Roman" w:hAnsi="Times New Roman"/>
          <w:sz w:val="14"/>
          <w:szCs w:val="14"/>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43" w:lineRule="exact"/>
        <w:rPr>
          <w:sz w:val="20"/>
          <w:szCs w:val="20"/>
          <w:color w:val="auto"/>
        </w:rPr>
      </w:pPr>
    </w:p>
    <w:p>
      <w:pPr>
        <w:ind w:left="420" w:right="499"/>
        <w:spacing w:after="0" w:line="257"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Organization and Structure of PennantPark Floating Rate Capital Ltd.</w:t>
      </w:r>
    </w:p>
    <w:p>
      <w:pPr>
        <w:spacing w:after="0" w:line="90" w:lineRule="exact"/>
        <w:rPr>
          <w:sz w:val="20"/>
          <w:szCs w:val="20"/>
          <w:color w:val="auto"/>
        </w:rPr>
      </w:pPr>
    </w:p>
    <w:p>
      <w:pPr>
        <w:ind w:left="420" w:right="479"/>
        <w:spacing w:after="0" w:line="262" w:lineRule="auto"/>
        <w:rPr>
          <w:sz w:val="20"/>
          <w:szCs w:val="20"/>
          <w:color w:val="auto"/>
        </w:rPr>
      </w:pPr>
      <w:r>
        <w:rPr>
          <w:rFonts w:ascii="Times New Roman" w:cs="Times New Roman" w:eastAsia="Times New Roman" w:hAnsi="Times New Roman"/>
          <w:sz w:val="14"/>
          <w:szCs w:val="14"/>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36" w:lineRule="exact"/>
        <w:rPr>
          <w:sz w:val="20"/>
          <w:szCs w:val="20"/>
          <w:color w:val="auto"/>
        </w:rPr>
      </w:pPr>
    </w:p>
    <w:p>
      <w:pPr>
        <w:ind w:left="420" w:right="499"/>
        <w:spacing w:after="0" w:line="251" w:lineRule="auto"/>
        <w:rPr>
          <w:sz w:val="20"/>
          <w:szCs w:val="20"/>
          <w:color w:val="auto"/>
        </w:rPr>
      </w:pPr>
      <w:r>
        <w:rPr>
          <w:rFonts w:ascii="Times New Roman" w:cs="Times New Roman" w:eastAsia="Times New Roman" w:hAnsi="Times New Roman"/>
          <w:sz w:val="14"/>
          <w:szCs w:val="14"/>
          <w:color w:val="auto"/>
        </w:rPr>
        <w:t>We have entered into an investment advisory management agreement, or the Investment Management Agreement, with the Investment Adviser, an external adviser that manages our day-to-day operation.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or the Administration Agreement.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Our board of directors, a majority of whom are independent of us, provides overall supervision of our activities, and the Investment Adviser supervises our day-to-day activities.</w:t>
      </w:r>
    </w:p>
    <w:p>
      <w:pPr>
        <w:spacing w:after="0" w:line="144" w:lineRule="exact"/>
        <w:rPr>
          <w:sz w:val="20"/>
          <w:szCs w:val="20"/>
          <w:color w:val="auto"/>
        </w:rPr>
      </w:pPr>
    </w:p>
    <w:p>
      <w:pPr>
        <w:jc w:val="both"/>
        <w:ind w:left="420" w:right="599"/>
        <w:spacing w:after="0" w:line="262" w:lineRule="auto"/>
        <w:rPr>
          <w:sz w:val="20"/>
          <w:szCs w:val="20"/>
          <w:color w:val="auto"/>
        </w:rPr>
      </w:pPr>
      <w:r>
        <w:rPr>
          <w:rFonts w:ascii="Times New Roman" w:cs="Times New Roman" w:eastAsia="Times New Roman" w:hAnsi="Times New Roman"/>
          <w:sz w:val="14"/>
          <w:szCs w:val="14"/>
          <w:color w:val="auto"/>
        </w:rPr>
        <w:t>Funding I, our wholly owned subsidiary and a special purpose entity, was organized in Delaware as a limited liability company in May 2011. On August 12, 2021, Funding I, as borrower, entered into the Credit Facility, which provides the ability for Funding I to borrow up to $366 million. The Credit Facility is secured by all of the assets of Funding I.</w:t>
      </w:r>
    </w:p>
    <w:p>
      <w:pPr>
        <w:spacing w:after="0" w:line="136" w:lineRule="exact"/>
        <w:rPr>
          <w:sz w:val="20"/>
          <w:szCs w:val="20"/>
          <w:color w:val="auto"/>
        </w:rPr>
      </w:pPr>
    </w:p>
    <w:p>
      <w:pPr>
        <w:ind w:left="420" w:right="579"/>
        <w:spacing w:after="0" w:line="262" w:lineRule="auto"/>
        <w:rPr>
          <w:sz w:val="20"/>
          <w:szCs w:val="20"/>
          <w:color w:val="auto"/>
        </w:rPr>
      </w:pPr>
      <w:r>
        <w:rPr>
          <w:rFonts w:ascii="Times New Roman" w:cs="Times New Roman" w:eastAsia="Times New Roman" w:hAnsi="Times New Roman"/>
          <w:sz w:val="14"/>
          <w:szCs w:val="14"/>
          <w:color w:val="auto"/>
        </w:rPr>
        <w:t>In May 2017, we and a subsidiary of Kemper Corporation (NYSE: KMPR), Trinity Universal Insurance Company, formed PSSL, an unconsolidated joint venture. PSSL invests primarily in middle-market and other corporate debt securities consistent with our strategy. PSSL was formed as a Delaware limited liability company.</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9019"/>
          </w:cols>
          <w:pgMar w:left="1440" w:top="405" w:right="1440" w:bottom="1440" w:gutter="0" w:footer="0" w:header="0"/>
        </w:sectPr>
      </w:pPr>
    </w:p>
    <w:bookmarkStart w:id="5" w:name="page6"/>
    <w:bookmarkEnd w:id="5"/>
    <w:p>
      <w:pPr>
        <w:ind w:left="4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46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805" cy="4546600"/>
                    </a:xfrm>
                    <a:prstGeom prst="rect">
                      <a:avLst/>
                    </a:prstGeom>
                    <a:noFill/>
                  </pic:spPr>
                </pic:pic>
              </a:graphicData>
            </a:graphic>
          </wp:anchor>
        </w:drawing>
        <w:t>Our Investment Adviser and Administrator</w:t>
      </w:r>
    </w:p>
    <w:p>
      <w:pPr>
        <w:spacing w:after="0" w:line="90" w:lineRule="exact"/>
        <w:rPr>
          <w:sz w:val="20"/>
          <w:szCs w:val="20"/>
          <w:color w:val="auto"/>
        </w:rPr>
      </w:pPr>
    </w:p>
    <w:p>
      <w:pPr>
        <w:ind w:left="420" w:right="439"/>
        <w:spacing w:after="0" w:line="250" w:lineRule="auto"/>
        <w:rPr>
          <w:sz w:val="20"/>
          <w:szCs w:val="20"/>
          <w:color w:val="auto"/>
        </w:rPr>
      </w:pPr>
      <w:r>
        <w:rPr>
          <w:rFonts w:ascii="Times New Roman" w:cs="Times New Roman" w:eastAsia="Times New Roman" w:hAnsi="Times New Roman"/>
          <w:sz w:val="14"/>
          <w:szCs w:val="14"/>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$17.1 billion in 628 companies with more than 200 different financial sponsors through its managed funds, which includes investments by the Company totaling $5.0 billion in 451 companies as of September 30, 2022.</w:t>
      </w:r>
    </w:p>
    <w:p>
      <w:pPr>
        <w:spacing w:after="0" w:line="148" w:lineRule="exact"/>
        <w:rPr>
          <w:sz w:val="20"/>
          <w:szCs w:val="20"/>
          <w:color w:val="auto"/>
        </w:rPr>
      </w:pPr>
    </w:p>
    <w:p>
      <w:pPr>
        <w:ind w:left="420" w:right="459"/>
        <w:spacing w:after="0" w:line="251" w:lineRule="auto"/>
        <w:rPr>
          <w:sz w:val="20"/>
          <w:szCs w:val="20"/>
          <w:color w:val="auto"/>
        </w:rPr>
      </w:pPr>
      <w:r>
        <w:rPr>
          <w:rFonts w:ascii="Times New Roman" w:cs="Times New Roman" w:eastAsia="Times New Roman" w:hAnsi="Times New Roman"/>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r>
        <w:rPr>
          <w:rFonts w:ascii="Times New Roman" w:cs="Times New Roman" w:eastAsia="Times New Roman" w:hAnsi="Times New Roman"/>
          <w:sz w:val="14"/>
          <w:szCs w:val="14"/>
          <w:i w:val="1"/>
          <w:iCs w:val="1"/>
          <w:color w:val="auto"/>
        </w:rPr>
        <w:t>Risk Factors—Risks Relating to our Business and Structure—There are significant potential conflicts of interest which could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impact our investment returns</w:t>
      </w:r>
      <w:r>
        <w:rPr>
          <w:rFonts w:ascii="Times New Roman" w:cs="Times New Roman" w:eastAsia="Times New Roman" w:hAnsi="Times New Roman"/>
          <w:sz w:val="14"/>
          <w:szCs w:val="14"/>
          <w:color w:val="auto"/>
        </w:rPr>
        <w:t>” in our most recent Annual Report on Form 10-K for more information.</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Our Corporate Information</w:t>
      </w:r>
    </w:p>
    <w:p>
      <w:pPr>
        <w:spacing w:after="0" w:line="90" w:lineRule="exact"/>
        <w:rPr>
          <w:sz w:val="20"/>
          <w:szCs w:val="20"/>
          <w:color w:val="auto"/>
        </w:rPr>
      </w:pPr>
    </w:p>
    <w:p>
      <w:pPr>
        <w:ind w:left="420" w:right="459"/>
        <w:spacing w:after="0" w:line="252" w:lineRule="auto"/>
        <w:rPr>
          <w:sz w:val="20"/>
          <w:szCs w:val="20"/>
          <w:color w:val="auto"/>
        </w:rPr>
      </w:pPr>
      <w:r>
        <w:rPr>
          <w:rFonts w:ascii="Times New Roman" w:cs="Times New Roman" w:eastAsia="Times New Roman" w:hAnsi="Times New Roman"/>
          <w:sz w:val="14"/>
          <w:szCs w:val="14"/>
          <w:color w:val="auto"/>
        </w:rPr>
        <w:t xml:space="preserve">Our administrative and principal executive offices are located at 1691 Michigan Avenue, Miami Beach, FL 33139. Our common stock is quoted on the NYSE and the TASE under the symbol “PFLT.” Our phone number is (786) 297-9500, and our Internet website address is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Except for the documents incorporated by reference into this prospectus supplement and the accompanying prospectus,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 xml:space="preserve"> that contains reports, proxy and information statements, and other information regarding issuers that file electronically with the SEC.</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On January 23, 2023, we announced certain preliminary estimates of our financial results for the quarter ended December 31, 2022.</w:t>
      </w:r>
    </w:p>
    <w:p>
      <w:pPr>
        <w:spacing w:after="0" w:line="98" w:lineRule="exact"/>
        <w:rPr>
          <w:sz w:val="20"/>
          <w:szCs w:val="20"/>
          <w:color w:val="auto"/>
        </w:rPr>
      </w:pPr>
    </w:p>
    <w:p>
      <w:pPr>
        <w:ind w:left="1120" w:right="619" w:hanging="302"/>
        <w:spacing w:after="0" w:line="277" w:lineRule="auto"/>
        <w:tabs>
          <w:tab w:leader="none" w:pos="1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net asset value per share is estimated to be between $11.25 and $11.33 per share as of December 31, 2022. This compares to GAAP net asset value per share of $11.62 as of September 30, 2022.</w:t>
      </w:r>
    </w:p>
    <w:p>
      <w:pPr>
        <w:spacing w:after="0" w:line="53" w:lineRule="exact"/>
        <w:rPr>
          <w:rFonts w:ascii="Times New Roman" w:cs="Times New Roman" w:eastAsia="Times New Roman" w:hAnsi="Times New Roman"/>
          <w:sz w:val="14"/>
          <w:szCs w:val="14"/>
          <w:color w:val="auto"/>
        </w:rPr>
      </w:pPr>
    </w:p>
    <w:p>
      <w:pPr>
        <w:ind w:left="1120" w:right="499" w:hanging="302"/>
        <w:spacing w:after="0" w:line="262" w:lineRule="auto"/>
        <w:tabs>
          <w:tab w:leader="none" w:pos="11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asset value per share is estimated to be between $11.17 and $11.25 per share as of December 31, 2022. This compares to adjusted net asset value per share of $11.59 as of September 30, 2022. Adjusted net asset value per share is a non-GAAP financial measure. We believe that this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9019"/>
          </w:cols>
          <w:pgMar w:left="1440" w:top="403" w:right="1440" w:bottom="1440" w:gutter="0" w:footer="0" w:header="0"/>
        </w:sectPr>
      </w:pPr>
    </w:p>
    <w:bookmarkStart w:id="6" w:name="page7"/>
    <w:bookmarkEnd w:id="6"/>
    <w:p>
      <w:pPr>
        <w:ind w:left="1140" w:right="49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2715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805" cy="2715895"/>
                    </a:xfrm>
                    <a:prstGeom prst="rect">
                      <a:avLst/>
                    </a:prstGeom>
                    <a:noFill/>
                  </pic:spPr>
                </pic:pic>
              </a:graphicData>
            </a:graphic>
          </wp:anchor>
        </w:drawing>
        <w:t>number provides useful information to investors and management because it reflects our financial performance, excluding the impact of the $3.9 million, or $0.09 per share, and $1.5 million, or $0.03 per share, unrealized loss on the Credit Facility and the 2023 Notes, as of December 31, 2022 and September 30, 2022, respectively. The presentation of this additional information is not meant to be considered in isolation or as a substitute for financial results prepared in accordance with GAAP.</w:t>
      </w:r>
    </w:p>
    <w:p>
      <w:pPr>
        <w:spacing w:after="0" w:line="67" w:lineRule="exact"/>
        <w:rPr>
          <w:sz w:val="20"/>
          <w:szCs w:val="20"/>
          <w:color w:val="auto"/>
        </w:rPr>
      </w:pPr>
    </w:p>
    <w:p>
      <w:pPr>
        <w:ind w:left="1120" w:right="459" w:hanging="302"/>
        <w:spacing w:after="0" w:line="277" w:lineRule="auto"/>
        <w:tabs>
          <w:tab w:leader="none" w:pos="1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investment income is estimated to be between $0.29 and $0.31 per share for the quarter ended December 31, 2022. This compares to net investment income of $0.29 per share for the quarter ended September 30, 2022.</w:t>
      </w:r>
    </w:p>
    <w:p>
      <w:pPr>
        <w:spacing w:after="0" w:line="53" w:lineRule="exact"/>
        <w:rPr>
          <w:rFonts w:ascii="Times New Roman" w:cs="Times New Roman" w:eastAsia="Times New Roman" w:hAnsi="Times New Roman"/>
          <w:sz w:val="14"/>
          <w:szCs w:val="14"/>
          <w:color w:val="auto"/>
        </w:rPr>
      </w:pPr>
    </w:p>
    <w:p>
      <w:pPr>
        <w:ind w:left="1120" w:hanging="302"/>
        <w:spacing w:after="0"/>
        <w:tabs>
          <w:tab w:leader="none" w:pos="1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loans were on non-accrual status as of December 31, 2022.</w:t>
      </w:r>
    </w:p>
    <w:p>
      <w:pPr>
        <w:spacing w:after="0" w:line="98" w:lineRule="exact"/>
        <w:rPr>
          <w:rFonts w:ascii="Times New Roman" w:cs="Times New Roman" w:eastAsia="Times New Roman" w:hAnsi="Times New Roman"/>
          <w:sz w:val="14"/>
          <w:szCs w:val="14"/>
          <w:color w:val="auto"/>
        </w:rPr>
      </w:pPr>
    </w:p>
    <w:p>
      <w:pPr>
        <w:ind w:left="1120" w:right="559" w:hanging="302"/>
        <w:spacing w:after="0" w:line="262" w:lineRule="auto"/>
        <w:tabs>
          <w:tab w:leader="none" w:pos="1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at cost, we had approximately $199.7 million of borrowings outstanding under our Credit Facility, approximately $76.2 million in aggregate principal amount of 2023 Notes outstanding, $185.0 million in aggregate principal amount of 2026 Notes outstanding and $228.0 million in aggregate principal amount of 2031 Asset-Backed Debt.</w:t>
      </w:r>
    </w:p>
    <w:p>
      <w:pPr>
        <w:spacing w:after="0" w:line="63" w:lineRule="exact"/>
        <w:rPr>
          <w:rFonts w:ascii="Times New Roman" w:cs="Times New Roman" w:eastAsia="Times New Roman" w:hAnsi="Times New Roman"/>
          <w:sz w:val="14"/>
          <w:szCs w:val="14"/>
          <w:color w:val="auto"/>
        </w:rPr>
      </w:pPr>
    </w:p>
    <w:p>
      <w:pPr>
        <w:ind w:left="1120" w:hanging="302"/>
        <w:spacing w:after="0"/>
        <w:tabs>
          <w:tab w:leader="none" w:pos="11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we had approximately $52.9 million in cash and cash equivalents.</w:t>
      </w:r>
    </w:p>
    <w:p>
      <w:pPr>
        <w:spacing w:after="0" w:line="171" w:lineRule="exact"/>
        <w:rPr>
          <w:sz w:val="20"/>
          <w:szCs w:val="20"/>
          <w:color w:val="auto"/>
        </w:rPr>
      </w:pPr>
    </w:p>
    <w:p>
      <w:pPr>
        <w:ind w:left="420" w:right="459"/>
        <w:spacing w:after="0" w:line="254" w:lineRule="auto"/>
        <w:rPr>
          <w:sz w:val="20"/>
          <w:szCs w:val="20"/>
          <w:color w:val="auto"/>
        </w:rPr>
      </w:pPr>
      <w:r>
        <w:rPr>
          <w:rFonts w:ascii="Times New Roman" w:cs="Times New Roman" w:eastAsia="Times New Roman" w:hAnsi="Times New Roman"/>
          <w:sz w:val="14"/>
          <w:szCs w:val="14"/>
          <w:color w:val="auto"/>
        </w:rPr>
        <w:t>These estimates are subject to the completion of our financial closing procedures and are not a comprehensive statement of our financial position, results of operations or cash flows for the quarter ended December 31, 2022. Final results may differ materially from these estimates as a result of the completion of our financial closing procedures, as well as any subsequent events, including the discovery of information affecting fair values of our portfolio investments as of December 31, 2022, arising between the date hereof and the completion of our financial statements and the filing of our Form 10-Q for the quarter then ended.</w:t>
      </w:r>
    </w:p>
    <w:p>
      <w:pPr>
        <w:spacing w:after="0" w:line="144" w:lineRule="exact"/>
        <w:rPr>
          <w:sz w:val="20"/>
          <w:szCs w:val="20"/>
          <w:color w:val="auto"/>
        </w:rPr>
      </w:pPr>
    </w:p>
    <w:p>
      <w:pPr>
        <w:ind w:left="420" w:right="439"/>
        <w:spacing w:after="0" w:line="291" w:lineRule="auto"/>
        <w:rPr>
          <w:sz w:val="20"/>
          <w:szCs w:val="20"/>
          <w:color w:val="auto"/>
        </w:rPr>
      </w:pPr>
      <w:r>
        <w:rPr>
          <w:rFonts w:ascii="Times New Roman" w:cs="Times New Roman" w:eastAsia="Times New Roman" w:hAnsi="Times New Roman"/>
          <w:sz w:val="13"/>
          <w:szCs w:val="13"/>
          <w:color w:val="auto"/>
        </w:rPr>
        <w:t>The preliminary financial estimates provided herein have been prepared by, and are the responsibility of our management. RSM US LLP, our independent registered public accounting firm, has not audited, reviewed, compiled, or performed any procedures with respect to the accompanying preliminary financial data. Accordingly, RSM US LLP does not express an opinion or any other form of assurance with respect thereto.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9019"/>
          </w:cols>
          <w:pgMar w:left="1440" w:top="405"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632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805" cy="4632325"/>
                    </a:xfrm>
                    <a:prstGeom prst="rect">
                      <a:avLst/>
                    </a:prstGeom>
                    <a:noFill/>
                  </pic:spPr>
                </pic:pic>
              </a:graphicData>
            </a:graphic>
          </wp:anchor>
        </w:drawing>
        <w:t>THE OFFERING</w:t>
      </w:r>
    </w:p>
    <w:p>
      <w:pPr>
        <w:spacing w:after="0" w:line="142" w:lineRule="exact"/>
        <w:rPr>
          <w:sz w:val="20"/>
          <w:szCs w:val="20"/>
          <w:color w:val="auto"/>
        </w:rPr>
      </w:pPr>
    </w:p>
    <w:p>
      <w:pPr>
        <w:ind w:left="420" w:right="439"/>
        <w:spacing w:after="0" w:line="317" w:lineRule="auto"/>
        <w:rPr>
          <w:sz w:val="20"/>
          <w:szCs w:val="20"/>
          <w:color w:val="auto"/>
        </w:rPr>
      </w:pPr>
      <w:r>
        <w:rPr>
          <w:rFonts w:ascii="Times New Roman" w:cs="Times New Roman" w:eastAsia="Times New Roman" w:hAnsi="Times New Roman"/>
          <w:sz w:val="13"/>
          <w:szCs w:val="13"/>
          <w:color w:val="auto"/>
        </w:rPr>
        <w:t>This section outlines the specific legal and financial terms of this offering. You should read this section together with the more general description of our common stock in the accompanying prospectus under the heading “Description of Our Capital Stock” before investing in our common stock.</w:t>
      </w:r>
    </w:p>
    <w:p>
      <w:pPr>
        <w:spacing w:after="0" w:line="92"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3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stock offered by the Company</w:t>
            </w: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4,250,000 shares (or 4,887,500 shares if the underwriters exercise their option to purchase</w:t>
            </w:r>
          </w:p>
        </w:tc>
      </w:tr>
      <w:tr>
        <w:trPr>
          <w:trHeight w:val="181"/>
        </w:trPr>
        <w:tc>
          <w:tcPr>
            <w:tcW w:w="3100" w:type="dxa"/>
            <w:vAlign w:val="bottom"/>
          </w:tcPr>
          <w:p>
            <w:pPr>
              <w:spacing w:after="0"/>
              <w:rPr>
                <w:sz w:val="15"/>
                <w:szCs w:val="15"/>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additional shares in full)</w:t>
            </w:r>
          </w:p>
        </w:tc>
      </w:tr>
      <w:tr>
        <w:trPr>
          <w:trHeight w:val="321"/>
        </w:trPr>
        <w:tc>
          <w:tcPr>
            <w:tcW w:w="3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stock outstanding prior to this offering</w:t>
            </w: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45,431,815 shares</w:t>
            </w:r>
          </w:p>
        </w:tc>
      </w:tr>
      <w:tr>
        <w:trPr>
          <w:trHeight w:val="332"/>
        </w:trPr>
        <w:tc>
          <w:tcPr>
            <w:tcW w:w="3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stock outstanding following this offering</w:t>
            </w: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49,681,815 shares</w:t>
            </w:r>
          </w:p>
        </w:tc>
      </w:tr>
      <w:tr>
        <w:trPr>
          <w:trHeight w:val="317"/>
        </w:trPr>
        <w:tc>
          <w:tcPr>
            <w:tcW w:w="310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number of shares outstanding after the offering assumes the underwriters’ option to</w:t>
            </w:r>
          </w:p>
        </w:tc>
      </w:tr>
      <w:tr>
        <w:trPr>
          <w:trHeight w:val="166"/>
        </w:trPr>
        <w:tc>
          <w:tcPr>
            <w:tcW w:w="310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 additional shares is not exercised. If the option to purchase additional shares is</w:t>
            </w:r>
          </w:p>
        </w:tc>
      </w:tr>
      <w:tr>
        <w:trPr>
          <w:trHeight w:val="166"/>
        </w:trPr>
        <w:tc>
          <w:tcPr>
            <w:tcW w:w="310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exercised in full, we will issue an additional 637,500 shares and will have 50,319,315</w:t>
            </w:r>
          </w:p>
        </w:tc>
      </w:tr>
      <w:tr>
        <w:trPr>
          <w:trHeight w:val="181"/>
        </w:trPr>
        <w:tc>
          <w:tcPr>
            <w:tcW w:w="3100" w:type="dxa"/>
            <w:vAlign w:val="bottom"/>
          </w:tcPr>
          <w:p>
            <w:pPr>
              <w:spacing w:after="0"/>
              <w:rPr>
                <w:sz w:val="15"/>
                <w:szCs w:val="15"/>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 outstanding after the offering.</w:t>
            </w:r>
          </w:p>
        </w:tc>
      </w:tr>
      <w:tr>
        <w:trPr>
          <w:trHeight w:val="321"/>
        </w:trPr>
        <w:tc>
          <w:tcPr>
            <w:tcW w:w="3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NYSE symbol</w:t>
            </w: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“PFLT”</w:t>
            </w:r>
          </w:p>
        </w:tc>
      </w:tr>
      <w:tr>
        <w:trPr>
          <w:trHeight w:val="317"/>
        </w:trPr>
        <w:tc>
          <w:tcPr>
            <w:tcW w:w="310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Common stock issued in this offering will be dual listed on the NYSE and the TASE under</w:t>
            </w:r>
          </w:p>
        </w:tc>
      </w:tr>
      <w:tr>
        <w:trPr>
          <w:trHeight w:val="181"/>
        </w:trPr>
        <w:tc>
          <w:tcPr>
            <w:tcW w:w="3100" w:type="dxa"/>
            <w:vAlign w:val="bottom"/>
          </w:tcPr>
          <w:p>
            <w:pPr>
              <w:spacing w:after="0"/>
              <w:rPr>
                <w:sz w:val="15"/>
                <w:szCs w:val="15"/>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symbol “PFLT”.</w:t>
            </w:r>
          </w:p>
        </w:tc>
      </w:tr>
      <w:tr>
        <w:trPr>
          <w:trHeight w:val="306"/>
        </w:trPr>
        <w:tc>
          <w:tcPr>
            <w:tcW w:w="3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Use of Proceeds</w:t>
            </w: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We estimate that the net proceeds we receive from this offering will be approximately</w:t>
            </w:r>
          </w:p>
        </w:tc>
      </w:tr>
      <w:tr>
        <w:trPr>
          <w:trHeight w:val="166"/>
        </w:trPr>
        <w:tc>
          <w:tcPr>
            <w:tcW w:w="310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$47.3 million (or approximately $54.5 million if the underwriters fully exercise their option</w:t>
            </w:r>
          </w:p>
        </w:tc>
      </w:tr>
      <w:tr>
        <w:trPr>
          <w:trHeight w:val="166"/>
        </w:trPr>
        <w:tc>
          <w:tcPr>
            <w:tcW w:w="310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 purchase additional shares), in each case based on proceeds to us of approximately</w:t>
            </w:r>
          </w:p>
        </w:tc>
      </w:tr>
      <w:tr>
        <w:trPr>
          <w:trHeight w:val="166"/>
        </w:trPr>
        <w:tc>
          <w:tcPr>
            <w:tcW w:w="310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$11.20 per share, representing a public offering price of $11.10 per share, including the</w:t>
            </w:r>
          </w:p>
        </w:tc>
      </w:tr>
      <w:tr>
        <w:trPr>
          <w:trHeight w:val="166"/>
        </w:trPr>
        <w:tc>
          <w:tcPr>
            <w:tcW w:w="310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additional supplemental payment of approximately $0.0998 per share that the Investment</w:t>
            </w:r>
          </w:p>
        </w:tc>
      </w:tr>
      <w:tr>
        <w:trPr>
          <w:trHeight w:val="166"/>
        </w:trPr>
        <w:tc>
          <w:tcPr>
            <w:tcW w:w="310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Adviser has agreed to pay the underwriters which reflects the difference between the public</w:t>
            </w:r>
          </w:p>
        </w:tc>
      </w:tr>
      <w:tr>
        <w:trPr>
          <w:trHeight w:val="166"/>
        </w:trPr>
        <w:tc>
          <w:tcPr>
            <w:tcW w:w="310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offering price and the proceeds per share received by us in this offering, and also including</w:t>
            </w:r>
          </w:p>
        </w:tc>
      </w:tr>
      <w:tr>
        <w:trPr>
          <w:trHeight w:val="166"/>
        </w:trPr>
        <w:tc>
          <w:tcPr>
            <w:tcW w:w="310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estimated offering expenses of $250,000 payable by us, but excluding the underwriting</w:t>
            </w:r>
          </w:p>
        </w:tc>
      </w:tr>
      <w:tr>
        <w:trPr>
          <w:trHeight w:val="166"/>
        </w:trPr>
        <w:tc>
          <w:tcPr>
            <w:tcW w:w="310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commissions of $424,150 (or $487,773 if the underwriters fully exercise their option to</w:t>
            </w:r>
          </w:p>
        </w:tc>
      </w:tr>
      <w:tr>
        <w:trPr>
          <w:trHeight w:val="166"/>
        </w:trPr>
        <w:tc>
          <w:tcPr>
            <w:tcW w:w="310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 additional shares). The Investment Adviser has agreed to pay all of the</w:t>
            </w:r>
          </w:p>
        </w:tc>
      </w:tr>
      <w:tr>
        <w:trPr>
          <w:trHeight w:val="181"/>
        </w:trPr>
        <w:tc>
          <w:tcPr>
            <w:tcW w:w="3100" w:type="dxa"/>
            <w:vAlign w:val="bottom"/>
          </w:tcPr>
          <w:p>
            <w:pPr>
              <w:spacing w:after="0"/>
              <w:rPr>
                <w:sz w:val="15"/>
                <w:szCs w:val="15"/>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underwriting discounts and commissions in connection with this offering.</w:t>
            </w:r>
          </w:p>
        </w:tc>
      </w:tr>
      <w:tr>
        <w:trPr>
          <w:trHeight w:val="306"/>
        </w:trPr>
        <w:tc>
          <w:tcPr>
            <w:tcW w:w="310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We expect to use the net proceeds from this offering to reduce outstanding obligations</w:t>
            </w:r>
          </w:p>
        </w:tc>
      </w:tr>
      <w:tr>
        <w:trPr>
          <w:trHeight w:val="166"/>
        </w:trPr>
        <w:tc>
          <w:tcPr>
            <w:tcW w:w="310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under our existing indebtedness, to invest in new or existing portfolio companies, to</w:t>
            </w:r>
          </w:p>
        </w:tc>
      </w:tr>
      <w:tr>
        <w:trPr>
          <w:trHeight w:val="181"/>
        </w:trPr>
        <w:tc>
          <w:tcPr>
            <w:tcW w:w="3100" w:type="dxa"/>
            <w:vAlign w:val="bottom"/>
          </w:tcPr>
          <w:p>
            <w:pPr>
              <w:spacing w:after="0"/>
              <w:rPr>
                <w:sz w:val="15"/>
                <w:szCs w:val="15"/>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capitalize a subsidiary or joint venture or for other general corporate or strategic purposes.</w:t>
            </w:r>
          </w:p>
        </w:tc>
      </w:tr>
      <w:tr>
        <w:trPr>
          <w:trHeight w:val="321"/>
        </w:trPr>
        <w:tc>
          <w:tcPr>
            <w:tcW w:w="310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See “Use of Proceeds” for more information.</w:t>
            </w:r>
          </w:p>
        </w:tc>
      </w:tr>
      <w:tr>
        <w:trPr>
          <w:trHeight w:val="306"/>
        </w:trPr>
        <w:tc>
          <w:tcPr>
            <w:tcW w:w="3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Investment Adviser payment of Sales Load and</w:t>
            </w: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Our Investment Adviser has agreed to pay all of the sales load (underwriting discounts and</w:t>
            </w:r>
          </w:p>
        </w:tc>
      </w:tr>
      <w:tr>
        <w:trPr>
          <w:trHeight w:val="181"/>
        </w:trPr>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Supplemental Payment</w:t>
            </w:r>
          </w:p>
        </w:tc>
        <w:tc>
          <w:tcPr>
            <w:tcW w:w="5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commissions) in the amount of</w:t>
            </w:r>
          </w:p>
        </w:tc>
      </w:tr>
      <w:tr>
        <w:trPr>
          <w:trHeight w:val="129"/>
        </w:trPr>
        <w:tc>
          <w:tcPr>
            <w:tcW w:w="3100" w:type="dxa"/>
            <w:vAlign w:val="bottom"/>
            <w:tcBorders>
              <w:bottom w:val="single" w:sz="8" w:color="auto"/>
            </w:tcBorders>
          </w:tcPr>
          <w:p>
            <w:pPr>
              <w:spacing w:after="0"/>
              <w:rPr>
                <w:sz w:val="11"/>
                <w:szCs w:val="11"/>
                <w:color w:val="auto"/>
              </w:rPr>
            </w:pPr>
          </w:p>
        </w:tc>
        <w:tc>
          <w:tcPr>
            <w:tcW w:w="5380" w:type="dxa"/>
            <w:vAlign w:val="bottom"/>
            <w:tcBorders>
              <w:bottom w:val="single" w:sz="8" w:color="auto"/>
            </w:tcBorders>
          </w:tcPr>
          <w:p>
            <w:pPr>
              <w:spacing w:after="0"/>
              <w:rPr>
                <w:sz w:val="11"/>
                <w:szCs w:val="11"/>
                <w:color w:val="auto"/>
              </w:rPr>
            </w:pPr>
          </w:p>
        </w:tc>
      </w:tr>
      <w:tr>
        <w:trPr>
          <w:trHeight w:val="276"/>
        </w:trPr>
        <w:tc>
          <w:tcPr>
            <w:tcW w:w="3100" w:type="dxa"/>
            <w:vAlign w:val="bottom"/>
          </w:tcPr>
          <w:p>
            <w:pPr>
              <w:spacing w:after="0"/>
              <w:rPr>
                <w:sz w:val="23"/>
                <w:szCs w:val="23"/>
                <w:color w:val="auto"/>
              </w:rPr>
            </w:pPr>
          </w:p>
        </w:tc>
        <w:tc>
          <w:tcPr>
            <w:tcW w:w="5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S-5</w:t>
            </w:r>
          </w:p>
        </w:tc>
      </w:tr>
    </w:tbl>
    <w:p>
      <w:pPr>
        <w:sectPr>
          <w:pgSz w:w="11900" w:h="16838" w:orient="portrait"/>
          <w:cols w:equalWidth="0" w:num="1">
            <w:col w:w="9019"/>
          </w:cols>
          <w:pgMar w:left="1440" w:top="403" w:right="1440"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tbl>
      <w:tblPr>
        <w:tblLayout w:type="fixed"/>
        <w:tblInd w:w="270" w:type="dxa"/>
        <w:tblCellMar>
          <w:top w:w="0" w:type="dxa"/>
          <w:left w:w="0" w:type="dxa"/>
          <w:bottom w:w="0" w:type="dxa"/>
          <w:right w:w="0" w:type="dxa"/>
        </w:tblCellMar>
      </w:tblPr>
      <w:tr>
        <w:trPr>
          <w:trHeight w:val="301"/>
        </w:trPr>
        <w:tc>
          <w:tcPr>
            <w:tcW w:w="2600" w:type="dxa"/>
            <w:vAlign w:val="bottom"/>
            <w:tcBorders>
              <w:top w:val="single" w:sz="8" w:color="auto"/>
              <w:left w:val="single" w:sz="8" w:color="auto"/>
            </w:tcBorders>
          </w:tcPr>
          <w:p>
            <w:pPr>
              <w:spacing w:after="0"/>
              <w:rPr>
                <w:sz w:val="24"/>
                <w:szCs w:val="24"/>
                <w:color w:val="auto"/>
              </w:rPr>
            </w:pPr>
          </w:p>
        </w:tc>
        <w:tc>
          <w:tcPr>
            <w:tcW w:w="588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approximately $1.4 million, or $0.3330 per share (or approximately $1.6 million, or</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$0.3330 per share if the underwriters’ option to purchase additional shares is fully</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exercised), in connection with the shares of common stock offered by us in this offering.</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We are not obligated to repay the sales load paid by our Investment Adviser. Our</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Investment Adviser has also agreed to pay the underwriters an additional supplemental</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payment of $424,150, or $0.0998 per share (or $487,773, or $0.0998 per share if the option</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to purchase additional shares is fully exercised), which reflects the difference between the</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offering price and the proceeds per share received by us in this offering. We are not</w:t>
            </w:r>
          </w:p>
        </w:tc>
      </w:tr>
      <w:tr>
        <w:trPr>
          <w:trHeight w:val="181"/>
        </w:trPr>
        <w:tc>
          <w:tcPr>
            <w:tcW w:w="2600" w:type="dxa"/>
            <w:vAlign w:val="bottom"/>
            <w:tcBorders>
              <w:left w:val="single" w:sz="8" w:color="auto"/>
            </w:tcBorders>
          </w:tcPr>
          <w:p>
            <w:pPr>
              <w:spacing w:after="0"/>
              <w:rPr>
                <w:sz w:val="15"/>
                <w:szCs w:val="15"/>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obligated to repay the additional supplemental payment made by our Investment Adviser.</w:t>
            </w:r>
          </w:p>
        </w:tc>
      </w:tr>
      <w:tr>
        <w:trPr>
          <w:trHeight w:val="348"/>
        </w:trPr>
        <w:tc>
          <w:tcPr>
            <w:tcW w:w="26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Trading at a Discount</w:t>
            </w: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Shares of closed-end investment companies, including BDCs, frequently trade at a discount</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to their NAV. The risk that our shares may trade at a discount to our NAV is separate and</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distinct from the risk that our NAV per share may decline. We cannot predict whether our</w:t>
            </w:r>
          </w:p>
        </w:tc>
      </w:tr>
      <w:tr>
        <w:trPr>
          <w:trHeight w:val="181"/>
        </w:trPr>
        <w:tc>
          <w:tcPr>
            <w:tcW w:w="2600" w:type="dxa"/>
            <w:vAlign w:val="bottom"/>
            <w:tcBorders>
              <w:left w:val="single" w:sz="8" w:color="auto"/>
            </w:tcBorders>
          </w:tcPr>
          <w:p>
            <w:pPr>
              <w:spacing w:after="0"/>
              <w:rPr>
                <w:sz w:val="15"/>
                <w:szCs w:val="15"/>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shares will trade above, at or below NAV.</w:t>
            </w:r>
          </w:p>
        </w:tc>
      </w:tr>
      <w:tr>
        <w:trPr>
          <w:trHeight w:val="337"/>
        </w:trPr>
        <w:tc>
          <w:tcPr>
            <w:tcW w:w="26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Distributions on Common Stock</w:t>
            </w: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The timing and amount of our monthly distributions to stockholders, if any, are determined</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by our board of directors. While we intend to make distributions on a monthly basis to our</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stockholders out of assets legally available for distribution, we may not be able to achieve</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operating results that will allow us to make distributions at a specific level or to increase</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the amount of our distributions from time to time. In addition, we may be limited in our</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ability to make distributions due to the asset coverage requirements applicable to us as a</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BDC under the 1940 Act. If we do not distribute a certain percentage of our income</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annually, we will suffer adverse tax consequences, including the possible loss of our ability</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to be subject to tax as a RIC. We cannot assure stockholders that they will receive any</w:t>
            </w:r>
          </w:p>
        </w:tc>
      </w:tr>
      <w:tr>
        <w:trPr>
          <w:trHeight w:val="181"/>
        </w:trPr>
        <w:tc>
          <w:tcPr>
            <w:tcW w:w="2600" w:type="dxa"/>
            <w:vAlign w:val="bottom"/>
            <w:tcBorders>
              <w:left w:val="single" w:sz="8" w:color="auto"/>
            </w:tcBorders>
          </w:tcPr>
          <w:p>
            <w:pPr>
              <w:spacing w:after="0"/>
              <w:rPr>
                <w:sz w:val="15"/>
                <w:szCs w:val="15"/>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distributions.</w:t>
            </w:r>
          </w:p>
        </w:tc>
      </w:tr>
      <w:tr>
        <w:trPr>
          <w:trHeight w:val="337"/>
        </w:trPr>
        <w:tc>
          <w:tcPr>
            <w:tcW w:w="26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Taxation</w:t>
            </w: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treated, as a RIC under Subchapter M of the Code. To maintain our RIC tax election, we</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must, among other requirements, meet certain annual source-of-income and quarterly asset</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diversification requirements. We also must annually distribute dividends for U.S. federal</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income tax purposes to our stockholders out of the assets legally available for distribution</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of an amount generally at least equal to 90% of the sum of our net ordinary income and</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realized net short-term capital gains in excess of realized net long-term capital losses, or</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investment company taxable income, determined without regard to any deduction for</w:t>
            </w:r>
          </w:p>
        </w:tc>
      </w:tr>
      <w:tr>
        <w:trPr>
          <w:trHeight w:val="181"/>
        </w:trPr>
        <w:tc>
          <w:tcPr>
            <w:tcW w:w="2600" w:type="dxa"/>
            <w:vAlign w:val="bottom"/>
            <w:tcBorders>
              <w:left w:val="single" w:sz="8" w:color="auto"/>
            </w:tcBorders>
          </w:tcPr>
          <w:p>
            <w:pPr>
              <w:spacing w:after="0"/>
              <w:rPr>
                <w:sz w:val="15"/>
                <w:szCs w:val="15"/>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dividends paid.</w:t>
            </w:r>
          </w:p>
        </w:tc>
      </w:tr>
      <w:tr>
        <w:trPr>
          <w:trHeight w:val="337"/>
        </w:trPr>
        <w:tc>
          <w:tcPr>
            <w:tcW w:w="26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Lock Up Arrangements</w:t>
            </w: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We have agreed, with exceptions, not to sell or transfer any shares for 60 days after the date</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of this prospectus supplement without first obtaining the written consent of Morgan</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Stanley &amp; Co. LLC. In addition, our executive officers and directors, PennantPark</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Investment Advisers, and the Administrator have agreed to certain restrictions on sales of</w:t>
            </w:r>
          </w:p>
        </w:tc>
      </w:tr>
      <w:tr>
        <w:trPr>
          <w:trHeight w:val="166"/>
        </w:trPr>
        <w:tc>
          <w:tcPr>
            <w:tcW w:w="26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our common stock for a period of 60 days from the date of this prospectus supplement. See</w:t>
            </w:r>
          </w:p>
        </w:tc>
      </w:tr>
      <w:tr>
        <w:trPr>
          <w:trHeight w:val="181"/>
        </w:trPr>
        <w:tc>
          <w:tcPr>
            <w:tcW w:w="2600" w:type="dxa"/>
            <w:vAlign w:val="bottom"/>
            <w:tcBorders>
              <w:left w:val="single" w:sz="8" w:color="auto"/>
            </w:tcBorders>
          </w:tcPr>
          <w:p>
            <w:pPr>
              <w:spacing w:after="0"/>
              <w:rPr>
                <w:sz w:val="15"/>
                <w:szCs w:val="15"/>
                <w:color w:val="auto"/>
              </w:rPr>
            </w:pPr>
          </w:p>
        </w:tc>
        <w:tc>
          <w:tcPr>
            <w:tcW w:w="58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“Underwriting – No Sales of Similar Securities.”</w:t>
            </w:r>
          </w:p>
        </w:tc>
      </w:tr>
      <w:tr>
        <w:trPr>
          <w:trHeight w:val="119"/>
        </w:trPr>
        <w:tc>
          <w:tcPr>
            <w:tcW w:w="2600" w:type="dxa"/>
            <w:vAlign w:val="bottom"/>
            <w:tcBorders>
              <w:left w:val="single" w:sz="8" w:color="auto"/>
              <w:bottom w:val="single" w:sz="8" w:color="auto"/>
            </w:tcBorders>
          </w:tcPr>
          <w:p>
            <w:pPr>
              <w:spacing w:after="0"/>
              <w:rPr>
                <w:sz w:val="10"/>
                <w:szCs w:val="10"/>
                <w:color w:val="auto"/>
              </w:rPr>
            </w:pPr>
          </w:p>
        </w:tc>
        <w:tc>
          <w:tcPr>
            <w:tcW w:w="5880" w:type="dxa"/>
            <w:vAlign w:val="bottom"/>
            <w:tcBorders>
              <w:bottom w:val="single" w:sz="8" w:color="auto"/>
              <w:right w:val="single" w:sz="8" w:color="auto"/>
            </w:tcBorders>
          </w:tcPr>
          <w:p>
            <w:pPr>
              <w:spacing w:after="0"/>
              <w:rPr>
                <w:sz w:val="10"/>
                <w:szCs w:val="10"/>
                <w:color w:val="auto"/>
              </w:rPr>
            </w:pPr>
          </w:p>
        </w:tc>
      </w:tr>
      <w:tr>
        <w:trPr>
          <w:trHeight w:val="276"/>
        </w:trPr>
        <w:tc>
          <w:tcPr>
            <w:tcW w:w="2600" w:type="dxa"/>
            <w:vAlign w:val="bottom"/>
          </w:tcPr>
          <w:p>
            <w:pPr>
              <w:spacing w:after="0"/>
              <w:rPr>
                <w:sz w:val="23"/>
                <w:szCs w:val="23"/>
                <w:color w:val="auto"/>
              </w:rPr>
            </w:pPr>
          </w:p>
        </w:tc>
        <w:tc>
          <w:tcPr>
            <w:tcW w:w="588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S-6</w:t>
            </w:r>
          </w:p>
        </w:tc>
      </w:tr>
    </w:tbl>
    <w:p>
      <w:pPr>
        <w:sectPr>
          <w:pgSz w:w="11900" w:h="16838" w:orient="portrait"/>
          <w:cols w:equalWidth="0" w:num="1">
            <w:col w:w="9019"/>
          </w:cols>
          <w:pgMar w:left="1440" w:top="249" w:right="1440"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tbl>
      <w:tblPr>
        <w:tblLayout w:type="fixed"/>
        <w:tblInd w:w="270" w:type="dxa"/>
        <w:tblCellMar>
          <w:top w:w="0" w:type="dxa"/>
          <w:left w:w="0" w:type="dxa"/>
          <w:bottom w:w="0" w:type="dxa"/>
          <w:right w:w="0" w:type="dxa"/>
        </w:tblCellMar>
      </w:tblPr>
      <w:tr>
        <w:trPr>
          <w:trHeight w:val="301"/>
        </w:trPr>
        <w:tc>
          <w:tcPr>
            <w:tcW w:w="206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Risk Factors</w:t>
            </w:r>
          </w:p>
        </w:tc>
        <w:tc>
          <w:tcPr>
            <w:tcW w:w="6420" w:type="dxa"/>
            <w:vAlign w:val="bottom"/>
            <w:tcBorders>
              <w:top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Investing in our common stock involves risks. See “Risk Factors” in this prospectus</w:t>
            </w:r>
          </w:p>
        </w:tc>
      </w:tr>
      <w:tr>
        <w:trPr>
          <w:trHeight w:val="166"/>
        </w:trPr>
        <w:tc>
          <w:tcPr>
            <w:tcW w:w="206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supplement and the accompanying prospectus, our most recent Annual Report on Form</w:t>
            </w:r>
          </w:p>
        </w:tc>
      </w:tr>
      <w:tr>
        <w:trPr>
          <w:trHeight w:val="166"/>
        </w:trPr>
        <w:tc>
          <w:tcPr>
            <w:tcW w:w="206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10-K, which is incorporated by reference to this prospectus supplement, and in any free</w:t>
            </w:r>
          </w:p>
        </w:tc>
      </w:tr>
      <w:tr>
        <w:trPr>
          <w:trHeight w:val="166"/>
        </w:trPr>
        <w:tc>
          <w:tcPr>
            <w:tcW w:w="206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writing prospectuses we have authorized for use in connection with this offering, and under</w:t>
            </w:r>
          </w:p>
        </w:tc>
      </w:tr>
      <w:tr>
        <w:trPr>
          <w:trHeight w:val="166"/>
        </w:trPr>
        <w:tc>
          <w:tcPr>
            <w:tcW w:w="206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similar headings in the documents that are filed with the SEC on or after the date hereof</w:t>
            </w:r>
          </w:p>
        </w:tc>
      </w:tr>
      <w:tr>
        <w:trPr>
          <w:trHeight w:val="166"/>
        </w:trPr>
        <w:tc>
          <w:tcPr>
            <w:tcW w:w="206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and are incorporated by reference into this prospectus supplement and the accompanying</w:t>
            </w:r>
          </w:p>
        </w:tc>
      </w:tr>
      <w:tr>
        <w:trPr>
          <w:trHeight w:val="181"/>
        </w:trPr>
        <w:tc>
          <w:tcPr>
            <w:tcW w:w="2060" w:type="dxa"/>
            <w:vAlign w:val="bottom"/>
            <w:tcBorders>
              <w:left w:val="single" w:sz="8" w:color="auto"/>
            </w:tcBorders>
          </w:tcPr>
          <w:p>
            <w:pPr>
              <w:spacing w:after="0"/>
              <w:rPr>
                <w:sz w:val="15"/>
                <w:szCs w:val="15"/>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prospectus.</w:t>
            </w:r>
          </w:p>
        </w:tc>
      </w:tr>
      <w:tr>
        <w:trPr>
          <w:trHeight w:val="119"/>
        </w:trPr>
        <w:tc>
          <w:tcPr>
            <w:tcW w:w="2060" w:type="dxa"/>
            <w:vAlign w:val="bottom"/>
            <w:tcBorders>
              <w:left w:val="single" w:sz="8" w:color="auto"/>
              <w:bottom w:val="single" w:sz="8" w:color="auto"/>
            </w:tcBorders>
          </w:tcPr>
          <w:p>
            <w:pPr>
              <w:spacing w:after="0"/>
              <w:rPr>
                <w:sz w:val="10"/>
                <w:szCs w:val="10"/>
                <w:color w:val="auto"/>
              </w:rPr>
            </w:pPr>
          </w:p>
        </w:tc>
        <w:tc>
          <w:tcPr>
            <w:tcW w:w="6420" w:type="dxa"/>
            <w:vAlign w:val="bottom"/>
            <w:tcBorders>
              <w:bottom w:val="single" w:sz="8" w:color="auto"/>
              <w:right w:val="single" w:sz="8" w:color="auto"/>
            </w:tcBorders>
          </w:tcPr>
          <w:p>
            <w:pPr>
              <w:spacing w:after="0"/>
              <w:rPr>
                <w:sz w:val="10"/>
                <w:szCs w:val="10"/>
                <w:color w:val="auto"/>
              </w:rPr>
            </w:pPr>
          </w:p>
        </w:tc>
      </w:tr>
      <w:tr>
        <w:trPr>
          <w:trHeight w:val="276"/>
        </w:trPr>
        <w:tc>
          <w:tcPr>
            <w:tcW w:w="2060" w:type="dxa"/>
            <w:vAlign w:val="bottom"/>
          </w:tcPr>
          <w:p>
            <w:pPr>
              <w:spacing w:after="0"/>
              <w:rPr>
                <w:sz w:val="23"/>
                <w:szCs w:val="23"/>
                <w:color w:val="auto"/>
              </w:rPr>
            </w:pPr>
          </w:p>
        </w:tc>
        <w:tc>
          <w:tcPr>
            <w:tcW w:w="6420" w:type="dxa"/>
            <w:vAlign w:val="bottom"/>
          </w:tcPr>
          <w:p>
            <w:pPr>
              <w:ind w:left="2080"/>
              <w:spacing w:after="0"/>
              <w:rPr>
                <w:sz w:val="20"/>
                <w:szCs w:val="20"/>
                <w:color w:val="auto"/>
              </w:rPr>
            </w:pPr>
            <w:r>
              <w:rPr>
                <w:rFonts w:ascii="Times New Roman" w:cs="Times New Roman" w:eastAsia="Times New Roman" w:hAnsi="Times New Roman"/>
                <w:sz w:val="14"/>
                <w:szCs w:val="14"/>
                <w:color w:val="auto"/>
              </w:rPr>
              <w:t>S-7</w:t>
            </w:r>
          </w:p>
        </w:tc>
      </w:tr>
    </w:tbl>
    <w:p>
      <w:pPr>
        <w:sectPr>
          <w:pgSz w:w="11900" w:h="16838" w:orient="portrait"/>
          <w:cols w:equalWidth="0" w:num="1">
            <w:col w:w="9019"/>
          </w:cols>
          <w:pgMar w:left="1440" w:top="249"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2805" cy="45720"/>
                    </a:xfrm>
                    <a:prstGeom prst="rect">
                      <a:avLst/>
                    </a:prstGeom>
                    <a:noFill/>
                  </pic:spPr>
                </pic:pic>
              </a:graphicData>
            </a:graphic>
          </wp:anchor>
        </w:drawing>
        <w:t>FEES AND EXPENSES</w:t>
      </w:r>
    </w:p>
    <w:p>
      <w:pPr>
        <w:spacing w:after="0" w:line="142" w:lineRule="exact"/>
        <w:rPr>
          <w:sz w:val="20"/>
          <w:szCs w:val="20"/>
          <w:color w:val="auto"/>
        </w:rPr>
      </w:pPr>
    </w:p>
    <w:p>
      <w:pPr>
        <w:ind w:left="280" w:right="399"/>
        <w:spacing w:after="0" w:line="254" w:lineRule="auto"/>
        <w:rPr>
          <w:sz w:val="20"/>
          <w:szCs w:val="20"/>
          <w:color w:val="auto"/>
        </w:rPr>
      </w:pPr>
      <w:r>
        <w:rPr>
          <w:rFonts w:ascii="Times New Roman" w:cs="Times New Roman" w:eastAsia="Times New Roman" w:hAnsi="Times New Roman"/>
          <w:sz w:val="14"/>
          <w:szCs w:val="14"/>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supplement contains a reference to fees or expenses paid by “you” or “us” or that “we” will pay, stockholders will indirectly bear such fees or expenses as investors in us.</w:t>
      </w:r>
    </w:p>
    <w:p>
      <w:pPr>
        <w:spacing w:after="0" w:line="158" w:lineRule="exact"/>
        <w:rPr>
          <w:sz w:val="20"/>
          <w:szCs w:val="20"/>
          <w:color w:val="auto"/>
        </w:rPr>
      </w:pPr>
    </w:p>
    <w:tbl>
      <w:tblPr>
        <w:tblLayout w:type="fixed"/>
        <w:tblInd w:w="16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 transaction expenses</w:t>
            </w:r>
          </w:p>
        </w:tc>
        <w:tc>
          <w:tcPr>
            <w:tcW w:w="340" w:type="dxa"/>
            <w:vAlign w:val="bottom"/>
            <w:shd w:val="clear" w:color="auto" w:fill="CCEEFF"/>
          </w:tcPr>
          <w:p>
            <w:pPr>
              <w:spacing w:after="0"/>
              <w:rPr>
                <w:sz w:val="14"/>
                <w:szCs w:val="14"/>
                <w:color w:val="auto"/>
              </w:rPr>
            </w:pPr>
          </w:p>
        </w:tc>
        <w:tc>
          <w:tcPr>
            <w:tcW w:w="3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Sales load (as a percentage of offering price)</w:t>
            </w:r>
          </w:p>
        </w:tc>
        <w:tc>
          <w:tcPr>
            <w:tcW w:w="640" w:type="dxa"/>
            <w:vAlign w:val="bottom"/>
            <w:gridSpan w:val="2"/>
          </w:tcPr>
          <w:p>
            <w:pPr>
              <w:jc w:val="right"/>
              <w:ind w:right="40"/>
              <w:spacing w:after="0" w:line="166" w:lineRule="exact"/>
              <w:rPr>
                <w:sz w:val="20"/>
                <w:szCs w:val="20"/>
                <w:color w:val="auto"/>
              </w:rPr>
            </w:pPr>
            <w:r>
              <w:rPr>
                <w:rFonts w:ascii="Times New Roman" w:cs="Times New Roman" w:eastAsia="Times New Roman" w:hAnsi="Times New Roman"/>
                <w:sz w:val="19"/>
                <w:szCs w:val="19"/>
                <w:color w:val="auto"/>
                <w:vertAlign w:val="subscript"/>
              </w:rPr>
              <w:t>— %</w:t>
            </w:r>
            <w:r>
              <w:rPr>
                <w:rFonts w:ascii="Times New Roman" w:cs="Times New Roman" w:eastAsia="Times New Roman" w:hAnsi="Times New Roman"/>
                <w:sz w:val="7"/>
                <w:szCs w:val="7"/>
                <w:color w:val="auto"/>
              </w:rPr>
              <w:t>(1)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expenses (as a percentage of offering price)</w:t>
            </w:r>
          </w:p>
        </w:tc>
        <w:tc>
          <w:tcPr>
            <w:tcW w:w="640" w:type="dxa"/>
            <w:vAlign w:val="bottom"/>
            <w:gridSpan w:val="2"/>
            <w:shd w:val="clear" w:color="auto" w:fill="CCEEFF"/>
          </w:tcPr>
          <w:p>
            <w:pPr>
              <w:jc w:val="right"/>
              <w:ind w:right="40"/>
              <w:spacing w:after="0" w:line="166" w:lineRule="exact"/>
              <w:rPr>
                <w:sz w:val="20"/>
                <w:szCs w:val="20"/>
                <w:color w:val="auto"/>
              </w:rPr>
            </w:pPr>
            <w:r>
              <w:rPr>
                <w:rFonts w:ascii="Times New Roman" w:cs="Times New Roman" w:eastAsia="Times New Roman" w:hAnsi="Times New Roman"/>
                <w:sz w:val="14"/>
                <w:szCs w:val="14"/>
                <w:color w:val="auto"/>
              </w:rPr>
              <w:t>0.53%</w:t>
            </w:r>
            <w:r>
              <w:rPr>
                <w:rFonts w:ascii="Times New Roman" w:cs="Times New Roman" w:eastAsia="Times New Roman" w:hAnsi="Times New Roman"/>
                <w:sz w:val="17"/>
                <w:szCs w:val="17"/>
                <w:color w:val="auto"/>
                <w:vertAlign w:val="superscript"/>
              </w:rPr>
              <w:t>(2)</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stockholder expenses (as a percentage of offering price)</w:t>
            </w:r>
          </w:p>
        </w:tc>
        <w:tc>
          <w:tcPr>
            <w:tcW w:w="3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100" w:type="dxa"/>
            <w:vAlign w:val="bottom"/>
            <w:gridSpan w:val="2"/>
            <w:vMerge w:val="continue"/>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Estimated annual expenses (as a percentage of average net assets attributable</w:t>
            </w:r>
          </w:p>
        </w:tc>
        <w:tc>
          <w:tcPr>
            <w:tcW w:w="340" w:type="dxa"/>
            <w:vAlign w:val="bottom"/>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tcBorders>
              <w:right w:val="single" w:sz="8" w:color="CCEEFF"/>
            </w:tcBorders>
            <w:shd w:val="clear" w:color="auto" w:fill="CCEEFF"/>
          </w:tcPr>
          <w:p>
            <w:pPr>
              <w:ind w:left="100"/>
              <w:spacing w:after="0" w:line="183" w:lineRule="exact"/>
              <w:rPr>
                <w:sz w:val="20"/>
                <w:szCs w:val="20"/>
                <w:color w:val="auto"/>
              </w:rPr>
            </w:pPr>
            <w:r>
              <w:rPr>
                <w:rFonts w:ascii="Times New Roman" w:cs="Times New Roman" w:eastAsia="Times New Roman" w:hAnsi="Times New Roman"/>
                <w:sz w:val="14"/>
                <w:szCs w:val="14"/>
                <w:b w:val="1"/>
                <w:bCs w:val="1"/>
                <w:color w:val="auto"/>
              </w:rPr>
              <w:t>to common shares)</w:t>
            </w:r>
            <w:r>
              <w:rPr>
                <w:rFonts w:ascii="Times New Roman" w:cs="Times New Roman" w:eastAsia="Times New Roman" w:hAnsi="Times New Roman"/>
                <w:sz w:val="17"/>
                <w:szCs w:val="17"/>
                <w:b w:val="1"/>
                <w:bCs w:val="1"/>
                <w:color w:val="auto"/>
                <w:vertAlign w:val="superscript"/>
              </w:rPr>
              <w:t>(3)</w:t>
            </w:r>
          </w:p>
        </w:tc>
        <w:tc>
          <w:tcPr>
            <w:tcW w:w="340" w:type="dxa"/>
            <w:vAlign w:val="bottom"/>
            <w:shd w:val="clear" w:color="auto" w:fill="CCEEFF"/>
          </w:tcPr>
          <w:p>
            <w:pPr>
              <w:spacing w:after="0"/>
              <w:rPr>
                <w:sz w:val="15"/>
                <w:szCs w:val="15"/>
                <w:color w:val="auto"/>
              </w:rPr>
            </w:pPr>
          </w:p>
        </w:tc>
        <w:tc>
          <w:tcPr>
            <w:tcW w:w="3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Management fees</w:t>
            </w:r>
          </w:p>
        </w:tc>
        <w:tc>
          <w:tcPr>
            <w:tcW w:w="640" w:type="dxa"/>
            <w:vAlign w:val="bottom"/>
            <w:gridSpan w:val="2"/>
          </w:tcPr>
          <w:p>
            <w:pPr>
              <w:jc w:val="right"/>
              <w:ind w:right="80"/>
              <w:spacing w:after="0" w:line="166" w:lineRule="exact"/>
              <w:rPr>
                <w:sz w:val="20"/>
                <w:szCs w:val="20"/>
                <w:color w:val="auto"/>
              </w:rPr>
            </w:pPr>
            <w:r>
              <w:rPr>
                <w:rFonts w:ascii="Times New Roman" w:cs="Times New Roman" w:eastAsia="Times New Roman" w:hAnsi="Times New Roman"/>
                <w:sz w:val="14"/>
                <w:szCs w:val="14"/>
                <w:color w:val="auto"/>
              </w:rPr>
              <w:t>2.33%</w:t>
            </w:r>
            <w:r>
              <w:rPr>
                <w:rFonts w:ascii="Times New Roman" w:cs="Times New Roman" w:eastAsia="Times New Roman" w:hAnsi="Times New Roman"/>
                <w:sz w:val="17"/>
                <w:szCs w:val="17"/>
                <w:color w:val="auto"/>
                <w:vertAlign w:val="superscript"/>
              </w:rPr>
              <w:t>(4)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Incentive fees</w:t>
            </w:r>
          </w:p>
        </w:tc>
        <w:tc>
          <w:tcPr>
            <w:tcW w:w="640" w:type="dxa"/>
            <w:vAlign w:val="bottom"/>
            <w:gridSpan w:val="2"/>
            <w:shd w:val="clear" w:color="auto" w:fill="CCEEFF"/>
          </w:tcPr>
          <w:p>
            <w:pPr>
              <w:jc w:val="right"/>
              <w:ind w:right="80"/>
              <w:spacing w:after="0" w:line="166" w:lineRule="exact"/>
              <w:rPr>
                <w:sz w:val="20"/>
                <w:szCs w:val="20"/>
                <w:color w:val="auto"/>
              </w:rPr>
            </w:pPr>
            <w:r>
              <w:rPr>
                <w:rFonts w:ascii="Times New Roman" w:cs="Times New Roman" w:eastAsia="Times New Roman" w:hAnsi="Times New Roman"/>
                <w:sz w:val="14"/>
                <w:szCs w:val="14"/>
                <w:color w:val="auto"/>
              </w:rPr>
              <w:t>2.27%</w:t>
            </w:r>
            <w:r>
              <w:rPr>
                <w:rFonts w:ascii="Times New Roman" w:cs="Times New Roman" w:eastAsia="Times New Roman" w:hAnsi="Times New Roman"/>
                <w:sz w:val="17"/>
                <w:szCs w:val="17"/>
                <w:color w:val="auto"/>
                <w:vertAlign w:val="superscript"/>
              </w:rPr>
              <w:t>(5)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Interest on borrowed funds</w:t>
            </w:r>
          </w:p>
        </w:tc>
        <w:tc>
          <w:tcPr>
            <w:tcW w:w="640" w:type="dxa"/>
            <w:vAlign w:val="bottom"/>
            <w:gridSpan w:val="2"/>
          </w:tcPr>
          <w:p>
            <w:pPr>
              <w:jc w:val="right"/>
              <w:ind w:right="80"/>
              <w:spacing w:after="0" w:line="166" w:lineRule="exact"/>
              <w:rPr>
                <w:sz w:val="20"/>
                <w:szCs w:val="20"/>
                <w:color w:val="auto"/>
              </w:rPr>
            </w:pPr>
            <w:r>
              <w:rPr>
                <w:rFonts w:ascii="Times New Roman" w:cs="Times New Roman" w:eastAsia="Times New Roman" w:hAnsi="Times New Roman"/>
                <w:sz w:val="14"/>
                <w:szCs w:val="14"/>
                <w:color w:val="auto"/>
              </w:rPr>
              <w:t>5.81%</w:t>
            </w:r>
            <w:r>
              <w:rPr>
                <w:rFonts w:ascii="Times New Roman" w:cs="Times New Roman" w:eastAsia="Times New Roman" w:hAnsi="Times New Roman"/>
                <w:sz w:val="17"/>
                <w:szCs w:val="17"/>
                <w:color w:val="auto"/>
                <w:vertAlign w:val="superscript"/>
              </w:rPr>
              <w:t>(6)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Acquired fund fees and expenses</w:t>
            </w:r>
          </w:p>
        </w:tc>
        <w:tc>
          <w:tcPr>
            <w:tcW w:w="640" w:type="dxa"/>
            <w:vAlign w:val="bottom"/>
            <w:gridSpan w:val="2"/>
            <w:shd w:val="clear" w:color="auto" w:fill="CCEEFF"/>
          </w:tcPr>
          <w:p>
            <w:pPr>
              <w:jc w:val="right"/>
              <w:ind w:right="80"/>
              <w:spacing w:after="0" w:line="166" w:lineRule="exact"/>
              <w:rPr>
                <w:sz w:val="20"/>
                <w:szCs w:val="20"/>
                <w:color w:val="auto"/>
              </w:rPr>
            </w:pPr>
            <w:r>
              <w:rPr>
                <w:rFonts w:ascii="Times New Roman" w:cs="Times New Roman" w:eastAsia="Times New Roman" w:hAnsi="Times New Roman"/>
                <w:sz w:val="14"/>
                <w:szCs w:val="14"/>
                <w:color w:val="auto"/>
              </w:rPr>
              <w:t>7.30%</w:t>
            </w:r>
            <w:r>
              <w:rPr>
                <w:rFonts w:ascii="Times New Roman" w:cs="Times New Roman" w:eastAsia="Times New Roman" w:hAnsi="Times New Roman"/>
                <w:sz w:val="17"/>
                <w:szCs w:val="17"/>
                <w:color w:val="auto"/>
                <w:vertAlign w:val="superscript"/>
              </w:rPr>
              <w:t>(7)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640" w:type="dxa"/>
            <w:vAlign w:val="bottom"/>
            <w:gridSpan w:val="2"/>
          </w:tcPr>
          <w:p>
            <w:pPr>
              <w:jc w:val="right"/>
              <w:ind w:right="80"/>
              <w:spacing w:after="0" w:line="166" w:lineRule="exact"/>
              <w:rPr>
                <w:sz w:val="20"/>
                <w:szCs w:val="20"/>
                <w:color w:val="auto"/>
              </w:rPr>
            </w:pPr>
            <w:r>
              <w:rPr>
                <w:rFonts w:ascii="Times New Roman" w:cs="Times New Roman" w:eastAsia="Times New Roman" w:hAnsi="Times New Roman"/>
                <w:sz w:val="14"/>
                <w:szCs w:val="14"/>
                <w:color w:val="auto"/>
              </w:rPr>
              <w:t>0.70%</w:t>
            </w:r>
            <w:r>
              <w:rPr>
                <w:rFonts w:ascii="Times New Roman" w:cs="Times New Roman" w:eastAsia="Times New Roman" w:hAnsi="Times New Roman"/>
                <w:sz w:val="17"/>
                <w:szCs w:val="17"/>
                <w:color w:val="auto"/>
                <w:vertAlign w:val="superscript"/>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estimated annual expenses</w:t>
            </w:r>
          </w:p>
        </w:tc>
        <w:tc>
          <w:tcPr>
            <w:tcW w:w="640" w:type="dxa"/>
            <w:vAlign w:val="bottom"/>
            <w:gridSpan w:val="2"/>
            <w:shd w:val="clear" w:color="auto" w:fill="CCEEFF"/>
          </w:tcPr>
          <w:p>
            <w:pPr>
              <w:jc w:val="right"/>
              <w:ind w:right="80"/>
              <w:spacing w:after="0" w:line="166" w:lineRule="exact"/>
              <w:rPr>
                <w:sz w:val="20"/>
                <w:szCs w:val="20"/>
                <w:color w:val="auto"/>
              </w:rPr>
            </w:pPr>
            <w:r>
              <w:rPr>
                <w:rFonts w:ascii="Times New Roman" w:cs="Times New Roman" w:eastAsia="Times New Roman" w:hAnsi="Times New Roman"/>
                <w:sz w:val="14"/>
                <w:szCs w:val="14"/>
                <w:color w:val="auto"/>
                <w:w w:val="95"/>
              </w:rPr>
              <w:t>18.41%</w:t>
            </w:r>
            <w:r>
              <w:rPr>
                <w:rFonts w:ascii="Times New Roman" w:cs="Times New Roman" w:eastAsia="Times New Roman" w:hAnsi="Times New Roman"/>
                <w:sz w:val="17"/>
                <w:szCs w:val="17"/>
                <w:color w:val="auto"/>
                <w:w w:val="95"/>
                <w:vertAlign w:val="superscript"/>
              </w:rPr>
              <w:t>(9)</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600" w:right="619" w:hanging="327"/>
        <w:spacing w:after="0" w:line="258" w:lineRule="auto"/>
        <w:tabs>
          <w:tab w:leader="none" w:pos="6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Investment Adviser has agreed to pay all of the underwriting discounts and commissions (sales load), which is not reflected in the above table. We are not obligated to repay the sales load paid by our Investment Adviser.</w:t>
      </w:r>
    </w:p>
    <w:p>
      <w:pPr>
        <w:ind w:left="600" w:right="399" w:hanging="327"/>
        <w:spacing w:after="0" w:line="247" w:lineRule="auto"/>
        <w:tabs>
          <w:tab w:leader="none" w:pos="6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reflects estimated offering expenses payable by us of approximately $250,000 and is based on the offering of 4,250,000 shares in this offering at the offering price of $11.10 per share.</w:t>
      </w:r>
    </w:p>
    <w:p>
      <w:pPr>
        <w:ind w:left="600" w:right="379" w:hanging="327"/>
        <w:spacing w:after="0" w:line="247" w:lineRule="auto"/>
        <w:tabs>
          <w:tab w:leader="none" w:pos="6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assets attributable to common shares equal average net assets of September 30, 2022, plus net proceeds anticipated from this offering but excluding the underwriters’ option to purchase additional shares. There is no guarantee that there will be any sales of our common stock pursuant to this prospectus supplement and the accompanying prospectus.</w:t>
      </w:r>
    </w:p>
    <w:p>
      <w:pPr>
        <w:ind w:left="600" w:hanging="327"/>
        <w:spacing w:after="0"/>
        <w:tabs>
          <w:tab w:leader="none" w:pos="6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contractual management fee is calculated at an annual rate of 1.00% of our average adjusted gross assets on September 30, 2022.</w:t>
      </w:r>
    </w:p>
    <w:p>
      <w:pPr>
        <w:spacing w:after="0" w:line="4" w:lineRule="exact"/>
        <w:rPr>
          <w:rFonts w:ascii="Times New Roman" w:cs="Times New Roman" w:eastAsia="Times New Roman" w:hAnsi="Times New Roman"/>
          <w:sz w:val="14"/>
          <w:szCs w:val="14"/>
          <w:color w:val="auto"/>
        </w:rPr>
      </w:pPr>
    </w:p>
    <w:p>
      <w:pPr>
        <w:ind w:left="600" w:right="319" w:hanging="327"/>
        <w:spacing w:after="0" w:line="247" w:lineRule="auto"/>
        <w:tabs>
          <w:tab w:leader="none" w:pos="6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incentive fees paid with respect to net investment income and capital gains, if any, is based on actual amounts incurred during the fiscal year ended September 30, 2022.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the U.S. generally accepted accounting principles. As we cannot predict our future net investment income or capital gains, the incentive fee paid in future periods, if any, may be substantially different than the fee earned during the fiscal year ended September 30, 2022. For more detailed information about the incentive fee, please see “Item 1. Business-Investment Management Agreement” and “Item 1. Business-Investment Advisory Fees” in our most recent Annual Report on Form 10-K.</w:t>
      </w:r>
    </w:p>
    <w:p>
      <w:pPr>
        <w:spacing w:after="0" w:line="2" w:lineRule="exact"/>
        <w:rPr>
          <w:rFonts w:ascii="Times New Roman" w:cs="Times New Roman" w:eastAsia="Times New Roman" w:hAnsi="Times New Roman"/>
          <w:sz w:val="14"/>
          <w:szCs w:val="14"/>
          <w:color w:val="auto"/>
        </w:rPr>
      </w:pPr>
    </w:p>
    <w:p>
      <w:pPr>
        <w:ind w:left="600" w:right="399" w:hanging="327"/>
        <w:spacing w:after="0" w:line="254" w:lineRule="auto"/>
        <w:tabs>
          <w:tab w:leader="none" w:pos="6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2022, we had $168.8 million in borrowings outstanding under our Credit Facility, $97.0 million outstanding under our 2023 Notes, $185.0 million outstanding under our 2026 Notes and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9019"/>
          </w:cols>
          <w:pgMar w:left="1440" w:top="258" w:right="1440" w:bottom="1440" w:gutter="0" w:footer="0" w:header="0"/>
        </w:sectPr>
      </w:pPr>
    </w:p>
    <w:bookmarkStart w:id="11" w:name="page12"/>
    <w:bookmarkEnd w:id="11"/>
    <w:p>
      <w:pPr>
        <w:ind w:left="600" w:right="33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$228.0 million outstanding under the 2031 Asset-Backed Debt. We may use proceeds of this offering to repay outstanding obligations under our existing financing arrangements or other indebtedness. After completing this offering, we may continue to borrow under our existing financing arrangements to finance our investment objectives. We have estimated the annual interest expense on borrowed funds and we caution you that our actual interest expense in the future will depend on prevailing interest rates and our rate of borrowing, which may be substantially higher than the amount provided in this table.</w:t>
      </w:r>
    </w:p>
    <w:p>
      <w:pPr>
        <w:spacing w:after="0" w:line="3" w:lineRule="exact"/>
        <w:rPr>
          <w:sz w:val="20"/>
          <w:szCs w:val="20"/>
          <w:color w:val="auto"/>
        </w:rPr>
      </w:pPr>
    </w:p>
    <w:p>
      <w:pPr>
        <w:ind w:left="600" w:right="279" w:hanging="327"/>
        <w:spacing w:after="0" w:line="247" w:lineRule="auto"/>
        <w:tabs>
          <w:tab w:leader="none" w:pos="6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year ended September 30, 2022. Expenses for PSSL may fluctuate over time and may be substantially higher or lower in the future.</w:t>
      </w:r>
    </w:p>
    <w:p>
      <w:pPr>
        <w:ind w:left="620" w:right="319"/>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stockholders indirectly bear 23.08% of the expenses of our investment in PTSF. A management fee equal to 0.30% per annum of the gross assets of PTSF and its subsidiaries is charged by PennantPark Investment Advisers in connection with PTSF (which is waived by PennantPark Investment Advisers). When applicable, fees and operating expenses estimates would be based on historic fees and operating expenses for acquired funds. For PTSF, which has a limited operating history, fees and operating expenses are estimates based on expected fees and operating expenses of PTSF for the applicable fiscal quarter, annualized for a full year. Expenses for PTSF may fluctuate over time and may be substantially higher or lower in the future.</w:t>
      </w:r>
    </w:p>
    <w:p>
      <w:pPr>
        <w:spacing w:after="0" w:line="1" w:lineRule="exact"/>
        <w:rPr>
          <w:rFonts w:ascii="Times New Roman" w:cs="Times New Roman" w:eastAsia="Times New Roman" w:hAnsi="Times New Roman"/>
          <w:sz w:val="14"/>
          <w:szCs w:val="14"/>
          <w:color w:val="auto"/>
        </w:rPr>
      </w:pPr>
    </w:p>
    <w:p>
      <w:pPr>
        <w:ind w:left="600" w:right="459" w:hanging="327"/>
        <w:spacing w:after="0" w:line="247" w:lineRule="auto"/>
        <w:tabs>
          <w:tab w:leader="none" w:pos="6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estimated for the current fiscal year based on actual other expenses for the fiscal year ended September 30, 2022.</w:t>
      </w:r>
    </w:p>
    <w:p>
      <w:pPr>
        <w:ind w:left="600" w:right="319" w:hanging="327"/>
        <w:spacing w:after="0" w:line="248" w:lineRule="auto"/>
        <w:tabs>
          <w:tab w:leader="none" w:pos="6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7.44% of average total assets.</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Example</w:t>
      </w:r>
    </w:p>
    <w:p>
      <w:pPr>
        <w:spacing w:after="0" w:line="90" w:lineRule="exact"/>
        <w:rPr>
          <w:sz w:val="20"/>
          <w:szCs w:val="20"/>
          <w:color w:val="auto"/>
        </w:rPr>
      </w:pPr>
    </w:p>
    <w:p>
      <w:pPr>
        <w:ind w:left="280" w:right="319"/>
        <w:spacing w:after="0" w:line="257" w:lineRule="auto"/>
        <w:rPr>
          <w:sz w:val="20"/>
          <w:szCs w:val="20"/>
          <w:color w:val="auto"/>
        </w:rPr>
      </w:pPr>
      <w:r>
        <w:rPr>
          <w:rFonts w:ascii="Times New Roman" w:cs="Times New Roman" w:eastAsia="Times New Roman" w:hAnsi="Times New Roman"/>
          <w:sz w:val="14"/>
          <w:szCs w:val="14"/>
          <w:color w:val="auto"/>
        </w:rPr>
        <w:t>The following example illustrates the projected dollar amount of total cumulative expenses that you would pay on a $1,000 hypothetical investment in common shares, assuming (1) no sales load (underwriting discounts and commissions) (see note 1 above) and offering expenses totaling 0.53%, (2) total net estimated annual expenses of 16.14% of average net assets attributable to common shares as set forth in the table above (other than performance-based incentive fees) and (3) a 5.0% annual return.</w:t>
      </w:r>
    </w:p>
    <w:p>
      <w:pPr>
        <w:spacing w:after="0" w:line="153" w:lineRule="exact"/>
        <w:rPr>
          <w:sz w:val="20"/>
          <w:szCs w:val="20"/>
          <w:color w:val="auto"/>
        </w:rPr>
      </w:pPr>
    </w:p>
    <w:tbl>
      <w:tblPr>
        <w:tblLayout w:type="fixed"/>
        <w:tblInd w:w="620" w:type="dxa"/>
        <w:tblCellMar>
          <w:top w:w="0" w:type="dxa"/>
          <w:left w:w="0" w:type="dxa"/>
          <w:bottom w:w="0" w:type="dxa"/>
          <w:right w:w="0" w:type="dxa"/>
        </w:tblCellMar>
      </w:tblPr>
      <w:tr>
        <w:trPr>
          <w:trHeight w:val="126"/>
        </w:trPr>
        <w:tc>
          <w:tcPr>
            <w:tcW w:w="5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You would pay the following expenses on a $1,000 common stock</w:t>
            </w:r>
          </w:p>
        </w:tc>
        <w:tc>
          <w:tcPr>
            <w:tcW w:w="800" w:type="dxa"/>
            <w:vAlign w:val="bottom"/>
          </w:tcPr>
          <w:p>
            <w:pPr>
              <w:jc w:val="center"/>
              <w:ind w:left="78"/>
              <w:spacing w:after="0"/>
              <w:rPr>
                <w:sz w:val="20"/>
                <w:szCs w:val="20"/>
                <w:color w:val="auto"/>
              </w:rPr>
            </w:pPr>
            <w:r>
              <w:rPr>
                <w:rFonts w:ascii="Times New Roman" w:cs="Times New Roman" w:eastAsia="Times New Roman" w:hAnsi="Times New Roman"/>
                <w:sz w:val="11"/>
                <w:szCs w:val="11"/>
                <w:b w:val="1"/>
                <w:bCs w:val="1"/>
                <w:color w:val="auto"/>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3</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5</w:t>
            </w:r>
          </w:p>
        </w:tc>
        <w:tc>
          <w:tcPr>
            <w:tcW w:w="520" w:type="dxa"/>
            <w:vAlign w:val="bottom"/>
          </w:tcPr>
          <w:p>
            <w:pPr>
              <w:jc w:val="center"/>
              <w:ind w:left="78"/>
              <w:spacing w:after="0"/>
              <w:rPr>
                <w:sz w:val="20"/>
                <w:szCs w:val="20"/>
                <w:color w:val="auto"/>
              </w:rPr>
            </w:pPr>
            <w:r>
              <w:rPr>
                <w:rFonts w:ascii="Times New Roman" w:cs="Times New Roman" w:eastAsia="Times New Roman" w:hAnsi="Times New Roman"/>
                <w:sz w:val="11"/>
                <w:szCs w:val="11"/>
                <w:b w:val="1"/>
                <w:bCs w:val="1"/>
                <w:color w:val="auto"/>
                <w:w w:val="90"/>
              </w:rPr>
              <w:t>10</w:t>
            </w:r>
          </w:p>
        </w:tc>
      </w:tr>
      <w:tr>
        <w:trPr>
          <w:trHeight w:val="135"/>
        </w:trPr>
        <w:tc>
          <w:tcPr>
            <w:tcW w:w="5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66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6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52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Years</w:t>
            </w:r>
          </w:p>
        </w:tc>
      </w:tr>
      <w:tr>
        <w:trPr>
          <w:trHeight w:val="151"/>
        </w:trPr>
        <w:tc>
          <w:tcPr>
            <w:tcW w:w="51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Assuming a 5% annual return (assumes no return from net realized capital gains or net</w:t>
            </w:r>
          </w:p>
        </w:tc>
        <w:tc>
          <w:tcPr>
            <w:tcW w:w="8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81"/>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unrealized capital appreciation)</w:t>
            </w:r>
          </w:p>
        </w:tc>
        <w:tc>
          <w:tcPr>
            <w:tcW w:w="80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4"/>
                <w:szCs w:val="14"/>
                <w:color w:val="auto"/>
                <w:w w:val="99"/>
              </w:rPr>
              <w:t>$157</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$612</w:t>
            </w:r>
          </w:p>
        </w:tc>
        <w:tc>
          <w:tcPr>
            <w:tcW w:w="52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4"/>
                <w:szCs w:val="14"/>
                <w:color w:val="auto"/>
                <w:w w:val="99"/>
              </w:rPr>
              <w:t>$948</w:t>
            </w:r>
          </w:p>
        </w:tc>
      </w:tr>
      <w:tr>
        <w:trPr>
          <w:trHeight w:val="151"/>
        </w:trPr>
        <w:tc>
          <w:tcPr>
            <w:tcW w:w="51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Assuming a 5% annual return (assumes return only from realized capital gains and thus</w:t>
            </w: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81"/>
        </w:trPr>
        <w:tc>
          <w:tcPr>
            <w:tcW w:w="5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subject to the capital gains incentive fee)</w:t>
            </w:r>
          </w:p>
        </w:tc>
        <w:tc>
          <w:tcPr>
            <w:tcW w:w="800" w:type="dxa"/>
            <w:vAlign w:val="bottom"/>
          </w:tcPr>
          <w:p>
            <w:pPr>
              <w:jc w:val="center"/>
              <w:ind w:left="98"/>
              <w:spacing w:after="0"/>
              <w:rPr>
                <w:sz w:val="20"/>
                <w:szCs w:val="20"/>
                <w:color w:val="auto"/>
              </w:rPr>
            </w:pPr>
            <w:r>
              <w:rPr>
                <w:rFonts w:ascii="Times New Roman" w:cs="Times New Roman" w:eastAsia="Times New Roman" w:hAnsi="Times New Roman"/>
                <w:sz w:val="14"/>
                <w:szCs w:val="14"/>
                <w:color w:val="auto"/>
                <w:w w:val="99"/>
              </w:rPr>
              <w:t>$165</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$430</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$634</w:t>
            </w:r>
          </w:p>
        </w:tc>
        <w:tc>
          <w:tcPr>
            <w:tcW w:w="520" w:type="dxa"/>
            <w:vAlign w:val="bottom"/>
          </w:tcPr>
          <w:p>
            <w:pPr>
              <w:jc w:val="center"/>
              <w:ind w:left="98"/>
              <w:spacing w:after="0"/>
              <w:rPr>
                <w:sz w:val="20"/>
                <w:szCs w:val="20"/>
                <w:color w:val="auto"/>
              </w:rPr>
            </w:pPr>
            <w:r>
              <w:rPr>
                <w:rFonts w:ascii="Times New Roman" w:cs="Times New Roman" w:eastAsia="Times New Roman" w:hAnsi="Times New Roman"/>
                <w:sz w:val="14"/>
                <w:szCs w:val="14"/>
                <w:color w:val="auto"/>
                <w:w w:val="99"/>
              </w:rPr>
              <w:t>$963</w:t>
            </w:r>
          </w:p>
        </w:tc>
      </w:tr>
    </w:tbl>
    <w:p>
      <w:pPr>
        <w:spacing w:after="0" w:line="151" w:lineRule="exact"/>
        <w:rPr>
          <w:sz w:val="20"/>
          <w:szCs w:val="20"/>
          <w:color w:val="auto"/>
        </w:rPr>
      </w:pPr>
    </w:p>
    <w:p>
      <w:pPr>
        <w:ind w:left="280" w:right="339"/>
        <w:spacing w:after="0" w:line="262" w:lineRule="auto"/>
        <w:rPr>
          <w:sz w:val="20"/>
          <w:szCs w:val="20"/>
          <w:color w:val="auto"/>
        </w:rPr>
      </w:pPr>
      <w:r>
        <w:rPr>
          <w:rFonts w:ascii="Times New Roman" w:cs="Times New Roman" w:eastAsia="Times New Roman" w:hAnsi="Times New Roman"/>
          <w:sz w:val="14"/>
          <w:szCs w:val="14"/>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9019"/>
          </w:cols>
          <w:pgMar w:left="1440" w:top="260" w:right="1440" w:bottom="1440" w:gutter="0" w:footer="0" w:header="0"/>
        </w:sectPr>
      </w:pPr>
    </w:p>
    <w:bookmarkStart w:id="12" w:name="page13"/>
    <w:bookmarkEnd w:id="12"/>
    <w:p>
      <w:pPr>
        <w:ind w:left="280" w:right="29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indirectly. While the example assumes, as required by the SEC, a 5.0% annual return, our performance will vary and may result in a return greater or less than 5.0%. If we were to earn an annual return equal to or less than 5.0%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in our most recent Annual Report on Form 10-K for more information.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9019"/>
          </w:cols>
          <w:pgMar w:left="1440" w:top="260"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805" cy="45720"/>
                    </a:xfrm>
                    <a:prstGeom prst="rect">
                      <a:avLst/>
                    </a:prstGeom>
                    <a:noFill/>
                  </pic:spPr>
                </pic:pic>
              </a:graphicData>
            </a:graphic>
          </wp:anchor>
        </w:drawing>
        <w:t>RISK FACTORS</w:t>
      </w:r>
    </w:p>
    <w:p>
      <w:pPr>
        <w:spacing w:after="0" w:line="173" w:lineRule="exact"/>
        <w:rPr>
          <w:sz w:val="20"/>
          <w:szCs w:val="20"/>
          <w:color w:val="auto"/>
        </w:rPr>
      </w:pPr>
    </w:p>
    <w:p>
      <w:pPr>
        <w:ind w:left="280" w:right="439"/>
        <w:spacing w:after="0" w:line="254" w:lineRule="auto"/>
        <w:rPr>
          <w:sz w:val="20"/>
          <w:szCs w:val="20"/>
          <w:color w:val="auto"/>
        </w:rPr>
      </w:pPr>
      <w:r>
        <w:rPr>
          <w:rFonts w:ascii="Times New Roman" w:cs="Times New Roman" w:eastAsia="Times New Roman" w:hAnsi="Times New Roman"/>
          <w:sz w:val="14"/>
          <w:szCs w:val="14"/>
          <w:color w:val="auto"/>
        </w:rPr>
        <w:t>Investing in our shares of our common stock may be speculative and involves a high degree of risk. You should carefully consider the risk factors incorporated by reference from our most recent Annual Report on Form 10-K as well as other information contained or incorporated by reference into this prospectus supplement and the accompanying prospectus, any free writing prospectus we have authorized for use in connection with this offering and under similar headings in the documents that we file with the SEC on or after the date of this prospectus supplement and are incorporated by reference into this prospectus supplement and the accompanying prospectus.</w:t>
      </w:r>
    </w:p>
    <w:p>
      <w:pPr>
        <w:spacing w:after="0" w:line="144" w:lineRule="exact"/>
        <w:rPr>
          <w:sz w:val="20"/>
          <w:szCs w:val="20"/>
          <w:color w:val="auto"/>
        </w:rPr>
      </w:pPr>
    </w:p>
    <w:p>
      <w:pPr>
        <w:ind w:left="280" w:right="419"/>
        <w:spacing w:after="0" w:line="262" w:lineRule="auto"/>
        <w:rPr>
          <w:sz w:val="20"/>
          <w:szCs w:val="20"/>
          <w:color w:val="auto"/>
        </w:rPr>
      </w:pPr>
      <w:r>
        <w:rPr>
          <w:rFonts w:ascii="Times New Roman" w:cs="Times New Roman" w:eastAsia="Times New Roman" w:hAnsi="Times New Roman"/>
          <w:sz w:val="14"/>
          <w:szCs w:val="14"/>
          <w:color w:val="auto"/>
        </w:rPr>
        <w:t>The risks described in these documents are not the only risks we face. Additional risks and uncertainties not currently known to us or that we currently deem to be immaterial also may materially adversely affect our business, financial condition and/or operating results. In such case, our NAV and the trading price of our common stock could decline, and you may lose all or part of your investment.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9019"/>
          </w:cols>
          <w:pgMar w:left="1440" w:top="258"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805" cy="45720"/>
                    </a:xfrm>
                    <a:prstGeom prst="rect">
                      <a:avLst/>
                    </a:prstGeom>
                    <a:noFill/>
                  </pic:spPr>
                </pic:pic>
              </a:graphicData>
            </a:graphic>
          </wp:anchor>
        </w:drawing>
        <w:t>FORWARD-LOOKING STATEMENTS</w:t>
      </w:r>
    </w:p>
    <w:p>
      <w:pPr>
        <w:spacing w:after="0" w:line="173" w:lineRule="exact"/>
        <w:rPr>
          <w:sz w:val="20"/>
          <w:szCs w:val="20"/>
          <w:color w:val="auto"/>
        </w:rPr>
      </w:pPr>
    </w:p>
    <w:p>
      <w:pPr>
        <w:ind w:left="280" w:right="319"/>
        <w:spacing w:after="0" w:line="252" w:lineRule="auto"/>
        <w:rPr>
          <w:sz w:val="20"/>
          <w:szCs w:val="20"/>
          <w:color w:val="auto"/>
        </w:rPr>
      </w:pPr>
      <w:r>
        <w:rPr>
          <w:rFonts w:ascii="Times New Roman" w:cs="Times New Roman" w:eastAsia="Times New Roman" w:hAnsi="Times New Roman"/>
          <w:sz w:val="14"/>
          <w:szCs w:val="14"/>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71" w:lineRule="exact"/>
        <w:rPr>
          <w:sz w:val="20"/>
          <w:szCs w:val="20"/>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98" w:lineRule="exact"/>
        <w:rPr>
          <w:rFonts w:ascii="Times New Roman" w:cs="Times New Roman" w:eastAsia="Times New Roman" w:hAnsi="Times New Roman"/>
          <w:sz w:val="14"/>
          <w:szCs w:val="14"/>
          <w:color w:val="auto"/>
        </w:rPr>
      </w:pPr>
    </w:p>
    <w:p>
      <w:pPr>
        <w:ind w:left="1020" w:right="459" w:hanging="332"/>
        <w:spacing w:after="0" w:line="277"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prospective portfolio companies, including as a result of the current pandemic caused by COVID-19 or any future worsening thereof;</w:t>
      </w:r>
    </w:p>
    <w:p>
      <w:pPr>
        <w:spacing w:after="0" w:line="53" w:lineRule="exact"/>
        <w:rPr>
          <w:rFonts w:ascii="Times New Roman" w:cs="Times New Roman" w:eastAsia="Times New Roman" w:hAnsi="Times New Roman"/>
          <w:sz w:val="14"/>
          <w:szCs w:val="14"/>
          <w:color w:val="auto"/>
        </w:rPr>
      </w:pPr>
    </w:p>
    <w:p>
      <w:pPr>
        <w:jc w:val="both"/>
        <w:ind w:left="1020" w:right="299" w:hanging="332"/>
        <w:spacing w:after="0" w:line="262"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future worsening thereof;</w:t>
      </w:r>
    </w:p>
    <w:p>
      <w:pPr>
        <w:spacing w:after="0" w:line="6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and foreign exchange rates on our business and our portfolio companies;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prospective portfolio companies to achieve their objectives;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 and ability to fund capital commitments to PSSL;</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prospective portfolio companies;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and volume fluctuations in the stock market;</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levels of inflation, and its impact on us and our portfolio companies;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locate suitable investments for us and to monitor and administer our investments;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legislation and regulation on our business and our portfolio companies; and</w:t>
      </w:r>
    </w:p>
    <w:p>
      <w:pPr>
        <w:spacing w:after="0" w:line="98" w:lineRule="exact"/>
        <w:rPr>
          <w:rFonts w:ascii="Times New Roman" w:cs="Times New Roman" w:eastAsia="Times New Roman" w:hAnsi="Times New Roman"/>
          <w:sz w:val="14"/>
          <w:szCs w:val="14"/>
          <w:color w:val="auto"/>
        </w:rPr>
      </w:pPr>
    </w:p>
    <w:p>
      <w:pPr>
        <w:ind w:left="1020" w:right="439" w:hanging="332"/>
        <w:spacing w:after="0" w:line="277" w:lineRule="auto"/>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ongoing invasion of Ukraine by Russia, United Kingdom’s withdrawal from the European Union (commonly known as “Brexit”) and other world economic and political issues.</w:t>
      </w:r>
    </w:p>
    <w:p>
      <w:pPr>
        <w:spacing w:after="0" w:line="126" w:lineRule="exact"/>
        <w:rPr>
          <w:sz w:val="20"/>
          <w:szCs w:val="20"/>
          <w:color w:val="auto"/>
        </w:rPr>
      </w:pPr>
    </w:p>
    <w:p>
      <w:pPr>
        <w:ind w:left="280" w:right="359"/>
        <w:spacing w:after="0" w:line="257" w:lineRule="auto"/>
        <w:rPr>
          <w:sz w:val="20"/>
          <w:szCs w:val="20"/>
          <w:color w:val="auto"/>
        </w:rPr>
      </w:pPr>
      <w:r>
        <w:rPr>
          <w:rFonts w:ascii="Times New Roman" w:cs="Times New Roman" w:eastAsia="Times New Roman" w:hAnsi="Times New Roman"/>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in our most recent Annual Report on Form 10-K, in the documents incorporated by reference herein, and elsewhere in this prospectus supplement and the accompany prospectus.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9019"/>
          </w:cols>
          <w:pgMar w:left="1440" w:top="258" w:right="1440" w:bottom="1440" w:gutter="0" w:footer="0" w:header="0"/>
        </w:sectPr>
      </w:pPr>
    </w:p>
    <w:bookmarkStart w:id="15" w:name="page16"/>
    <w:bookmarkEnd w:id="15"/>
    <w:p>
      <w:pPr>
        <w:ind w:left="280" w:right="319"/>
        <w:spacing w:after="0" w:line="25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805" cy="45720"/>
                    </a:xfrm>
                    <a:prstGeom prst="rect">
                      <a:avLst/>
                    </a:prstGeom>
                    <a:noFill/>
                  </pic:spPr>
                </pic:pic>
              </a:graphicData>
            </a:graphic>
          </wp:anchor>
        </w:drawing>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SEC including Annual Reports on Form 10-K, Quarterly Reports on Form 10-Q and Current Reports on Form 8-K.</w:t>
      </w:r>
    </w:p>
    <w:p>
      <w:pPr>
        <w:spacing w:after="0" w:line="146" w:lineRule="exact"/>
        <w:rPr>
          <w:sz w:val="20"/>
          <w:szCs w:val="20"/>
          <w:color w:val="auto"/>
        </w:rPr>
      </w:pPr>
    </w:p>
    <w:p>
      <w:pPr>
        <w:ind w:left="280" w:right="599"/>
        <w:spacing w:after="0" w:line="257" w:lineRule="auto"/>
        <w:rPr>
          <w:sz w:val="20"/>
          <w:szCs w:val="20"/>
          <w:color w:val="auto"/>
        </w:rPr>
      </w:pPr>
      <w:r>
        <w:rPr>
          <w:rFonts w:ascii="Times New Roman" w:cs="Times New Roman" w:eastAsia="Times New Roman" w:hAnsi="Times New Roman"/>
          <w:sz w:val="14"/>
          <w:szCs w:val="14"/>
          <w:color w:val="auto"/>
        </w:rPr>
        <w:t>You should understand that, under Sections 27A(b)(2)(B) of the Securities Exchange Act of 1933, as amended, and Section 21E(b)(2)(B) of the Securities Exchange Act of 1934, as amended, or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9019"/>
          </w:cols>
          <w:pgMar w:left="1440" w:top="260"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805" cy="45720"/>
                    </a:xfrm>
                    <a:prstGeom prst="rect">
                      <a:avLst/>
                    </a:prstGeom>
                    <a:noFill/>
                  </pic:spPr>
                </pic:pic>
              </a:graphicData>
            </a:graphic>
          </wp:anchor>
        </w:drawing>
        <w:t>USE OF PROCEEDS</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We estimate that net proceeds we will receive from the sale of 4,250,000 shares of our common stock in this offering will be approximately</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$47.3 million (or approximately $54.5 million if the underwriters fully exercise their option to purchase additional shares), in each case based on</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proceeds to us of approximately $11.20 per shares, representing a public offering price of $11.10 per share, including the additional supplemental</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payment of approximately $0.10 per share that the Investment Adviser has agreed to pay to the underwriters which reflects the difference between the</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public offering price and the proceeds per share received by us in this offering, and also including estimated offering expenses of approximately</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$250,000 payable by us, but excluding the underwriting discounts and commissions of approximately $1.4 million (or approximately $1.6 million if the</w:t>
      </w:r>
    </w:p>
    <w:p>
      <w:pPr>
        <w:spacing w:after="0" w:line="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underwriters fully exercise their option to purchase additional shares). Our Investment Adviser has agreed to pay all of the sales load (underwriting</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discounts and commissions) in connection with this offering. We are not obligated to repay the additional supplemental payment or sales load paid by</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our Investment Adviser.</w:t>
      </w:r>
    </w:p>
    <w:p>
      <w:pPr>
        <w:spacing w:after="0" w:line="156" w:lineRule="exact"/>
        <w:rPr>
          <w:sz w:val="20"/>
          <w:szCs w:val="20"/>
          <w:color w:val="auto"/>
        </w:rPr>
      </w:pPr>
    </w:p>
    <w:p>
      <w:pPr>
        <w:ind w:left="280" w:right="339"/>
        <w:spacing w:after="0" w:line="257" w:lineRule="auto"/>
        <w:rPr>
          <w:sz w:val="20"/>
          <w:szCs w:val="20"/>
          <w:color w:val="auto"/>
        </w:rPr>
      </w:pPr>
      <w:r>
        <w:rPr>
          <w:rFonts w:ascii="Times New Roman" w:cs="Times New Roman" w:eastAsia="Times New Roman" w:hAnsi="Times New Roman"/>
          <w:sz w:val="14"/>
          <w:szCs w:val="14"/>
          <w:color w:val="auto"/>
        </w:rPr>
        <w:t>We expect to use the net proceeds from selling securities pursuant to this prospectus supplement to reduce outstanding obligations under our existing indebtedness, to invest in new or existing portfolio companies, to capitalize a subsidiary or joint venture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40" w:lineRule="exact"/>
        <w:rPr>
          <w:sz w:val="20"/>
          <w:szCs w:val="20"/>
          <w:color w:val="auto"/>
        </w:rPr>
      </w:pPr>
    </w:p>
    <w:p>
      <w:pPr>
        <w:ind w:left="280" w:right="459"/>
        <w:spacing w:after="0" w:line="279" w:lineRule="auto"/>
        <w:rPr>
          <w:sz w:val="20"/>
          <w:szCs w:val="20"/>
          <w:color w:val="auto"/>
        </w:rPr>
      </w:pPr>
      <w:r>
        <w:rPr>
          <w:rFonts w:ascii="Times New Roman" w:cs="Times New Roman" w:eastAsia="Times New Roman" w:hAnsi="Times New Roman"/>
          <w:sz w:val="13"/>
          <w:szCs w:val="13"/>
          <w:color w:val="auto"/>
        </w:rPr>
        <w:t>As of September 30, 2022, Funding I had approximately $168.8 million in outstanding borrowings under the Credit Facility. Borrowings under the Credit Facility bear interest at an annual rate at a spread above the Secured Overnight Financing Rate (or an alternative risk-free floating interest rate index) of 225 basis points. The Credit Facility has a maturity date of August 2026 and a revolving period that ends in August 2024. At September 30, 2022, the weighted average interest rate of the Credit Facility was 4.7%, exclusive of the fee on undrawn commitments. The Credit Facility is secured by all of the assets of Funding I and we own 100% of the equity interest in Funding I and treat the indebtedness of Funding I as our leverage.</w:t>
      </w:r>
    </w:p>
    <w:p>
      <w:pPr>
        <w:spacing w:after="0" w:line="127" w:lineRule="exact"/>
        <w:rPr>
          <w:sz w:val="20"/>
          <w:szCs w:val="20"/>
          <w:color w:val="auto"/>
        </w:rPr>
      </w:pPr>
    </w:p>
    <w:p>
      <w:pPr>
        <w:ind w:left="280" w:right="279"/>
        <w:spacing w:after="0" w:line="251" w:lineRule="auto"/>
        <w:rPr>
          <w:sz w:val="20"/>
          <w:szCs w:val="20"/>
          <w:color w:val="auto"/>
        </w:rPr>
      </w:pPr>
      <w:r>
        <w:rPr>
          <w:rFonts w:ascii="Times New Roman" w:cs="Times New Roman" w:eastAsia="Times New Roman" w:hAnsi="Times New Roman"/>
          <w:sz w:val="14"/>
          <w:szCs w:val="14"/>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 K for more information.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9019"/>
          </w:cols>
          <w:pgMar w:left="1440" w:top="258"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805" cy="45720"/>
                    </a:xfrm>
                    <a:prstGeom prst="rect">
                      <a:avLst/>
                    </a:prstGeom>
                    <a:noFill/>
                  </pic:spPr>
                </pic:pic>
              </a:graphicData>
            </a:graphic>
          </wp:anchor>
        </w:drawing>
        <w:t>PRICE RANGE OF COMMON STOCK</w:t>
      </w:r>
    </w:p>
    <w:p>
      <w:pPr>
        <w:spacing w:after="0" w:line="173" w:lineRule="exact"/>
        <w:rPr>
          <w:sz w:val="20"/>
          <w:szCs w:val="20"/>
          <w:color w:val="auto"/>
        </w:rPr>
      </w:pPr>
    </w:p>
    <w:p>
      <w:pPr>
        <w:ind w:left="280" w:right="439"/>
        <w:spacing w:after="0" w:line="257" w:lineRule="auto"/>
        <w:rPr>
          <w:sz w:val="20"/>
          <w:szCs w:val="20"/>
          <w:color w:val="auto"/>
        </w:rPr>
      </w:pPr>
      <w:r>
        <w:rPr>
          <w:rFonts w:ascii="Times New Roman" w:cs="Times New Roman" w:eastAsia="Times New Roman" w:hAnsi="Times New Roman"/>
          <w:sz w:val="14"/>
          <w:szCs w:val="14"/>
          <w:color w:val="auto"/>
        </w:rPr>
        <w:t>Our common stock is traded on the NYSE under the symbol “PFLT.” Prior to April 14, 2022, our common stock was traded on The Nasdaq Global Select Market under the same symbol. The following table lists the high and low closing sale prices for our common stock, the closing sale prices as a premium or (discount) to our NAV and quarterly distributions per share since October 1, 2020. On January 23, 2023, the last reported closing price of our common stock was $11.81 per share.</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8"/>
              </w:rPr>
              <w:t>Premium (Discount)</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Premium (Discount)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3"/>
        </w:trPr>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gridSpan w:val="5"/>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Closing Sales Price</w:t>
            </w: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of High Sales</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of Low Sales</w:t>
            </w:r>
          </w:p>
        </w:tc>
        <w:tc>
          <w:tcPr>
            <w:tcW w:w="160" w:type="dxa"/>
            <w:vAlign w:val="bottom"/>
          </w:tcPr>
          <w:p>
            <w:pPr>
              <w:spacing w:after="0"/>
              <w:rPr>
                <w:sz w:val="11"/>
                <w:szCs w:val="11"/>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Distributions</w:t>
            </w:r>
          </w:p>
        </w:tc>
      </w:tr>
      <w:tr>
        <w:trPr>
          <w:trHeight w:val="104"/>
        </w:trPr>
        <w:tc>
          <w:tcPr>
            <w:tcW w:w="2460" w:type="dxa"/>
            <w:vAlign w:val="bottom"/>
          </w:tcPr>
          <w:p>
            <w:pPr>
              <w:ind w:left="1060"/>
              <w:spacing w:after="0" w:line="105" w:lineRule="exact"/>
              <w:rPr>
                <w:sz w:val="20"/>
                <w:szCs w:val="20"/>
                <w:color w:val="auto"/>
              </w:rPr>
            </w:pPr>
            <w:r>
              <w:rPr>
                <w:rFonts w:ascii="Times New Roman" w:cs="Times New Roman" w:eastAsia="Times New Roman" w:hAnsi="Times New Roman"/>
                <w:sz w:val="11"/>
                <w:szCs w:val="11"/>
                <w:b w:val="1"/>
                <w:bCs w:val="1"/>
                <w:color w:val="auto"/>
              </w:rPr>
              <w:t>Period</w:t>
            </w:r>
          </w:p>
        </w:tc>
        <w:tc>
          <w:tcPr>
            <w:tcW w:w="260" w:type="dxa"/>
            <w:vAlign w:val="bottom"/>
          </w:tcPr>
          <w:p>
            <w:pPr>
              <w:spacing w:after="0"/>
              <w:rPr>
                <w:sz w:val="9"/>
                <w:szCs w:val="9"/>
                <w:color w:val="auto"/>
              </w:rPr>
            </w:pPr>
          </w:p>
        </w:tc>
        <w:tc>
          <w:tcPr>
            <w:tcW w:w="700" w:type="dxa"/>
            <w:vAlign w:val="bottom"/>
            <w:gridSpan w:val="2"/>
          </w:tcPr>
          <w:p>
            <w:pPr>
              <w:jc w:val="right"/>
              <w:ind w:right="360"/>
              <w:spacing w:after="0" w:line="105" w:lineRule="exact"/>
              <w:rPr>
                <w:sz w:val="20"/>
                <w:szCs w:val="20"/>
                <w:color w:val="auto"/>
              </w:rPr>
            </w:pPr>
            <w:r>
              <w:rPr>
                <w:rFonts w:ascii="Times New Roman" w:cs="Times New Roman" w:eastAsia="Times New Roman" w:hAnsi="Times New Roman"/>
                <w:sz w:val="11"/>
                <w:szCs w:val="11"/>
                <w:b w:val="1"/>
                <w:bCs w:val="1"/>
                <w:color w:val="auto"/>
              </w:rPr>
              <w:t>NAV</w:t>
            </w:r>
            <w:r>
              <w:rPr>
                <w:rFonts w:ascii="Times New Roman" w:cs="Times New Roman" w:eastAsia="Times New Roman" w:hAnsi="Times New Roman"/>
                <w:sz w:val="6"/>
                <w:szCs w:val="6"/>
                <w:b w:val="1"/>
                <w:bCs w:val="1"/>
                <w:color w:val="auto"/>
              </w:rPr>
              <w:t>(1)</w:t>
            </w:r>
          </w:p>
        </w:tc>
        <w:tc>
          <w:tcPr>
            <w:tcW w:w="580" w:type="dxa"/>
            <w:vAlign w:val="bottom"/>
            <w:tcBorders>
              <w:top w:val="single" w:sz="8" w:color="auto"/>
            </w:tcBorders>
            <w:gridSpan w:val="2"/>
          </w:tcPr>
          <w:p>
            <w:pPr>
              <w:jc w:val="right"/>
              <w:ind w:right="260"/>
              <w:spacing w:after="0" w:line="105" w:lineRule="exact"/>
              <w:rPr>
                <w:sz w:val="20"/>
                <w:szCs w:val="20"/>
                <w:color w:val="auto"/>
              </w:rPr>
            </w:pPr>
            <w:r>
              <w:rPr>
                <w:rFonts w:ascii="Times New Roman" w:cs="Times New Roman" w:eastAsia="Times New Roman" w:hAnsi="Times New Roman"/>
                <w:sz w:val="11"/>
                <w:szCs w:val="11"/>
                <w:b w:val="1"/>
                <w:bCs w:val="1"/>
                <w:color w:val="auto"/>
              </w:rPr>
              <w:t>High</w:t>
            </w:r>
          </w:p>
        </w:tc>
        <w:tc>
          <w:tcPr>
            <w:tcW w:w="1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ind w:right="45"/>
              <w:spacing w:after="0" w:line="105" w:lineRule="exact"/>
              <w:rPr>
                <w:sz w:val="20"/>
                <w:szCs w:val="20"/>
                <w:color w:val="auto"/>
              </w:rPr>
            </w:pPr>
            <w:r>
              <w:rPr>
                <w:rFonts w:ascii="Times New Roman" w:cs="Times New Roman" w:eastAsia="Times New Roman" w:hAnsi="Times New Roman"/>
                <w:sz w:val="11"/>
                <w:szCs w:val="11"/>
                <w:b w:val="1"/>
                <w:bCs w:val="1"/>
                <w:color w:val="auto"/>
              </w:rPr>
              <w:t>Low</w:t>
            </w:r>
          </w:p>
        </w:tc>
        <w:tc>
          <w:tcPr>
            <w:tcW w:w="320" w:type="dxa"/>
            <w:vAlign w:val="bottom"/>
          </w:tcPr>
          <w:p>
            <w:pPr>
              <w:spacing w:after="0"/>
              <w:rPr>
                <w:sz w:val="9"/>
                <w:szCs w:val="9"/>
                <w:color w:val="auto"/>
              </w:rPr>
            </w:pPr>
          </w:p>
        </w:tc>
        <w:tc>
          <w:tcPr>
            <w:tcW w:w="1400" w:type="dxa"/>
            <w:vAlign w:val="bottom"/>
            <w:gridSpan w:val="2"/>
          </w:tcPr>
          <w:p>
            <w:pPr>
              <w:jc w:val="center"/>
              <w:ind w:right="420"/>
              <w:spacing w:after="0" w:line="105" w:lineRule="exact"/>
              <w:rPr>
                <w:sz w:val="20"/>
                <w:szCs w:val="20"/>
                <w:color w:val="auto"/>
              </w:rPr>
            </w:pPr>
            <w:r>
              <w:rPr>
                <w:rFonts w:ascii="Times New Roman" w:cs="Times New Roman" w:eastAsia="Times New Roman" w:hAnsi="Times New Roman"/>
                <w:sz w:val="11"/>
                <w:szCs w:val="11"/>
                <w:b w:val="1"/>
                <w:bCs w:val="1"/>
                <w:color w:val="auto"/>
              </w:rPr>
              <w:t>Price to NAV</w:t>
            </w:r>
            <w:r>
              <w:rPr>
                <w:rFonts w:ascii="Times New Roman" w:cs="Times New Roman" w:eastAsia="Times New Roman" w:hAnsi="Times New Roman"/>
                <w:sz w:val="6"/>
                <w:szCs w:val="6"/>
                <w:b w:val="1"/>
                <w:bCs w:val="1"/>
                <w:color w:val="auto"/>
              </w:rPr>
              <w:t>(2)</w:t>
            </w:r>
          </w:p>
        </w:tc>
        <w:tc>
          <w:tcPr>
            <w:tcW w:w="1240" w:type="dxa"/>
            <w:vAlign w:val="bottom"/>
            <w:gridSpan w:val="2"/>
          </w:tcPr>
          <w:p>
            <w:pPr>
              <w:jc w:val="center"/>
              <w:ind w:right="260"/>
              <w:spacing w:after="0" w:line="105" w:lineRule="exact"/>
              <w:rPr>
                <w:sz w:val="20"/>
                <w:szCs w:val="20"/>
                <w:color w:val="auto"/>
              </w:rPr>
            </w:pPr>
            <w:r>
              <w:rPr>
                <w:rFonts w:ascii="Times New Roman" w:cs="Times New Roman" w:eastAsia="Times New Roman" w:hAnsi="Times New Roman"/>
                <w:sz w:val="11"/>
                <w:szCs w:val="11"/>
                <w:b w:val="1"/>
                <w:bCs w:val="1"/>
                <w:color w:val="auto"/>
              </w:rPr>
              <w:t>Price to NAV</w:t>
            </w:r>
            <w:r>
              <w:rPr>
                <w:rFonts w:ascii="Times New Roman" w:cs="Times New Roman" w:eastAsia="Times New Roman" w:hAnsi="Times New Roman"/>
                <w:sz w:val="6"/>
                <w:szCs w:val="6"/>
                <w:b w:val="1"/>
                <w:bCs w:val="1"/>
                <w:color w:val="auto"/>
              </w:rPr>
              <w:t>(2)</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Declared</w:t>
            </w:r>
          </w:p>
        </w:tc>
      </w:tr>
      <w:tr>
        <w:trPr>
          <w:trHeight w:val="156"/>
        </w:trPr>
        <w:tc>
          <w:tcPr>
            <w:tcW w:w="24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Year Ending September 30, 2023</w:t>
            </w:r>
          </w:p>
        </w:tc>
        <w:tc>
          <w:tcPr>
            <w:tcW w:w="2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Second quarter (as of January 23, 2023)</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 N/A</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5"/>
              </w:rPr>
              <w:t>$ 12.20</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$ 11.08</w:t>
            </w:r>
          </w:p>
        </w:tc>
        <w:tc>
          <w:tcPr>
            <w:tcW w:w="140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220"/>
              <w:spacing w:after="0" w:line="166" w:lineRule="exact"/>
              <w:rPr>
                <w:sz w:val="20"/>
                <w:szCs w:val="20"/>
                <w:color w:val="auto"/>
              </w:rPr>
            </w:pPr>
            <w:r>
              <w:rPr>
                <w:rFonts w:ascii="Times New Roman" w:cs="Times New Roman" w:eastAsia="Times New Roman" w:hAnsi="Times New Roman"/>
                <w:sz w:val="14"/>
                <w:szCs w:val="14"/>
                <w:color w:val="auto"/>
                <w:w w:val="98"/>
              </w:rPr>
              <w:t>0.095</w:t>
            </w:r>
            <w:r>
              <w:rPr>
                <w:rFonts w:ascii="Times New Roman" w:cs="Times New Roman" w:eastAsia="Times New Roman" w:hAnsi="Times New Roman"/>
                <w:sz w:val="17"/>
                <w:szCs w:val="17"/>
                <w:color w:val="auto"/>
                <w:w w:val="98"/>
                <w:vertAlign w:val="superscript"/>
              </w:rPr>
              <w:t>(3)</w:t>
            </w: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N/A</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11.56</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9.77</w:t>
            </w:r>
          </w:p>
        </w:tc>
        <w:tc>
          <w:tcPr>
            <w:tcW w:w="14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8"/>
              </w:rPr>
              <w:t>0.285</w:t>
            </w:r>
          </w:p>
        </w:tc>
        <w:tc>
          <w:tcPr>
            <w:tcW w:w="160" w:type="dxa"/>
            <w:vAlign w:val="bottom"/>
            <w:shd w:val="clear" w:color="auto" w:fill="CCEEFF"/>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 2022</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11.62</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13.19</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9.60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8"/>
              </w:rPr>
              <w:t>0.285</w:t>
            </w:r>
          </w:p>
        </w:tc>
        <w:tc>
          <w:tcPr>
            <w:tcW w:w="160" w:type="dxa"/>
            <w:vAlign w:val="bottom"/>
            <w:shd w:val="clear" w:color="auto" w:fill="CCEEFF"/>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12.21</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14.20</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10.45</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88"/>
              </w:rPr>
              <w:t>0.285</w:t>
            </w:r>
          </w:p>
        </w:tc>
        <w:tc>
          <w:tcPr>
            <w:tcW w:w="160" w:type="dxa"/>
            <w:vAlign w:val="bottom"/>
          </w:tcPr>
          <w:p>
            <w:pPr>
              <w:spacing w:after="0"/>
              <w:rPr>
                <w:sz w:val="14"/>
                <w:szCs w:val="14"/>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12.62</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13.56</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12.23</w:t>
            </w: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7</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8"/>
              </w:rPr>
              <w:t>0.285</w:t>
            </w:r>
          </w:p>
        </w:tc>
        <w:tc>
          <w:tcPr>
            <w:tcW w:w="160" w:type="dxa"/>
            <w:vAlign w:val="bottom"/>
            <w:shd w:val="clear" w:color="auto" w:fill="CCEEFF"/>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12.70</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13.80</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12.23</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9</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88"/>
              </w:rPr>
              <w:t>0.285</w:t>
            </w:r>
          </w:p>
        </w:tc>
        <w:tc>
          <w:tcPr>
            <w:tcW w:w="160" w:type="dxa"/>
            <w:vAlign w:val="bottom"/>
          </w:tcPr>
          <w:p>
            <w:pPr>
              <w:spacing w:after="0"/>
              <w:rPr>
                <w:sz w:val="14"/>
                <w:szCs w:val="14"/>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 2021</w:t>
            </w: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12.62</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13.41</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12.51</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88"/>
              </w:rPr>
              <w:t>0.285</w:t>
            </w:r>
          </w:p>
        </w:tc>
        <w:tc>
          <w:tcPr>
            <w:tcW w:w="160" w:type="dxa"/>
            <w:vAlign w:val="bottom"/>
          </w:tcPr>
          <w:p>
            <w:pPr>
              <w:spacing w:after="0"/>
              <w:rPr>
                <w:sz w:val="14"/>
                <w:szCs w:val="14"/>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12.81</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13.19</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11.94</w:t>
            </w:r>
          </w:p>
        </w:tc>
        <w:tc>
          <w:tcPr>
            <w:tcW w:w="14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8"/>
              </w:rPr>
              <w:t>0.285</w:t>
            </w:r>
          </w:p>
        </w:tc>
        <w:tc>
          <w:tcPr>
            <w:tcW w:w="160" w:type="dxa"/>
            <w:vAlign w:val="bottom"/>
            <w:shd w:val="clear" w:color="auto" w:fill="CCEEFF"/>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12.71</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12.63</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10.46</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88"/>
              </w:rPr>
              <w:t>0.285</w:t>
            </w:r>
          </w:p>
        </w:tc>
        <w:tc>
          <w:tcPr>
            <w:tcW w:w="160" w:type="dxa"/>
            <w:vAlign w:val="bottom"/>
          </w:tcPr>
          <w:p>
            <w:pPr>
              <w:spacing w:after="0"/>
              <w:rPr>
                <w:sz w:val="14"/>
                <w:szCs w:val="14"/>
                <w:color w:val="auto"/>
              </w:rPr>
            </w:pPr>
          </w:p>
        </w:tc>
      </w:tr>
      <w:tr>
        <w:trPr>
          <w:trHeight w:val="16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12.70</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10.96</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7.80</w:t>
            </w: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8"/>
              </w:rPr>
              <w:t>0.285</w:t>
            </w:r>
          </w:p>
        </w:tc>
        <w:tc>
          <w:tcPr>
            <w:tcW w:w="160" w:type="dxa"/>
            <w:vAlign w:val="bottom"/>
            <w:shd w:val="clear" w:color="auto" w:fill="CCEEFF"/>
          </w:tcPr>
          <w:p>
            <w:pPr>
              <w:spacing w:after="0"/>
              <w:rPr>
                <w:sz w:val="14"/>
                <w:szCs w:val="14"/>
                <w:color w:val="auto"/>
              </w:rPr>
            </w:pPr>
          </w:p>
        </w:tc>
      </w:tr>
    </w:tbl>
    <w:p>
      <w:pPr>
        <w:spacing w:after="0" w:line="172" w:lineRule="exact"/>
        <w:rPr>
          <w:sz w:val="20"/>
          <w:szCs w:val="20"/>
          <w:color w:val="auto"/>
        </w:rPr>
      </w:pPr>
    </w:p>
    <w:p>
      <w:pPr>
        <w:ind w:left="600" w:right="399" w:hanging="327"/>
        <w:spacing w:after="0" w:line="258" w:lineRule="auto"/>
        <w:tabs>
          <w:tab w:leader="none" w:pos="6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600" w:hanging="327"/>
        <w:spacing w:after="0"/>
        <w:tabs>
          <w:tab w:leader="none" w:pos="6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of the respective high or low closing sales price less NAV per share, divided by the quarter-end NAV per share.</w:t>
      </w:r>
    </w:p>
    <w:p>
      <w:pPr>
        <w:spacing w:after="0" w:line="4" w:lineRule="exact"/>
        <w:rPr>
          <w:rFonts w:ascii="Times New Roman" w:cs="Times New Roman" w:eastAsia="Times New Roman" w:hAnsi="Times New Roman"/>
          <w:sz w:val="14"/>
          <w:szCs w:val="14"/>
          <w:color w:val="auto"/>
        </w:rPr>
      </w:pPr>
    </w:p>
    <w:p>
      <w:pPr>
        <w:ind w:left="600" w:right="339" w:hanging="327"/>
        <w:spacing w:after="0" w:line="254" w:lineRule="auto"/>
        <w:tabs>
          <w:tab w:leader="none" w:pos="6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distribution of $0.095 per share payable on February 1, 2023 to stockholders of record as of January 19, 2023. Investors in this offering will not be entitled to this distribution.</w:t>
      </w:r>
    </w:p>
    <w:p>
      <w:pPr>
        <w:spacing w:after="0" w:line="142" w:lineRule="exact"/>
        <w:rPr>
          <w:sz w:val="20"/>
          <w:szCs w:val="20"/>
          <w:color w:val="auto"/>
        </w:rPr>
      </w:pPr>
    </w:p>
    <w:p>
      <w:pPr>
        <w:ind w:left="280" w:right="359"/>
        <w:spacing w:after="0" w:line="254" w:lineRule="auto"/>
        <w:rPr>
          <w:sz w:val="20"/>
          <w:szCs w:val="20"/>
          <w:color w:val="auto"/>
        </w:rPr>
      </w:pPr>
      <w:r>
        <w:rPr>
          <w:rFonts w:ascii="Times New Roman" w:cs="Times New Roman" w:eastAsia="Times New Roman" w:hAnsi="Times New Roman"/>
          <w:sz w:val="14"/>
          <w:szCs w:val="14"/>
          <w:color w:val="auto"/>
        </w:rPr>
        <w:t>Shares of BDCs may trade at a market price both above and below the NAV that is attributable to those shares. Our shares have traded above and below our NAV. Our shares closed on the NYSE at $9.60 and $11.48 on September 30, 2022 and June 30, 2022, respectively. Our NAV per share was $11.62 and $12.21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2022, we had 37 stockholders of record.</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9019"/>
          </w:cols>
          <w:pgMar w:left="1440" w:top="258"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CAPITALIZATION</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The following table sets forth:</w:t>
      </w:r>
    </w:p>
    <w:p>
      <w:pPr>
        <w:spacing w:after="0" w:line="98" w:lineRule="exact"/>
        <w:rPr>
          <w:sz w:val="20"/>
          <w:szCs w:val="20"/>
          <w:color w:val="auto"/>
        </w:rPr>
      </w:pPr>
    </w:p>
    <w:p>
      <w:pPr>
        <w:ind w:left="1020" w:hanging="332"/>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actual capitalization as of September 30, 2022; and</w:t>
      </w:r>
    </w:p>
    <w:p>
      <w:pPr>
        <w:spacing w:after="0" w:line="98" w:lineRule="exact"/>
        <w:rPr>
          <w:rFonts w:ascii="Times New Roman" w:cs="Times New Roman" w:eastAsia="Times New Roman" w:hAnsi="Times New Roman"/>
          <w:sz w:val="14"/>
          <w:szCs w:val="14"/>
          <w:color w:val="auto"/>
        </w:rPr>
      </w:pPr>
    </w:p>
    <w:p>
      <w:pPr>
        <w:ind w:left="1020" w:right="339" w:hanging="332"/>
        <w:spacing w:after="0" w:line="253" w:lineRule="auto"/>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 forma capitalization to give effect to the sale of shares of our common stock in this offering (assuming no exercise of the underwriters’ option to purchase additional shares) based on proceeds to us of approximately $11.20 per share, representing the public offering price of $11.10 per share, including the additional supplemental payment of approximately $0.10 per share that the Investment Adviser has agreed to pay to the underwriters which reflects the difference between the public offering price and the proceeds per share received by us in this offering, and also including estimated offering expenses of approximately $250,000 payable by us, but excluding the underwriting discounts and commissions of approximately $1.4 million.</w:t>
      </w:r>
    </w:p>
    <w:p>
      <w:pPr>
        <w:spacing w:after="0" w:line="143" w:lineRule="exact"/>
        <w:rPr>
          <w:sz w:val="20"/>
          <w:szCs w:val="20"/>
          <w:color w:val="auto"/>
        </w:rPr>
      </w:pPr>
    </w:p>
    <w:p>
      <w:pPr>
        <w:ind w:left="280" w:right="339"/>
        <w:spacing w:after="0" w:line="262" w:lineRule="auto"/>
        <w:rPr>
          <w:sz w:val="20"/>
          <w:szCs w:val="20"/>
          <w:color w:val="auto"/>
        </w:rPr>
      </w:pPr>
      <w:r>
        <w:rPr>
          <w:rFonts w:ascii="Times New Roman" w:cs="Times New Roman" w:eastAsia="Times New Roman" w:hAnsi="Times New Roman"/>
          <w:sz w:val="14"/>
          <w:szCs w:val="14"/>
          <w:color w:val="auto"/>
        </w:rPr>
        <w:t>This table should be read in conjunction with the “Use of Proceeds” section of this prospectus supplement, the “Management’s Discussion and Analysis of Financial Condition and Results of Operations” section and the financial statements and notes thereto in our most recently filed Annual Report on Form 10-K.</w:t>
      </w:r>
    </w:p>
    <w:p>
      <w:pPr>
        <w:spacing w:after="0" w:line="142"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6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5"/>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As of September 30, 2022</w:t>
            </w:r>
          </w:p>
        </w:tc>
        <w:tc>
          <w:tcPr>
            <w:tcW w:w="0" w:type="dxa"/>
            <w:vAlign w:val="bottom"/>
          </w:tcPr>
          <w:p>
            <w:pPr>
              <w:spacing w:after="0"/>
              <w:rPr>
                <w:sz w:val="1"/>
                <w:szCs w:val="1"/>
                <w:color w:val="auto"/>
              </w:rPr>
            </w:pPr>
          </w:p>
        </w:tc>
      </w:tr>
      <w:tr>
        <w:trPr>
          <w:trHeight w:val="131"/>
        </w:trPr>
        <w:tc>
          <w:tcPr>
            <w:tcW w:w="6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5"/>
          </w:tcPr>
          <w:p>
            <w:pPr>
              <w:jc w:val="right"/>
              <w:ind w:right="200"/>
              <w:spacing w:after="0"/>
              <w:rPr>
                <w:sz w:val="20"/>
                <w:szCs w:val="20"/>
                <w:color w:val="auto"/>
              </w:rPr>
            </w:pPr>
            <w:r>
              <w:rPr>
                <w:rFonts w:ascii="Times New Roman" w:cs="Times New Roman" w:eastAsia="Times New Roman" w:hAnsi="Times New Roman"/>
                <w:sz w:val="11"/>
                <w:szCs w:val="11"/>
                <w:color w:val="auto"/>
              </w:rPr>
              <w:t>(dollars in thousands, except data per share)</w:t>
            </w:r>
          </w:p>
        </w:tc>
        <w:tc>
          <w:tcPr>
            <w:tcW w:w="0" w:type="dxa"/>
            <w:vAlign w:val="bottom"/>
          </w:tcPr>
          <w:p>
            <w:pPr>
              <w:spacing w:after="0"/>
              <w:rPr>
                <w:sz w:val="1"/>
                <w:szCs w:val="1"/>
                <w:color w:val="auto"/>
              </w:rPr>
            </w:pPr>
          </w:p>
        </w:tc>
      </w:tr>
      <w:tr>
        <w:trPr>
          <w:trHeight w:val="85"/>
        </w:trPr>
        <w:tc>
          <w:tcPr>
            <w:tcW w:w="6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2"/>
            <w:vMerge w:val="restart"/>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1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jc w:val="right"/>
              <w:ind w:right="113"/>
              <w:spacing w:after="0" w:line="85" w:lineRule="exact"/>
              <w:rPr>
                <w:sz w:val="20"/>
                <w:szCs w:val="20"/>
                <w:color w:val="auto"/>
              </w:rPr>
            </w:pPr>
            <w:r>
              <w:rPr>
                <w:rFonts w:ascii="Times New Roman" w:cs="Times New Roman" w:eastAsia="Times New Roman" w:hAnsi="Times New Roman"/>
                <w:sz w:val="9"/>
                <w:szCs w:val="9"/>
                <w:b w:val="1"/>
                <w:bCs w:val="1"/>
                <w:color w:val="auto"/>
              </w:rPr>
              <w:t>(unaudited)</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6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Pro Forma</w:t>
            </w:r>
            <w:r>
              <w:rPr>
                <w:rFonts w:ascii="Times New Roman" w:cs="Times New Roman" w:eastAsia="Times New Roman" w:hAnsi="Times New Roman"/>
                <w:sz w:val="6"/>
                <w:szCs w:val="6"/>
                <w:b w:val="1"/>
                <w:bCs w:val="1"/>
                <w:color w:val="auto"/>
              </w:rPr>
              <w:t>(1)</w:t>
            </w:r>
          </w:p>
        </w:tc>
        <w:tc>
          <w:tcPr>
            <w:tcW w:w="0" w:type="dxa"/>
            <w:vAlign w:val="bottom"/>
          </w:tcPr>
          <w:p>
            <w:pPr>
              <w:spacing w:after="0"/>
              <w:rPr>
                <w:sz w:val="1"/>
                <w:szCs w:val="1"/>
                <w:color w:val="auto"/>
              </w:rPr>
            </w:pPr>
          </w:p>
        </w:tc>
      </w:tr>
      <w:tr>
        <w:trPr>
          <w:trHeight w:val="156"/>
        </w:trPr>
        <w:tc>
          <w:tcPr>
            <w:tcW w:w="60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1,164,254</w:t>
            </w:r>
          </w:p>
        </w:tc>
        <w:tc>
          <w:tcPr>
            <w:tcW w:w="42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1,164,254</w:t>
            </w:r>
          </w:p>
        </w:tc>
        <w:tc>
          <w:tcPr>
            <w:tcW w:w="0" w:type="dxa"/>
            <w:vAlign w:val="bottom"/>
          </w:tcPr>
          <w:p>
            <w:pPr>
              <w:spacing w:after="0"/>
              <w:rPr>
                <w:sz w:val="1"/>
                <w:szCs w:val="1"/>
                <w:color w:val="auto"/>
              </w:rPr>
            </w:pPr>
          </w:p>
        </w:tc>
      </w:tr>
      <w:tr>
        <w:trPr>
          <w:trHeight w:val="16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47,880</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95,229</w:t>
            </w:r>
          </w:p>
        </w:tc>
        <w:tc>
          <w:tcPr>
            <w:tcW w:w="0" w:type="dxa"/>
            <w:vAlign w:val="bottom"/>
          </w:tcPr>
          <w:p>
            <w:pPr>
              <w:spacing w:after="0"/>
              <w:rPr>
                <w:sz w:val="1"/>
                <w:szCs w:val="1"/>
                <w:color w:val="auto"/>
              </w:rPr>
            </w:pPr>
          </w:p>
        </w:tc>
      </w:tr>
      <w:tr>
        <w:trPr>
          <w:trHeight w:val="166"/>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11,732</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11,732</w:t>
            </w:r>
          </w:p>
        </w:tc>
        <w:tc>
          <w:tcPr>
            <w:tcW w:w="0" w:type="dxa"/>
            <w:vAlign w:val="bottom"/>
          </w:tcPr>
          <w:p>
            <w:pPr>
              <w:spacing w:after="0"/>
              <w:rPr>
                <w:sz w:val="1"/>
                <w:szCs w:val="1"/>
                <w:color w:val="auto"/>
              </w:rPr>
            </w:pPr>
          </w:p>
        </w:tc>
      </w:tr>
      <w:tr>
        <w:trPr>
          <w:trHeight w:val="16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1,223,866</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1,271,215</w:t>
            </w:r>
          </w:p>
        </w:tc>
        <w:tc>
          <w:tcPr>
            <w:tcW w:w="0" w:type="dxa"/>
            <w:vAlign w:val="bottom"/>
          </w:tcPr>
          <w:p>
            <w:pPr>
              <w:spacing w:after="0"/>
              <w:rPr>
                <w:sz w:val="1"/>
                <w:szCs w:val="1"/>
                <w:color w:val="auto"/>
              </w:rPr>
            </w:pPr>
          </w:p>
        </w:tc>
      </w:tr>
      <w:tr>
        <w:trPr>
          <w:trHeight w:val="166"/>
        </w:trPr>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Facility</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167,563</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167,563</w:t>
            </w:r>
          </w:p>
        </w:tc>
        <w:tc>
          <w:tcPr>
            <w:tcW w:w="0" w:type="dxa"/>
            <w:vAlign w:val="bottom"/>
          </w:tcPr>
          <w:p>
            <w:pPr>
              <w:spacing w:after="0"/>
              <w:rPr>
                <w:sz w:val="1"/>
                <w:szCs w:val="1"/>
                <w:color w:val="auto"/>
              </w:rPr>
            </w:pPr>
          </w:p>
        </w:tc>
      </w:tr>
      <w:tr>
        <w:trPr>
          <w:trHeight w:val="166"/>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2023 Notes payable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96,812</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96,812</w:t>
            </w:r>
          </w:p>
        </w:tc>
        <w:tc>
          <w:tcPr>
            <w:tcW w:w="0" w:type="dxa"/>
            <w:vAlign w:val="bottom"/>
          </w:tcPr>
          <w:p>
            <w:pPr>
              <w:spacing w:after="0"/>
              <w:rPr>
                <w:sz w:val="1"/>
                <w:szCs w:val="1"/>
                <w:color w:val="auto"/>
              </w:rPr>
            </w:pPr>
          </w:p>
        </w:tc>
      </w:tr>
      <w:tr>
        <w:trPr>
          <w:trHeight w:val="16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 Notes payable</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182,276</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182,276</w:t>
            </w:r>
          </w:p>
        </w:tc>
        <w:tc>
          <w:tcPr>
            <w:tcW w:w="0" w:type="dxa"/>
            <w:vAlign w:val="bottom"/>
          </w:tcPr>
          <w:p>
            <w:pPr>
              <w:spacing w:after="0"/>
              <w:rPr>
                <w:sz w:val="1"/>
                <w:szCs w:val="1"/>
                <w:color w:val="auto"/>
              </w:rPr>
            </w:pPr>
          </w:p>
        </w:tc>
      </w:tr>
      <w:tr>
        <w:trPr>
          <w:trHeight w:val="166"/>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2031 Asset-Backed Debt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226,128</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226,128</w:t>
            </w:r>
          </w:p>
        </w:tc>
        <w:tc>
          <w:tcPr>
            <w:tcW w:w="0" w:type="dxa"/>
            <w:vAlign w:val="bottom"/>
          </w:tcPr>
          <w:p>
            <w:pPr>
              <w:spacing w:after="0"/>
              <w:rPr>
                <w:sz w:val="1"/>
                <w:szCs w:val="1"/>
                <w:color w:val="auto"/>
              </w:rPr>
            </w:pPr>
          </w:p>
        </w:tc>
      </w:tr>
      <w:tr>
        <w:trPr>
          <w:trHeight w:val="16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23,995</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23,995</w:t>
            </w:r>
          </w:p>
        </w:tc>
        <w:tc>
          <w:tcPr>
            <w:tcW w:w="0" w:type="dxa"/>
            <w:vAlign w:val="bottom"/>
          </w:tcPr>
          <w:p>
            <w:pPr>
              <w:spacing w:after="0"/>
              <w:rPr>
                <w:sz w:val="1"/>
                <w:szCs w:val="1"/>
                <w:color w:val="auto"/>
              </w:rPr>
            </w:pPr>
          </w:p>
        </w:tc>
      </w:tr>
      <w:tr>
        <w:trPr>
          <w:trHeight w:val="166"/>
        </w:trPr>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696,774</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696,774</w:t>
            </w:r>
          </w:p>
        </w:tc>
        <w:tc>
          <w:tcPr>
            <w:tcW w:w="0" w:type="dxa"/>
            <w:vAlign w:val="bottom"/>
          </w:tcPr>
          <w:p>
            <w:pPr>
              <w:spacing w:after="0"/>
              <w:rPr>
                <w:sz w:val="1"/>
                <w:szCs w:val="1"/>
                <w:color w:val="auto"/>
              </w:rPr>
            </w:pPr>
          </w:p>
        </w:tc>
      </w:tr>
      <w:tr>
        <w:trPr>
          <w:trHeight w:val="16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0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Common stock, par value $0.001 per share, 45,345,638 shares issued and outstanding as of September 30,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2022, 49,595,638 shares issued and outstanding pro forma</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6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Paid-in capital in excess of par value</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618,028</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665,372</w:t>
            </w:r>
          </w:p>
        </w:tc>
        <w:tc>
          <w:tcPr>
            <w:tcW w:w="0" w:type="dxa"/>
            <w:vAlign w:val="bottom"/>
          </w:tcPr>
          <w:p>
            <w:pPr>
              <w:spacing w:after="0"/>
              <w:rPr>
                <w:sz w:val="1"/>
                <w:szCs w:val="1"/>
                <w:color w:val="auto"/>
              </w:rPr>
            </w:pPr>
          </w:p>
        </w:tc>
      </w:tr>
      <w:tr>
        <w:trPr>
          <w:trHeight w:val="166"/>
        </w:trPr>
        <w:tc>
          <w:tcPr>
            <w:tcW w:w="602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(90,981)</w:t>
            </w:r>
          </w:p>
        </w:tc>
        <w:tc>
          <w:tcPr>
            <w:tcW w:w="12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(90,981)</w:t>
            </w:r>
          </w:p>
        </w:tc>
        <w:tc>
          <w:tcPr>
            <w:tcW w:w="0" w:type="dxa"/>
            <w:vAlign w:val="bottom"/>
          </w:tcPr>
          <w:p>
            <w:pPr>
              <w:spacing w:after="0"/>
              <w:rPr>
                <w:sz w:val="1"/>
                <w:szCs w:val="1"/>
                <w:color w:val="auto"/>
              </w:rPr>
            </w:pPr>
          </w:p>
        </w:tc>
      </w:tr>
      <w:tr>
        <w:trPr>
          <w:trHeight w:val="16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527,092</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574,441</w:t>
            </w:r>
          </w:p>
        </w:tc>
        <w:tc>
          <w:tcPr>
            <w:tcW w:w="0" w:type="dxa"/>
            <w:vAlign w:val="bottom"/>
          </w:tcPr>
          <w:p>
            <w:pPr>
              <w:spacing w:after="0"/>
              <w:rPr>
                <w:sz w:val="1"/>
                <w:szCs w:val="1"/>
                <w:color w:val="auto"/>
              </w:rPr>
            </w:pPr>
          </w:p>
        </w:tc>
      </w:tr>
      <w:tr>
        <w:trPr>
          <w:trHeight w:val="183"/>
        </w:trPr>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11.62</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11.58</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600" w:right="759" w:hanging="327"/>
        <w:spacing w:after="0" w:line="277" w:lineRule="auto"/>
        <w:tabs>
          <w:tab w:leader="none" w:pos="6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up to 637,500 shares of our common stock issuable by us upon exercise of the underwriters’ option to purchase additional shares (assuming the net proceeds from this offering are invested in cash and cash equivalents).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9019"/>
          </w:cols>
          <w:pgMar w:left="1440" w:top="258"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805" cy="45720"/>
                    </a:xfrm>
                    <a:prstGeom prst="rect">
                      <a:avLst/>
                    </a:prstGeom>
                    <a:noFill/>
                  </pic:spPr>
                </pic:pic>
              </a:graphicData>
            </a:graphic>
          </wp:anchor>
        </w:drawing>
        <w:t>UNDERWRITING</w:t>
      </w:r>
    </w:p>
    <w:p>
      <w:pPr>
        <w:spacing w:after="0" w:line="173" w:lineRule="exact"/>
        <w:rPr>
          <w:sz w:val="20"/>
          <w:szCs w:val="20"/>
          <w:color w:val="auto"/>
        </w:rPr>
      </w:pPr>
    </w:p>
    <w:p>
      <w:pPr>
        <w:ind w:left="280" w:right="299"/>
        <w:spacing w:after="0" w:line="257" w:lineRule="auto"/>
        <w:rPr>
          <w:sz w:val="20"/>
          <w:szCs w:val="20"/>
          <w:color w:val="auto"/>
        </w:rPr>
      </w:pPr>
      <w:r>
        <w:rPr>
          <w:rFonts w:ascii="Times New Roman" w:cs="Times New Roman" w:eastAsia="Times New Roman" w:hAnsi="Times New Roman"/>
          <w:sz w:val="14"/>
          <w:szCs w:val="14"/>
          <w:color w:val="auto"/>
        </w:rPr>
        <w:t>We intend to offer the shares through the underwriters named in the table below. Morgan Stanley &amp; Co. LLC, UBS Securities LLC, Goldman Sachs &amp; Co. LLC, J.P. Morgan Securities LLC and Keefe, Bruyette &amp; Woods,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44" w:lineRule="exact"/>
        <w:rPr>
          <w:sz w:val="20"/>
          <w:szCs w:val="20"/>
          <w:color w:val="auto"/>
        </w:rPr>
      </w:pPr>
    </w:p>
    <w:tbl>
      <w:tblPr>
        <w:tblLayout w:type="fixed"/>
        <w:tblInd w:w="1640" w:type="dxa"/>
        <w:tblCellMar>
          <w:top w:w="0" w:type="dxa"/>
          <w:left w:w="0" w:type="dxa"/>
          <w:bottom w:w="0" w:type="dxa"/>
          <w:right w:w="0" w:type="dxa"/>
        </w:tblCellMar>
      </w:tblPr>
      <w:tr>
        <w:trPr>
          <w:trHeight w:val="126"/>
        </w:trPr>
        <w:tc>
          <w:tcPr>
            <w:tcW w:w="9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Underwriter Names</w:t>
            </w:r>
          </w:p>
        </w:tc>
        <w:tc>
          <w:tcPr>
            <w:tcW w:w="3980" w:type="dxa"/>
            <w:vAlign w:val="bottom"/>
            <w:vMerge w:val="restart"/>
          </w:tcPr>
          <w:p>
            <w:pPr>
              <w:spacing w:after="0"/>
              <w:rPr>
                <w:sz w:val="11"/>
                <w:szCs w:val="11"/>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43"/>
        </w:trPr>
        <w:tc>
          <w:tcPr>
            <w:tcW w:w="940" w:type="dxa"/>
            <w:vAlign w:val="bottom"/>
            <w:tcBorders>
              <w:bottom w:val="single" w:sz="8" w:color="auto"/>
            </w:tcBorders>
            <w:vMerge w:val="continue"/>
          </w:tcPr>
          <w:p>
            <w:pPr>
              <w:spacing w:after="0"/>
              <w:rPr>
                <w:sz w:val="12"/>
                <w:szCs w:val="12"/>
                <w:color w:val="auto"/>
              </w:rPr>
            </w:pPr>
          </w:p>
        </w:tc>
        <w:tc>
          <w:tcPr>
            <w:tcW w:w="3980" w:type="dxa"/>
            <w:vAlign w:val="bottom"/>
            <w:vMerge w:val="continue"/>
          </w:tcPr>
          <w:p>
            <w:pPr>
              <w:spacing w:after="0"/>
              <w:rPr>
                <w:sz w:val="12"/>
                <w:szCs w:val="12"/>
                <w:color w:val="auto"/>
              </w:rPr>
            </w:pPr>
          </w:p>
        </w:tc>
        <w:tc>
          <w:tcPr>
            <w:tcW w:w="820" w:type="dxa"/>
            <w:vAlign w:val="bottom"/>
            <w:gridSpan w:val="3"/>
          </w:tcPr>
          <w:p>
            <w:pPr>
              <w:jc w:val="center"/>
              <w:ind w:right="60"/>
              <w:spacing w:after="0" w:line="123" w:lineRule="exact"/>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47"/>
        </w:trPr>
        <w:tc>
          <w:tcPr>
            <w:tcW w:w="492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Morgan Stanley &amp; Co. LLC</w:t>
            </w:r>
          </w:p>
        </w:tc>
        <w:tc>
          <w:tcPr>
            <w:tcW w:w="7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2,040,000</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UBS Securities LLC</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637,500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Goldman Sachs &amp; Co. LLC</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Keefe, Bruyette &amp; Woods, Inc.</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JMP Securities LLC</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Oppenheimer &amp; Co. Inc.</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Maxim Group LLC</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Ladenburg Thalmann &amp; Co. Inc.</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42,500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9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4,250,000</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80" w:right="519"/>
        <w:spacing w:after="0" w:line="254" w:lineRule="auto"/>
        <w:rPr>
          <w:sz w:val="20"/>
          <w:szCs w:val="20"/>
          <w:color w:val="auto"/>
        </w:rPr>
      </w:pPr>
      <w:r>
        <w:rPr>
          <w:rFonts w:ascii="Times New Roman" w:cs="Times New Roman" w:eastAsia="Times New Roman" w:hAnsi="Times New Roman"/>
          <w:sz w:val="14"/>
          <w:szCs w:val="14"/>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option to purchase additional shares described below, if they purchase any of the shares. The underwriters reserve the right to withdraw, cancel or modify offers to the public and to reject orders in whole or in part.</w:t>
      </w:r>
    </w:p>
    <w:p>
      <w:pPr>
        <w:spacing w:after="0" w:line="144" w:lineRule="exact"/>
        <w:rPr>
          <w:sz w:val="20"/>
          <w:szCs w:val="20"/>
          <w:color w:val="auto"/>
        </w:rPr>
      </w:pPr>
    </w:p>
    <w:p>
      <w:pPr>
        <w:ind w:left="280" w:right="339"/>
        <w:spacing w:after="0" w:line="262" w:lineRule="auto"/>
        <w:rPr>
          <w:sz w:val="20"/>
          <w:szCs w:val="20"/>
          <w:color w:val="auto"/>
        </w:rPr>
      </w:pPr>
      <w:r>
        <w:rPr>
          <w:rFonts w:ascii="Times New Roman" w:cs="Times New Roman" w:eastAsia="Times New Roman" w:hAnsi="Times New Roman"/>
          <w:sz w:val="14"/>
          <w:szCs w:val="14"/>
          <w:color w:val="auto"/>
        </w:rPr>
        <w:t>We have agreed to indemnify the several underwriters against certain liabilities, including liabilities under the Securities Act and breaches of representations and warranties set forth in the underwriting agreement, or to contribute to payments the underwriters may be required to make in respect of those liabilities.</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Commissions and Discounts</w:t>
      </w:r>
    </w:p>
    <w:p>
      <w:pPr>
        <w:spacing w:after="0" w:line="90" w:lineRule="exact"/>
        <w:rPr>
          <w:sz w:val="20"/>
          <w:szCs w:val="20"/>
          <w:color w:val="auto"/>
        </w:rPr>
      </w:pPr>
    </w:p>
    <w:p>
      <w:pPr>
        <w:ind w:left="280" w:right="399"/>
        <w:spacing w:after="0" w:line="257" w:lineRule="auto"/>
        <w:rPr>
          <w:sz w:val="20"/>
          <w:szCs w:val="20"/>
          <w:color w:val="auto"/>
        </w:rPr>
      </w:pPr>
      <w:r>
        <w:rPr>
          <w:rFonts w:ascii="Times New Roman" w:cs="Times New Roman" w:eastAsia="Times New Roman" w:hAnsi="Times New Roman"/>
          <w:sz w:val="14"/>
          <w:szCs w:val="14"/>
          <w:color w:val="auto"/>
        </w:rPr>
        <w:t>The underwriters have advised us that they propose initially to offer the shares to the public at the public offering price on the cover page of this prospectus supplement and to certain other Financial Industry Regulatory Authority (FINRA) members at that price less a concession not in excess of $0.23 per share. After the public offering, the public offering price, concession and discount may be changed. No such change shall change the amount of proceeds to be received by us as set forth on the cover page of this prospectus supplement.</w:t>
      </w:r>
    </w:p>
    <w:p>
      <w:pPr>
        <w:spacing w:after="0" w:line="140" w:lineRule="exact"/>
        <w:rPr>
          <w:sz w:val="20"/>
          <w:szCs w:val="20"/>
          <w:color w:val="auto"/>
        </w:rPr>
      </w:pPr>
    </w:p>
    <w:p>
      <w:pPr>
        <w:ind w:left="280" w:right="479"/>
        <w:spacing w:after="0" w:line="277" w:lineRule="auto"/>
        <w:rPr>
          <w:sz w:val="20"/>
          <w:szCs w:val="20"/>
          <w:color w:val="auto"/>
        </w:rPr>
      </w:pPr>
      <w:r>
        <w:rPr>
          <w:rFonts w:ascii="Times New Roman" w:cs="Times New Roman" w:eastAsia="Times New Roman" w:hAnsi="Times New Roman"/>
          <w:sz w:val="14"/>
          <w:szCs w:val="14"/>
          <w:color w:val="auto"/>
        </w:rPr>
        <w:t>The following table shows the per share and total underwriting discounts and commissions we will pay to the underwriters assuming both no exercise and full exercise of the underwriters’ option to purchase up to an additional 637,500 shares.</w:t>
      </w:r>
    </w:p>
    <w:p>
      <w:pPr>
        <w:spacing w:after="0" w:line="142" w:lineRule="exact"/>
        <w:rPr>
          <w:sz w:val="20"/>
          <w:szCs w:val="20"/>
          <w:color w:val="auto"/>
        </w:rPr>
      </w:pPr>
    </w:p>
    <w:tbl>
      <w:tblPr>
        <w:tblLayout w:type="fixed"/>
        <w:tblInd w:w="960" w:type="dxa"/>
        <w:tblCellMar>
          <w:top w:w="0" w:type="dxa"/>
          <w:left w:w="0" w:type="dxa"/>
          <w:bottom w:w="0" w:type="dxa"/>
          <w:right w:w="0" w:type="dxa"/>
        </w:tblCellMar>
      </w:tblPr>
      <w:tr>
        <w:trPr>
          <w:trHeight w:val="133"/>
        </w:trPr>
        <w:tc>
          <w:tcPr>
            <w:tcW w:w="4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16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Without Option</w:t>
            </w:r>
          </w:p>
        </w:tc>
        <w:tc>
          <w:tcPr>
            <w:tcW w:w="180" w:type="dxa"/>
            <w:vAlign w:val="bottom"/>
          </w:tcPr>
          <w:p>
            <w:pPr>
              <w:spacing w:after="0"/>
              <w:rPr>
                <w:sz w:val="11"/>
                <w:szCs w:val="11"/>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With Option</w:t>
            </w:r>
          </w:p>
        </w:tc>
      </w:tr>
      <w:tr>
        <w:trPr>
          <w:trHeight w:val="146"/>
        </w:trPr>
        <w:tc>
          <w:tcPr>
            <w:tcW w:w="450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Public offering price</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4"/>
              </w:rPr>
              <w:t>11.1000</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47,175,000</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54,251,250</w:t>
            </w:r>
          </w:p>
        </w:tc>
        <w:tc>
          <w:tcPr>
            <w:tcW w:w="60" w:type="dxa"/>
            <w:vAlign w:val="bottom"/>
            <w:tcBorders>
              <w:top w:val="single" w:sz="8" w:color="CCEEFF"/>
            </w:tcBorders>
            <w:shd w:val="clear" w:color="auto" w:fill="CCEEFF"/>
          </w:tcPr>
          <w:p>
            <w:pPr>
              <w:spacing w:after="0"/>
              <w:rPr>
                <w:sz w:val="12"/>
                <w:szCs w:val="12"/>
                <w:color w:val="auto"/>
              </w:rPr>
            </w:pPr>
          </w:p>
        </w:tc>
      </w:tr>
      <w:tr>
        <w:trPr>
          <w:trHeight w:val="156"/>
        </w:trPr>
        <w:tc>
          <w:tcPr>
            <w:tcW w:w="4500" w:type="dxa"/>
            <w:vAlign w:val="bottom"/>
          </w:tcPr>
          <w:p>
            <w:pPr>
              <w:spacing w:after="0" w:line="155" w:lineRule="exact"/>
              <w:rPr>
                <w:sz w:val="20"/>
                <w:szCs w:val="20"/>
                <w:color w:val="auto"/>
              </w:rPr>
            </w:pPr>
            <w:r>
              <w:rPr>
                <w:rFonts w:ascii="Times New Roman" w:cs="Times New Roman" w:eastAsia="Times New Roman" w:hAnsi="Times New Roman"/>
                <w:sz w:val="13"/>
                <w:szCs w:val="13"/>
                <w:color w:val="auto"/>
              </w:rPr>
              <w:t xml:space="preserve">Underwriting discounts and commissions (sales load) </w:t>
            </w:r>
            <w:r>
              <w:rPr>
                <w:rFonts w:ascii="Times New Roman" w:cs="Times New Roman" w:eastAsia="Times New Roman" w:hAnsi="Times New Roman"/>
                <w:sz w:val="16"/>
                <w:szCs w:val="16"/>
                <w:color w:val="auto"/>
                <w:vertAlign w:val="superscript"/>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5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3"/>
                <w:szCs w:val="13"/>
                <w:color w:val="auto"/>
              </w:rPr>
              <w:t xml:space="preserve">Additional supplemental payment to the underwriters by the Investment Adviser </w:t>
            </w:r>
            <w:r>
              <w:rPr>
                <w:rFonts w:ascii="Times New Roman" w:cs="Times New Roman" w:eastAsia="Times New Roman" w:hAnsi="Times New Roman"/>
                <w:sz w:val="16"/>
                <w:szCs w:val="16"/>
                <w:color w:val="auto"/>
                <w:vertAlign w:val="superscript"/>
              </w:rPr>
              <w:t>(2)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0.0998</w:t>
            </w:r>
          </w:p>
        </w:tc>
        <w:tc>
          <w:tcPr>
            <w:tcW w:w="3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424,150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487,773</w:t>
            </w:r>
          </w:p>
        </w:tc>
        <w:tc>
          <w:tcPr>
            <w:tcW w:w="60" w:type="dxa"/>
            <w:vAlign w:val="bottom"/>
            <w:shd w:val="clear" w:color="auto" w:fill="CCEEFF"/>
          </w:tcPr>
          <w:p>
            <w:pPr>
              <w:spacing w:after="0"/>
              <w:rPr>
                <w:sz w:val="13"/>
                <w:szCs w:val="13"/>
                <w:color w:val="auto"/>
              </w:rPr>
            </w:pPr>
          </w:p>
        </w:tc>
      </w:tr>
      <w:tr>
        <w:trPr>
          <w:trHeight w:val="139"/>
        </w:trPr>
        <w:tc>
          <w:tcPr>
            <w:tcW w:w="450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Proceeds to PennantPark Floating Rate Capital Ltd. (before offering expenses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11.1998</w:t>
            </w:r>
          </w:p>
        </w:tc>
        <w:tc>
          <w:tcPr>
            <w:tcW w:w="300" w:type="dxa"/>
            <w:vAlign w:val="bottom"/>
            <w:gridSpan w:val="2"/>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47,599,150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54,739,023</w:t>
            </w:r>
          </w:p>
        </w:tc>
        <w:tc>
          <w:tcPr>
            <w:tcW w:w="60" w:type="dxa"/>
            <w:vAlign w:val="bottom"/>
          </w:tcPr>
          <w:p>
            <w:pPr>
              <w:spacing w:after="0"/>
              <w:rPr>
                <w:sz w:val="14"/>
                <w:szCs w:val="14"/>
                <w:color w:val="auto"/>
              </w:rPr>
            </w:pPr>
          </w:p>
        </w:tc>
      </w:tr>
    </w:tbl>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9019"/>
          </w:cols>
          <w:pgMar w:left="1440" w:top="258" w:right="1440" w:bottom="1440" w:gutter="0" w:footer="0" w:header="0"/>
        </w:sectPr>
      </w:pPr>
    </w:p>
    <w:bookmarkStart w:id="20" w:name="page21"/>
    <w:bookmarkEnd w:id="20"/>
    <w:p>
      <w:pPr>
        <w:ind w:left="600" w:right="319" w:hanging="327"/>
        <w:spacing w:after="0" w:line="253" w:lineRule="auto"/>
        <w:tabs>
          <w:tab w:leader="none" w:pos="6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805" cy="45720"/>
                    </a:xfrm>
                    <a:prstGeom prst="rect">
                      <a:avLst/>
                    </a:prstGeom>
                    <a:noFill/>
                  </pic:spPr>
                </pic:pic>
              </a:graphicData>
            </a:graphic>
          </wp:anchor>
        </w:drawing>
        <w:t>Our Investment Adviser has agreed to pay all of the underwriting commissions to the underwriters of approximately $1.4 million, or $0.3330 per share (or approximately $1.6 million, or $0.3330 per share if the option to purchase additional shares is fully exercised) in connection with this offering, which amount is not reflected in the above table. All other expenses of the offering will be borne by us. We are not obligated to repay the sales load paid by our Investment Adviser.</w:t>
      </w:r>
    </w:p>
    <w:p>
      <w:pPr>
        <w:ind w:left="600" w:right="339" w:hanging="327"/>
        <w:spacing w:after="0" w:line="249" w:lineRule="auto"/>
        <w:tabs>
          <w:tab w:leader="none" w:pos="6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Investment Adviser has agreed to pay the underwriters an additional supplemental payment of $424,150, or $0.0998 per share (or $487,773, or $0.0998 per share if the option to purchase additional shares is fully exercised), which reflects the difference between the offering price and the proceeds per share received by us in this offering. We are not obligated to repay the additional supplemental payment paid by our Investment Adviser.</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Option to Purchase Additional Shares</w:t>
      </w:r>
    </w:p>
    <w:p>
      <w:pPr>
        <w:spacing w:after="0" w:line="90" w:lineRule="exact"/>
        <w:rPr>
          <w:sz w:val="20"/>
          <w:szCs w:val="20"/>
          <w:color w:val="auto"/>
        </w:rPr>
      </w:pPr>
    </w:p>
    <w:p>
      <w:pPr>
        <w:ind w:left="280" w:right="359"/>
        <w:spacing w:after="0" w:line="257" w:lineRule="auto"/>
        <w:rPr>
          <w:sz w:val="20"/>
          <w:szCs w:val="20"/>
          <w:color w:val="auto"/>
        </w:rPr>
      </w:pPr>
      <w:r>
        <w:rPr>
          <w:rFonts w:ascii="Times New Roman" w:cs="Times New Roman" w:eastAsia="Times New Roman" w:hAnsi="Times New Roman"/>
          <w:sz w:val="14"/>
          <w:szCs w:val="14"/>
          <w:color w:val="auto"/>
        </w:rPr>
        <w:t>We have granted an option to the underwriters to purchase up to 637,500 additional shares at the public offering price less the underwriting discount. The underwriters may exercise this option for 30 days from the date of this prospectus supplement. If the underwriters exercise this option, each will be obligated, subject to conditions contained in the underwriting agreement, to purchase the additional shares approximately proportionate to that underwriter’s initial purchase commitment.</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No Sales of Similar Securities</w:t>
      </w:r>
    </w:p>
    <w:p>
      <w:pPr>
        <w:spacing w:after="0" w:line="90" w:lineRule="exact"/>
        <w:rPr>
          <w:sz w:val="20"/>
          <w:szCs w:val="20"/>
          <w:color w:val="auto"/>
        </w:rPr>
      </w:pPr>
    </w:p>
    <w:p>
      <w:pPr>
        <w:ind w:left="280" w:right="519"/>
        <w:spacing w:after="0" w:line="277" w:lineRule="auto"/>
        <w:rPr>
          <w:sz w:val="20"/>
          <w:szCs w:val="20"/>
          <w:color w:val="auto"/>
        </w:rPr>
      </w:pPr>
      <w:r>
        <w:rPr>
          <w:rFonts w:ascii="Times New Roman" w:cs="Times New Roman" w:eastAsia="Times New Roman" w:hAnsi="Times New Roman"/>
          <w:sz w:val="14"/>
          <w:szCs w:val="14"/>
          <w:color w:val="auto"/>
        </w:rPr>
        <w:t>We have agreed, with exceptions, not to sell or transfer any shares for 60 days after the date of this prospectus supplement without first obtaining the written consent of Morgan Stanley &amp; Co. LLC.</w:t>
      </w:r>
    </w:p>
    <w:p>
      <w:pPr>
        <w:spacing w:after="0" w:line="126" w:lineRule="exact"/>
        <w:rPr>
          <w:sz w:val="20"/>
          <w:szCs w:val="20"/>
          <w:color w:val="auto"/>
        </w:rPr>
      </w:pPr>
    </w:p>
    <w:p>
      <w:pPr>
        <w:ind w:left="280" w:right="439"/>
        <w:spacing w:after="0" w:line="262" w:lineRule="auto"/>
        <w:rPr>
          <w:sz w:val="20"/>
          <w:szCs w:val="20"/>
          <w:color w:val="auto"/>
        </w:rPr>
      </w:pPr>
      <w:r>
        <w:rPr>
          <w:rFonts w:ascii="Times New Roman" w:cs="Times New Roman" w:eastAsia="Times New Roman" w:hAnsi="Times New Roman"/>
          <w:sz w:val="14"/>
          <w:szCs w:val="14"/>
          <w:color w:val="auto"/>
        </w:rPr>
        <w:t>Our executive officers and directors, PennantPark Investment Advisers, and the Administrator have agreed, with exceptions, not to sell or transfer any common stock for 60 days after the date of this prospectus supplement without first obtaining the written consent of Morgan Stanley &amp; Co. LLC. Specifically, we and these other individuals and entities have agreed not to directly or indirectly:</w:t>
      </w:r>
    </w:p>
    <w:p>
      <w:pPr>
        <w:spacing w:after="0" w:line="64" w:lineRule="exact"/>
        <w:rPr>
          <w:sz w:val="20"/>
          <w:szCs w:val="20"/>
          <w:color w:val="auto"/>
        </w:rPr>
      </w:pPr>
    </w:p>
    <w:p>
      <w:pPr>
        <w:ind w:left="1020" w:hanging="33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pledge, sell or contract to sell any common stock;</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any option or contract to purchase any common stock;</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any option or contract to sell any common stock;</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any option, right or warrant for the sale of any common stock;</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lend or otherwise dispose of or transfer any common stock;</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request or demand that we file a registration statement related to the common stock; or</w:t>
      </w:r>
    </w:p>
    <w:p>
      <w:pPr>
        <w:spacing w:after="0" w:line="98" w:lineRule="exact"/>
        <w:rPr>
          <w:rFonts w:ascii="Times New Roman" w:cs="Times New Roman" w:eastAsia="Times New Roman" w:hAnsi="Times New Roman"/>
          <w:sz w:val="14"/>
          <w:szCs w:val="14"/>
          <w:color w:val="auto"/>
        </w:rPr>
      </w:pPr>
    </w:p>
    <w:p>
      <w:pPr>
        <w:ind w:left="1020" w:right="459" w:hanging="332"/>
        <w:spacing w:after="0" w:line="277" w:lineRule="auto"/>
        <w:tabs>
          <w:tab w:leader="none" w:pos="10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swap or other agreement that transfers, in whole or in part, the economic consequence of ownership of any common stock whether any such swap or transaction is to be settled by delivery of common stock or other securities, in cash or otherwise.</w:t>
      </w:r>
    </w:p>
    <w:p>
      <w:pPr>
        <w:spacing w:after="0" w:line="126" w:lineRule="exact"/>
        <w:rPr>
          <w:sz w:val="20"/>
          <w:szCs w:val="20"/>
          <w:color w:val="auto"/>
        </w:rPr>
      </w:pPr>
    </w:p>
    <w:p>
      <w:pPr>
        <w:jc w:val="both"/>
        <w:ind w:left="280" w:right="339"/>
        <w:spacing w:after="0" w:line="262" w:lineRule="auto"/>
        <w:rPr>
          <w:sz w:val="20"/>
          <w:szCs w:val="20"/>
          <w:color w:val="auto"/>
        </w:rPr>
      </w:pPr>
      <w:r>
        <w:rPr>
          <w:rFonts w:ascii="Times New Roman" w:cs="Times New Roman" w:eastAsia="Times New Roman" w:hAnsi="Times New Roman"/>
          <w:sz w:val="14"/>
          <w:szCs w:val="14"/>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New York Stock Exchange and Tel Aviv Stock Exchange</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Our common stock is listed on the NYSE and the TASE under the symbol “PFLT.”</w:t>
      </w:r>
    </w:p>
    <w:p>
      <w:pPr>
        <w:spacing w:after="0" w:line="2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Short Positions</w:t>
      </w:r>
    </w:p>
    <w:p>
      <w:pPr>
        <w:spacing w:after="0" w:line="90" w:lineRule="exact"/>
        <w:rPr>
          <w:sz w:val="20"/>
          <w:szCs w:val="20"/>
          <w:color w:val="auto"/>
        </w:rPr>
      </w:pPr>
    </w:p>
    <w:p>
      <w:pPr>
        <w:ind w:left="280" w:right="559"/>
        <w:spacing w:after="0" w:line="277"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our common stock in the open market. These transactions may include short sales and purchases on the open market to cover positions created by short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9019"/>
          </w:cols>
          <w:pgMar w:left="1440" w:top="260" w:right="1440" w:bottom="1440" w:gutter="0" w:footer="0" w:header="0"/>
        </w:sectPr>
      </w:pPr>
    </w:p>
    <w:bookmarkStart w:id="21" w:name="page22"/>
    <w:bookmarkEnd w:id="21"/>
    <w:p>
      <w:pPr>
        <w:ind w:left="280" w:right="31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sales.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the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w:t>
      </w:r>
    </w:p>
    <w:p>
      <w:pPr>
        <w:spacing w:after="0" w:line="146" w:lineRule="exact"/>
        <w:rPr>
          <w:sz w:val="20"/>
          <w:szCs w:val="20"/>
          <w:color w:val="auto"/>
        </w:rPr>
      </w:pPr>
    </w:p>
    <w:p>
      <w:pPr>
        <w:ind w:left="280" w:right="379"/>
        <w:spacing w:after="0" w:line="257" w:lineRule="auto"/>
        <w:rPr>
          <w:sz w:val="20"/>
          <w:szCs w:val="20"/>
          <w:color w:val="auto"/>
        </w:rPr>
      </w:pPr>
      <w:r>
        <w:rPr>
          <w:rFonts w:ascii="Times New Roman" w:cs="Times New Roman" w:eastAsia="Times New Roman" w:hAnsi="Times New Roman"/>
          <w:sz w:val="14"/>
          <w:szCs w:val="14"/>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NYSE, in the over-the-counter market or otherwise.</w:t>
      </w:r>
    </w:p>
    <w:p>
      <w:pPr>
        <w:spacing w:after="0" w:line="140" w:lineRule="exact"/>
        <w:rPr>
          <w:sz w:val="20"/>
          <w:szCs w:val="20"/>
          <w:color w:val="auto"/>
        </w:rPr>
      </w:pPr>
    </w:p>
    <w:p>
      <w:pPr>
        <w:ind w:left="280" w:right="699"/>
        <w:spacing w:after="0" w:line="291" w:lineRule="auto"/>
        <w:rPr>
          <w:sz w:val="20"/>
          <w:szCs w:val="20"/>
          <w:color w:val="auto"/>
        </w:rPr>
      </w:pPr>
      <w:r>
        <w:rPr>
          <w:rFonts w:ascii="Times New Roman" w:cs="Times New Roman" w:eastAsia="Times New Roman" w:hAnsi="Times New Roman"/>
          <w:sz w:val="13"/>
          <w:szCs w:val="13"/>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underwriters will engage in these transactions or that these transactions, once commenced, will not be discontinued without notice.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Passive Market Making</w:t>
      </w:r>
    </w:p>
    <w:p>
      <w:pPr>
        <w:spacing w:after="0" w:line="90" w:lineRule="exact"/>
        <w:rPr>
          <w:sz w:val="20"/>
          <w:szCs w:val="20"/>
          <w:color w:val="auto"/>
        </w:rPr>
      </w:pPr>
    </w:p>
    <w:p>
      <w:pPr>
        <w:jc w:val="both"/>
        <w:ind w:left="280" w:right="319"/>
        <w:spacing w:after="0" w:line="274" w:lineRule="auto"/>
        <w:rPr>
          <w:sz w:val="20"/>
          <w:szCs w:val="20"/>
          <w:color w:val="auto"/>
        </w:rPr>
      </w:pPr>
      <w:r>
        <w:rPr>
          <w:rFonts w:ascii="Times New Roman" w:cs="Times New Roman" w:eastAsia="Times New Roman" w:hAnsi="Times New Roman"/>
          <w:sz w:val="13"/>
          <w:szCs w:val="13"/>
          <w:color w:val="auto"/>
        </w:rPr>
        <w:t>In connection with this offering, underwriters may engage in passive market making transactions in the common stock on the NYSE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w:t>
      </w:r>
    </w:p>
    <w:p>
      <w:pPr>
        <w:spacing w:after="0" w:line="1" w:lineRule="exact"/>
        <w:rPr>
          <w:sz w:val="20"/>
          <w:szCs w:val="20"/>
          <w:color w:val="auto"/>
        </w:rPr>
      </w:pPr>
    </w:p>
    <w:p>
      <w:pPr>
        <w:ind w:left="280" w:right="359"/>
        <w:spacing w:after="0" w:line="249" w:lineRule="auto"/>
        <w:rPr>
          <w:sz w:val="20"/>
          <w:szCs w:val="20"/>
          <w:color w:val="auto"/>
        </w:rPr>
      </w:pPr>
      <w:r>
        <w:rPr>
          <w:rFonts w:ascii="Times New Roman" w:cs="Times New Roman" w:eastAsia="Times New Roman" w:hAnsi="Times New Roman"/>
          <w:sz w:val="14"/>
          <w:szCs w:val="14"/>
          <w:color w:val="auto"/>
        </w:rPr>
        <w:t>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Electronic Offer, Sale and Distribution of Shares</w:t>
      </w:r>
    </w:p>
    <w:p>
      <w:pPr>
        <w:spacing w:after="0" w:line="90" w:lineRule="exact"/>
        <w:rPr>
          <w:sz w:val="20"/>
          <w:szCs w:val="20"/>
          <w:color w:val="auto"/>
        </w:rPr>
      </w:pPr>
    </w:p>
    <w:p>
      <w:pPr>
        <w:ind w:left="280" w:right="419"/>
        <w:spacing w:after="0" w:line="262" w:lineRule="auto"/>
        <w:rPr>
          <w:sz w:val="20"/>
          <w:szCs w:val="20"/>
          <w:color w:val="auto"/>
        </w:rPr>
      </w:pPr>
      <w:r>
        <w:rPr>
          <w:rFonts w:ascii="Times New Roman" w:cs="Times New Roman" w:eastAsia="Times New Roman" w:hAnsi="Times New Roman"/>
          <w:sz w:val="14"/>
          <w:szCs w:val="14"/>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0" w:lineRule="exact"/>
        <w:rPr>
          <w:sz w:val="20"/>
          <w:szCs w:val="20"/>
          <w:color w:val="auto"/>
        </w:rPr>
      </w:pPr>
    </w:p>
    <w:p>
      <w:pPr>
        <w:ind w:left="280" w:right="419"/>
        <w:spacing w:after="0" w:line="252"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and brokerage and other financing and non-financial activities and services. The underwriters and their respective affiliates have provided in the past to the Company and may provide from time to time in the future in the ordinary course of their business certain commercial banking, financial advisory, investment banking and other services to us for which they have received or will be entitled to receive separate fees and expenses. In particular, the underwriters or their affiliates may execute transactions with or on behalf of the Company. In addition, the underwriters or their affiliates may act as arrangers, underwriters or placement agents for companies whose securities are sold to us.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9019"/>
          </w:cols>
          <w:pgMar w:left="1440" w:top="260" w:right="1440" w:bottom="1440" w:gutter="0" w:footer="0" w:header="0"/>
        </w:sectPr>
      </w:pPr>
    </w:p>
    <w:bookmarkStart w:id="22" w:name="page23"/>
    <w:bookmarkEnd w:id="22"/>
    <w:p>
      <w:pPr>
        <w:jc w:val="both"/>
        <w:ind w:left="280" w:right="29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us or any of the portfolio companies.</w:t>
      </w:r>
    </w:p>
    <w:p>
      <w:pPr>
        <w:spacing w:after="0" w:line="136" w:lineRule="exact"/>
        <w:rPr>
          <w:sz w:val="20"/>
          <w:szCs w:val="20"/>
          <w:color w:val="auto"/>
        </w:rPr>
      </w:pPr>
    </w:p>
    <w:p>
      <w:pPr>
        <w:ind w:left="280" w:right="359"/>
        <w:spacing w:after="0" w:line="291" w:lineRule="auto"/>
        <w:rPr>
          <w:sz w:val="20"/>
          <w:szCs w:val="20"/>
          <w:color w:val="auto"/>
        </w:rPr>
      </w:pPr>
      <w:r>
        <w:rPr>
          <w:rFonts w:ascii="Times New Roman" w:cs="Times New Roman" w:eastAsia="Times New Roman" w:hAnsi="Times New Roman"/>
          <w:sz w:val="13"/>
          <w:szCs w:val="13"/>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20" w:lineRule="exact"/>
        <w:rPr>
          <w:sz w:val="20"/>
          <w:szCs w:val="20"/>
          <w:color w:val="auto"/>
        </w:rPr>
      </w:pPr>
    </w:p>
    <w:p>
      <w:pPr>
        <w:ind w:left="280" w:right="399"/>
        <w:spacing w:after="0" w:line="277" w:lineRule="auto"/>
        <w:rPr>
          <w:sz w:val="20"/>
          <w:szCs w:val="20"/>
          <w:color w:val="auto"/>
        </w:rPr>
      </w:pPr>
      <w:r>
        <w:rPr>
          <w:rFonts w:ascii="Times New Roman" w:cs="Times New Roman" w:eastAsia="Times New Roman" w:hAnsi="Times New Roman"/>
          <w:sz w:val="14"/>
          <w:szCs w:val="14"/>
          <w:color w:val="auto"/>
        </w:rPr>
        <w:t>After the date of this prospectus supplement, the underwriters and their affiliates may from time to time obtain information regarding specific portfolio companies or us that may not be available to the general public.</w:t>
      </w:r>
    </w:p>
    <w:p>
      <w:pPr>
        <w:spacing w:after="0" w:line="126" w:lineRule="exact"/>
        <w:rPr>
          <w:sz w:val="20"/>
          <w:szCs w:val="20"/>
          <w:color w:val="auto"/>
        </w:rPr>
      </w:pPr>
    </w:p>
    <w:p>
      <w:pPr>
        <w:ind w:left="280" w:right="299"/>
        <w:spacing w:after="0" w:line="253" w:lineRule="auto"/>
        <w:rPr>
          <w:sz w:val="20"/>
          <w:szCs w:val="20"/>
          <w:color w:val="auto"/>
        </w:rPr>
      </w:pPr>
      <w:r>
        <w:rPr>
          <w:rFonts w:ascii="Times New Roman" w:cs="Times New Roman" w:eastAsia="Times New Roman" w:hAnsi="Times New Roman"/>
          <w:sz w:val="14"/>
          <w:szCs w:val="14"/>
          <w:color w:val="auto"/>
        </w:rPr>
        <w:t>Any such information is obtained by the underwriters and their affiliates in the ordinary course of their business and not in connection with the offering of the common stock. In addition, after the offering period for the sale of our common stock, the underwriters or their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43" w:lineRule="exact"/>
        <w:rPr>
          <w:sz w:val="20"/>
          <w:szCs w:val="20"/>
          <w:color w:val="auto"/>
        </w:rPr>
      </w:pPr>
    </w:p>
    <w:p>
      <w:pPr>
        <w:ind w:left="280" w:right="319"/>
        <w:spacing w:after="0" w:line="279" w:lineRule="auto"/>
        <w:rPr>
          <w:sz w:val="20"/>
          <w:szCs w:val="20"/>
          <w:color w:val="auto"/>
        </w:rPr>
      </w:pPr>
      <w:r>
        <w:rPr>
          <w:rFonts w:ascii="Times New Roman" w:cs="Times New Roman" w:eastAsia="Times New Roman" w:hAnsi="Times New Roman"/>
          <w:sz w:val="13"/>
          <w:szCs w:val="13"/>
          <w:color w:val="auto"/>
        </w:rPr>
        <w:t>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7" w:lineRule="exact"/>
        <w:rPr>
          <w:sz w:val="20"/>
          <w:szCs w:val="20"/>
          <w:color w:val="auto"/>
        </w:rPr>
      </w:pPr>
    </w:p>
    <w:p>
      <w:pPr>
        <w:ind w:left="280" w:right="519"/>
        <w:spacing w:after="0" w:line="262" w:lineRule="auto"/>
        <w:rPr>
          <w:sz w:val="20"/>
          <w:szCs w:val="20"/>
          <w:color w:val="auto"/>
        </w:rPr>
      </w:pPr>
      <w:r>
        <w:rPr>
          <w:rFonts w:ascii="Times New Roman" w:cs="Times New Roman" w:eastAsia="Times New Roman" w:hAnsi="Times New Roman"/>
          <w:sz w:val="14"/>
          <w:szCs w:val="14"/>
          <w:color w:val="auto"/>
        </w:rPr>
        <w:t>Affiliates of certain of the underwriters serve as agents and/or lenders under our Credit Facility and may serve as lenders under any future credit facilities. Certain of the underwriters and their affiliates were underwriters in connection with our initial public offering and our subsequent common stock offerings and debt offerings for which they received customary fees.</w:t>
      </w:r>
    </w:p>
    <w:p>
      <w:pPr>
        <w:spacing w:after="0" w:line="136" w:lineRule="exact"/>
        <w:rPr>
          <w:sz w:val="20"/>
          <w:szCs w:val="20"/>
          <w:color w:val="auto"/>
        </w:rPr>
      </w:pPr>
    </w:p>
    <w:p>
      <w:pPr>
        <w:ind w:left="280" w:right="399"/>
        <w:spacing w:after="0" w:line="277" w:lineRule="auto"/>
        <w:rPr>
          <w:sz w:val="20"/>
          <w:szCs w:val="20"/>
          <w:color w:val="auto"/>
        </w:rPr>
      </w:pPr>
      <w:r>
        <w:rPr>
          <w:rFonts w:ascii="Times New Roman" w:cs="Times New Roman" w:eastAsia="Times New Roman" w:hAnsi="Times New Roman"/>
          <w:sz w:val="14"/>
          <w:szCs w:val="14"/>
          <w:color w:val="auto"/>
        </w:rPr>
        <w:t>Proceeds of this offering may be used to repay indebtedness under the Credit Facility. Accordingly, affiliates of certain of the underwriters may receive more than 5% of the proceeds of the offering to the extent such proceeds are used to repay amounts outstanding under our Credit Facility.</w:t>
      </w:r>
    </w:p>
    <w:p>
      <w:pPr>
        <w:spacing w:after="0" w:line="126" w:lineRule="exact"/>
        <w:rPr>
          <w:sz w:val="20"/>
          <w:szCs w:val="20"/>
          <w:color w:val="auto"/>
        </w:rPr>
      </w:pPr>
    </w:p>
    <w:p>
      <w:pPr>
        <w:ind w:left="280" w:right="339"/>
        <w:spacing w:after="0" w:line="262" w:lineRule="auto"/>
        <w:rPr>
          <w:sz w:val="20"/>
          <w:szCs w:val="20"/>
          <w:color w:val="auto"/>
        </w:rPr>
      </w:pPr>
      <w:r>
        <w:rPr>
          <w:rFonts w:ascii="Times New Roman" w:cs="Times New Roman" w:eastAsia="Times New Roman" w:hAnsi="Times New Roman"/>
          <w:sz w:val="14"/>
          <w:szCs w:val="14"/>
          <w:color w:val="auto"/>
        </w:rPr>
        <w:t>The principal business addresses of the underwriters are: Morgan Stanley &amp; Co. LLC, 1585 Broadway, New York, NY 10036; UBS Securities LLC, 1285 Avenue of the Americas, New York, NY 10019; Goldman Sachs &amp; Co. LLC, 200 West Street, New York, NY 10282; J.P. Morgan Securities LLC, 383 Madison Avenue, New York, NY 10179; and Keefe, Bruyette &amp; Woods, Inc., 787 Seventh Avenue, New York, NY 10019.</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Australia</w:t>
      </w:r>
    </w:p>
    <w:p>
      <w:pPr>
        <w:spacing w:after="0" w:line="90" w:lineRule="exact"/>
        <w:rPr>
          <w:sz w:val="20"/>
          <w:szCs w:val="20"/>
          <w:color w:val="auto"/>
        </w:rPr>
      </w:pPr>
    </w:p>
    <w:p>
      <w:pPr>
        <w:ind w:left="280" w:right="359"/>
        <w:spacing w:after="0" w:line="257" w:lineRule="auto"/>
        <w:rPr>
          <w:sz w:val="20"/>
          <w:szCs w:val="20"/>
          <w:color w:val="auto"/>
        </w:rPr>
      </w:pPr>
      <w:r>
        <w:rPr>
          <w:rFonts w:ascii="Times New Roman" w:cs="Times New Roman" w:eastAsia="Times New Roman" w:hAnsi="Times New Roman"/>
          <w:sz w:val="14"/>
          <w:szCs w:val="14"/>
          <w:color w:val="auto"/>
        </w:rPr>
        <w:t>No placement document, prospectus, product disclosure statement, or other disclosure document has been lodged with the Australian Securities and Investments Commission (ASIC)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40" w:lineRule="exact"/>
        <w:rPr>
          <w:sz w:val="20"/>
          <w:szCs w:val="20"/>
          <w:color w:val="auto"/>
        </w:rPr>
      </w:pPr>
    </w:p>
    <w:p>
      <w:pPr>
        <w:ind w:left="280" w:right="399"/>
        <w:spacing w:after="0" w:line="277" w:lineRule="auto"/>
        <w:rPr>
          <w:sz w:val="20"/>
          <w:szCs w:val="20"/>
          <w:color w:val="auto"/>
        </w:rPr>
      </w:pPr>
      <w:r>
        <w:rPr>
          <w:rFonts w:ascii="Times New Roman" w:cs="Times New Roman" w:eastAsia="Times New Roman" w:hAnsi="Times New Roman"/>
          <w:sz w:val="14"/>
          <w:szCs w:val="14"/>
          <w:color w:val="auto"/>
        </w:rPr>
        <w:t>Any offer in Australia of our common stock may only be made to persons, or Exempt Investors, who are “sophisticated investors” (within the meaning of section 708(8) of the Corporations Act), “professional</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9019"/>
          </w:cols>
          <w:pgMar w:left="1440" w:top="260" w:right="1440" w:bottom="1440" w:gutter="0" w:footer="0" w:header="0"/>
        </w:sectPr>
      </w:pPr>
    </w:p>
    <w:bookmarkStart w:id="23" w:name="page24"/>
    <w:bookmarkEnd w:id="23"/>
    <w:p>
      <w:pPr>
        <w:ind w:left="280" w:right="299"/>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805" cy="45720"/>
                    </a:xfrm>
                    <a:prstGeom prst="rect">
                      <a:avLst/>
                    </a:prstGeom>
                    <a:noFill/>
                  </pic:spPr>
                </pic:pic>
              </a:graphicData>
            </a:graphic>
          </wp:anchor>
        </w:drawing>
        <w:t>investors” (within the meaning of section 708(11) of the Corporations Act), or otherwise pursuant to one or more exemptions contained in section 708 of the Corporations Act so that it is lawful to offer our common stock without disclosure to investors under Chapter 6D of the Corporations Act.</w:t>
      </w:r>
    </w:p>
    <w:p>
      <w:pPr>
        <w:spacing w:after="0" w:line="126" w:lineRule="exact"/>
        <w:rPr>
          <w:sz w:val="20"/>
          <w:szCs w:val="20"/>
          <w:color w:val="auto"/>
        </w:rPr>
      </w:pPr>
    </w:p>
    <w:p>
      <w:pPr>
        <w:ind w:left="280" w:right="539"/>
        <w:spacing w:after="0" w:line="257" w:lineRule="auto"/>
        <w:rPr>
          <w:sz w:val="20"/>
          <w:szCs w:val="20"/>
          <w:color w:val="auto"/>
        </w:rPr>
      </w:pPr>
      <w:r>
        <w:rPr>
          <w:rFonts w:ascii="Times New Roman" w:cs="Times New Roman" w:eastAsia="Times New Roman" w:hAnsi="Times New Roman"/>
          <w:sz w:val="14"/>
          <w:szCs w:val="14"/>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40" w:lineRule="exact"/>
        <w:rPr>
          <w:sz w:val="20"/>
          <w:szCs w:val="20"/>
          <w:color w:val="auto"/>
        </w:rPr>
      </w:pPr>
    </w:p>
    <w:p>
      <w:pPr>
        <w:ind w:left="280" w:right="439"/>
        <w:spacing w:after="0" w:line="257" w:lineRule="auto"/>
        <w:rPr>
          <w:sz w:val="20"/>
          <w:szCs w:val="20"/>
          <w:color w:val="auto"/>
        </w:rPr>
      </w:pPr>
      <w:r>
        <w:rPr>
          <w:rFonts w:ascii="Times New Roman" w:cs="Times New Roman" w:eastAsia="Times New Roman" w:hAnsi="Times New Roman"/>
          <w:sz w:val="14"/>
          <w:szCs w:val="14"/>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Dubai International Financial Centre</w:t>
      </w:r>
    </w:p>
    <w:p>
      <w:pPr>
        <w:spacing w:after="0" w:line="90" w:lineRule="exact"/>
        <w:rPr>
          <w:sz w:val="20"/>
          <w:szCs w:val="20"/>
          <w:color w:val="auto"/>
        </w:rPr>
      </w:pPr>
    </w:p>
    <w:p>
      <w:pPr>
        <w:ind w:left="280" w:right="299"/>
        <w:spacing w:after="0" w:line="252" w:lineRule="auto"/>
        <w:rPr>
          <w:sz w:val="20"/>
          <w:szCs w:val="20"/>
          <w:color w:val="auto"/>
        </w:rPr>
      </w:pPr>
      <w:r>
        <w:rPr>
          <w:rFonts w:ascii="Times New Roman" w:cs="Times New Roman" w:eastAsia="Times New Roman" w:hAnsi="Times New Roman"/>
          <w:sz w:val="14"/>
          <w:szCs w:val="14"/>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common stock to which this prospectus supplement relates may be illiquid and/or subject to restrictions on their resale. Prospective purchasers of the common stock offered should conduct their own due diligence on the common stock. If you do not understand the contents of this prospectus supplement you should consult an authorized financial advisor.</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Hong Kong</w:t>
      </w:r>
    </w:p>
    <w:p>
      <w:pPr>
        <w:spacing w:after="0" w:line="90" w:lineRule="exact"/>
        <w:rPr>
          <w:sz w:val="20"/>
          <w:szCs w:val="20"/>
          <w:color w:val="auto"/>
        </w:rPr>
      </w:pPr>
    </w:p>
    <w:p>
      <w:pPr>
        <w:ind w:left="280" w:right="279"/>
        <w:spacing w:after="0" w:line="251" w:lineRule="auto"/>
        <w:rPr>
          <w:sz w:val="20"/>
          <w:szCs w:val="20"/>
          <w:color w:val="auto"/>
        </w:rPr>
      </w:pPr>
      <w:r>
        <w:rPr>
          <w:rFonts w:ascii="Times New Roman" w:cs="Times New Roman" w:eastAsia="Times New Roman" w:hAnsi="Times New Roman"/>
          <w:sz w:val="14"/>
          <w:szCs w:val="14"/>
          <w:color w:val="auto"/>
        </w:rPr>
        <w:t>Shares of our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 571, Laws of Hong Kong) and any rules made thereunder.</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9019"/>
          </w:cols>
          <w:pgMar w:left="1440" w:top="260"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805" cy="45720"/>
                    </a:xfrm>
                    <a:prstGeom prst="rect">
                      <a:avLst/>
                    </a:prstGeom>
                    <a:noFill/>
                  </pic:spPr>
                </pic:pic>
              </a:graphicData>
            </a:graphic>
          </wp:anchor>
        </w:drawing>
        <w:t>LEGAL MATTERS</w:t>
      </w:r>
    </w:p>
    <w:p>
      <w:pPr>
        <w:spacing w:after="0" w:line="173" w:lineRule="exact"/>
        <w:rPr>
          <w:sz w:val="20"/>
          <w:szCs w:val="20"/>
          <w:color w:val="auto"/>
        </w:rPr>
      </w:pPr>
    </w:p>
    <w:p>
      <w:pPr>
        <w:jc w:val="both"/>
        <w:ind w:left="280" w:right="399"/>
        <w:spacing w:after="0" w:line="317" w:lineRule="auto"/>
        <w:rPr>
          <w:sz w:val="20"/>
          <w:szCs w:val="20"/>
          <w:color w:val="auto"/>
        </w:rPr>
      </w:pPr>
      <w:r>
        <w:rPr>
          <w:rFonts w:ascii="Times New Roman" w:cs="Times New Roman" w:eastAsia="Times New Roman" w:hAnsi="Times New Roman"/>
          <w:sz w:val="13"/>
          <w:szCs w:val="13"/>
          <w:color w:val="auto"/>
        </w:rPr>
        <w:t>Certain legal matters regarding the securities offered by this prospectus supplement will be passed upon for PennantPark Floating Rate Capital Ltd. by Dechert LLP and Venable LLP. Certain legal matters in connection with the offering will be passed upon for the underwriters by Kirkland &amp; Ellis LLP.</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ACCOUNTING FIRM</w:t>
      </w:r>
    </w:p>
    <w:p>
      <w:pPr>
        <w:spacing w:after="0" w:line="173" w:lineRule="exact"/>
        <w:rPr>
          <w:sz w:val="20"/>
          <w:szCs w:val="20"/>
          <w:color w:val="auto"/>
        </w:rPr>
      </w:pPr>
    </w:p>
    <w:p>
      <w:pPr>
        <w:ind w:left="280" w:right="299"/>
        <w:spacing w:after="0" w:line="254" w:lineRule="auto"/>
        <w:rPr>
          <w:sz w:val="20"/>
          <w:szCs w:val="20"/>
          <w:color w:val="auto"/>
        </w:rPr>
      </w:pPr>
      <w:r>
        <w:rPr>
          <w:rFonts w:ascii="Times New Roman" w:cs="Times New Roman" w:eastAsia="Times New Roman" w:hAnsi="Times New Roman"/>
          <w:sz w:val="14"/>
          <w:szCs w:val="14"/>
          <w:color w:val="auto"/>
        </w:rPr>
        <w:t>The consolidated financial statements and the related consolidated senior securities table of PennantPark Floating Rate Capital Ltd. and subsidiaries as of September 30, 2022 and 2021 and for each of the years in the three-year period ended September 30, 2022 incorporated in this prospectus supplement by reference from our Annual Report on Form 10-K for the year ended September 30, 2022 have been audited by RSM US LLP, an independent registered public accounting firm, as stated in their report thereon, incorporated herein by reference, and have been incorporated in this prospectus supplement in reliance upon such report and upon the authority of such firm as experts in accounting and auditing.</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INDEPENDENT AUDITOR</w:t>
      </w:r>
    </w:p>
    <w:p>
      <w:pPr>
        <w:spacing w:after="0" w:line="173" w:lineRule="exact"/>
        <w:rPr>
          <w:sz w:val="20"/>
          <w:szCs w:val="20"/>
          <w:color w:val="auto"/>
        </w:rPr>
      </w:pPr>
    </w:p>
    <w:p>
      <w:pPr>
        <w:ind w:left="280" w:right="439"/>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of PSSL as of and for the fiscal years ended September 30, 2022 and September 30, 2021 included as Exhibits 99.3 and 99.4, respectively, in our Annual Report on Form 10-K for the fiscal year ended September 30, 2022 have been so included in reliance on the report of RSM US LLP.</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3" w:lineRule="exact"/>
        <w:rPr>
          <w:sz w:val="20"/>
          <w:szCs w:val="20"/>
          <w:color w:val="auto"/>
        </w:rPr>
      </w:pPr>
    </w:p>
    <w:p>
      <w:pPr>
        <w:ind w:left="280" w:right="499"/>
        <w:spacing w:after="0" w:line="257" w:lineRule="auto"/>
        <w:rPr>
          <w:sz w:val="20"/>
          <w:szCs w:val="20"/>
          <w:color w:val="auto"/>
        </w:rPr>
      </w:pPr>
      <w:r>
        <w:rPr>
          <w:rFonts w:ascii="Times New Roman" w:cs="Times New Roman" w:eastAsia="Times New Roman" w:hAnsi="Times New Roman"/>
          <w:sz w:val="14"/>
          <w:szCs w:val="14"/>
          <w:color w:val="auto"/>
        </w:rPr>
        <w:t>This prospectus supplement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40" w:lineRule="exact"/>
        <w:rPr>
          <w:sz w:val="20"/>
          <w:szCs w:val="20"/>
          <w:color w:val="auto"/>
        </w:rPr>
      </w:pPr>
    </w:p>
    <w:p>
      <w:pPr>
        <w:ind w:left="280" w:right="299"/>
        <w:spacing w:after="0" w:line="257" w:lineRule="auto"/>
        <w:rPr>
          <w:sz w:val="20"/>
          <w:szCs w:val="20"/>
          <w:color w:val="auto"/>
        </w:rPr>
      </w:pPr>
      <w:r>
        <w:rPr>
          <w:rFonts w:ascii="Times New Roman" w:cs="Times New Roman" w:eastAsia="Times New Roman" w:hAnsi="Times New Roman"/>
          <w:sz w:val="14"/>
          <w:szCs w:val="14"/>
          <w:color w:val="auto"/>
        </w:rPr>
        <w:t>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supplement.</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This prospectus supplement incorporates by reference the documents set forth below that have previously been filed with the SEC:</w:t>
      </w:r>
    </w:p>
    <w:p>
      <w:pPr>
        <w:spacing w:after="0" w:line="98" w:lineRule="exact"/>
        <w:rPr>
          <w:sz w:val="20"/>
          <w:szCs w:val="20"/>
          <w:color w:val="auto"/>
        </w:rPr>
      </w:pPr>
    </w:p>
    <w:p>
      <w:pPr>
        <w:jc w:val="both"/>
        <w:ind w:left="1020" w:right="399" w:hanging="332"/>
        <w:spacing w:after="0" w:line="262"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3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September 30, 2022, filed with the SEC on November 17, 2022, including the information specifically incorporated by reference to the Form 10-K from our Definitive Proxy Statement on </w:t>
      </w:r>
      <w:hyperlink r:id="rId37">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December 8, 2022; and</w:t>
      </w:r>
    </w:p>
    <w:p>
      <w:pPr>
        <w:spacing w:after="0" w:line="63" w:lineRule="exact"/>
        <w:rPr>
          <w:rFonts w:ascii="Times New Roman" w:cs="Times New Roman" w:eastAsia="Times New Roman" w:hAnsi="Times New Roman"/>
          <w:sz w:val="14"/>
          <w:szCs w:val="14"/>
          <w:color w:val="auto"/>
        </w:rPr>
      </w:pPr>
    </w:p>
    <w:p>
      <w:pPr>
        <w:ind w:left="1020" w:right="319" w:hanging="332"/>
        <w:spacing w:after="0" w:line="277"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38">
        <w:r>
          <w:rPr>
            <w:rFonts w:ascii="Times New Roman" w:cs="Times New Roman" w:eastAsia="Times New Roman" w:hAnsi="Times New Roman"/>
            <w:sz w:val="14"/>
            <w:szCs w:val="14"/>
            <w:u w:val="single" w:color="auto"/>
            <w:color w:val="0000EE"/>
          </w:rPr>
          <w:t>Exhibit 4.4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our Annual Report on Form 10-K for the fiscal year ended September 30, 2019 (File No. 814-00891), as filed with the SEC on November 20, 2019.</w:t>
      </w:r>
    </w:p>
    <w:p>
      <w:pPr>
        <w:spacing w:after="0" w:line="126" w:lineRule="exact"/>
        <w:rPr>
          <w:rFonts w:ascii="Times New Roman" w:cs="Times New Roman" w:eastAsia="Times New Roman" w:hAnsi="Times New Roman"/>
          <w:sz w:val="14"/>
          <w:szCs w:val="14"/>
          <w:color w:val="auto"/>
        </w:rPr>
      </w:pPr>
    </w:p>
    <w:p>
      <w:pPr>
        <w:ind w:left="280"/>
        <w:spacing w:after="0"/>
        <w:rPr>
          <w:sz w:val="20"/>
          <w:szCs w:val="20"/>
          <w:color w:val="auto"/>
        </w:rPr>
      </w:pPr>
      <w:r>
        <w:rPr>
          <w:rFonts w:ascii="Times New Roman" w:cs="Times New Roman" w:eastAsia="Times New Roman" w:hAnsi="Times New Roman"/>
          <w:sz w:val="14"/>
          <w:szCs w:val="14"/>
          <w:color w:val="auto"/>
        </w:rPr>
        <w:t>To obtain copies of these filings, see “Available Information.”</w:t>
      </w:r>
    </w:p>
    <w:p>
      <w:pPr>
        <w:spacing w:after="0" w:line="119"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9019"/>
          </w:cols>
          <w:pgMar w:left="1440" w:top="258" w:right="1440"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AVAILABLE INFORMATION</w:t>
      </w:r>
    </w:p>
    <w:p>
      <w:pPr>
        <w:spacing w:after="0" w:line="173" w:lineRule="exact"/>
        <w:rPr>
          <w:sz w:val="20"/>
          <w:szCs w:val="20"/>
          <w:color w:val="auto"/>
        </w:rPr>
      </w:pPr>
    </w:p>
    <w:p>
      <w:pPr>
        <w:ind w:left="280" w:right="439"/>
        <w:spacing w:after="0" w:line="253" w:lineRule="auto"/>
        <w:rPr>
          <w:sz w:val="20"/>
          <w:szCs w:val="20"/>
          <w:color w:val="auto"/>
        </w:rPr>
      </w:pPr>
      <w:r>
        <w:rPr>
          <w:rFonts w:ascii="Times New Roman" w:cs="Times New Roman" w:eastAsia="Times New Roman" w:hAnsi="Times New Roman"/>
          <w:sz w:val="14"/>
          <w:szCs w:val="14"/>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(786) 297-9500 or on our website at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Except for the documents incorporated by reference into this prospectus supplement and the accompanying prospectus,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9019"/>
          </w:cols>
          <w:pgMar w:left="1440" w:top="258" w:right="1440" w:bottom="1440" w:gutter="0" w:footer="0" w:header="0"/>
        </w:sectPr>
      </w:pPr>
    </w:p>
    <w:bookmarkStart w:id="26" w:name="page27"/>
    <w:bookmarkEnd w:id="26"/>
    <w:p>
      <w:pPr>
        <w:ind w:left="6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02805" cy="45720"/>
                    </a:xfrm>
                    <a:prstGeom prst="rect">
                      <a:avLst/>
                    </a:prstGeom>
                    <a:noFill/>
                  </pic:spPr>
                </pic:pic>
              </a:graphicData>
            </a:graphic>
          </wp:anchor>
        </w:drawing>
        <w:t>PROSPECTUS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2082800</wp:posOffset>
            </wp:positionH>
            <wp:positionV relativeFrom="paragraph">
              <wp:posOffset>73025</wp:posOffset>
            </wp:positionV>
            <wp:extent cx="1560830" cy="375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1560830" cy="37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Subscription Rights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90" w:lineRule="exact"/>
        <w:rPr>
          <w:sz w:val="20"/>
          <w:szCs w:val="20"/>
          <w:color w:val="auto"/>
        </w:rPr>
      </w:pPr>
    </w:p>
    <w:p>
      <w:pPr>
        <w:ind w:left="280" w:right="379" w:firstLine="338"/>
        <w:spacing w:after="0" w:line="277" w:lineRule="auto"/>
        <w:rPr>
          <w:sz w:val="20"/>
          <w:szCs w:val="20"/>
          <w:color w:val="auto"/>
        </w:rPr>
      </w:pPr>
      <w:r>
        <w:rPr>
          <w:rFonts w:ascii="Times New Roman" w:cs="Times New Roman" w:eastAsia="Times New Roman" w:hAnsi="Times New Roman"/>
          <w:sz w:val="14"/>
          <w:szCs w:val="14"/>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43" w:lineRule="exact"/>
        <w:rPr>
          <w:sz w:val="20"/>
          <w:szCs w:val="20"/>
          <w:color w:val="auto"/>
        </w:rPr>
      </w:pPr>
    </w:p>
    <w:p>
      <w:pPr>
        <w:ind w:left="280" w:right="299" w:firstLine="338"/>
        <w:spacing w:after="0" w:line="254" w:lineRule="auto"/>
        <w:rPr>
          <w:sz w:val="20"/>
          <w:szCs w:val="20"/>
          <w:color w:val="auto"/>
        </w:rPr>
      </w:pPr>
      <w:r>
        <w:rPr>
          <w:rFonts w:ascii="Times New Roman" w:cs="Times New Roman" w:eastAsia="Times New Roman" w:hAnsi="Times New Roman"/>
          <w:sz w:val="14"/>
          <w:szCs w:val="14"/>
          <w:color w:val="auto"/>
        </w:rPr>
        <w:t>Our investment objectives are to generate both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or the Secured Overnight Financing Rate, or SOFR, with or without a floor, plus a fixed spread. We can offer no assurances that we will achieve our investment objectives.</w:t>
      </w:r>
    </w:p>
    <w:p>
      <w:pPr>
        <w:spacing w:after="0" w:line="61" w:lineRule="exact"/>
        <w:rPr>
          <w:sz w:val="20"/>
          <w:szCs w:val="20"/>
          <w:color w:val="auto"/>
        </w:rPr>
      </w:pPr>
    </w:p>
    <w:p>
      <w:pPr>
        <w:ind w:left="280" w:right="439" w:firstLine="338"/>
        <w:spacing w:after="0" w:line="277" w:lineRule="auto"/>
        <w:rPr>
          <w:sz w:val="20"/>
          <w:szCs w:val="20"/>
          <w:color w:val="auto"/>
        </w:rPr>
      </w:pPr>
      <w:r>
        <w:rPr>
          <w:rFonts w:ascii="Times New Roman" w:cs="Times New Roman" w:eastAsia="Times New Roman" w:hAnsi="Times New Roman"/>
          <w:sz w:val="14"/>
          <w:szCs w:val="14"/>
          <w:color w:val="auto"/>
        </w:rPr>
        <w:t>We are managed by PennantPark Investment Advisers, LLC. PennantPark Investment Administration, LLC provides the administrative services necessary for us to operate.</w:t>
      </w:r>
    </w:p>
    <w:p>
      <w:pPr>
        <w:spacing w:after="0" w:line="43" w:lineRule="exact"/>
        <w:rPr>
          <w:sz w:val="20"/>
          <w:szCs w:val="20"/>
          <w:color w:val="auto"/>
        </w:rPr>
      </w:pPr>
    </w:p>
    <w:p>
      <w:pPr>
        <w:ind w:left="280" w:right="419" w:firstLine="338"/>
        <w:spacing w:after="0" w:line="250" w:lineRule="auto"/>
        <w:rPr>
          <w:sz w:val="20"/>
          <w:szCs w:val="20"/>
          <w:color w:val="auto"/>
        </w:rPr>
      </w:pPr>
      <w:r>
        <w:rPr>
          <w:rFonts w:ascii="Times New Roman" w:cs="Times New Roman" w:eastAsia="Times New Roman" w:hAnsi="Times New Roman"/>
          <w:sz w:val="14"/>
          <w:szCs w:val="14"/>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r>
        <w:rPr>
          <w:rFonts w:ascii="Times New Roman" w:cs="Times New Roman" w:eastAsia="Times New Roman" w:hAnsi="Times New Roman"/>
          <w:sz w:val="14"/>
          <w:szCs w:val="14"/>
          <w:u w:val="single" w:color="auto"/>
          <w:color w:val="0000EE"/>
        </w:rPr>
        <w:t>Risk Factors</w:t>
      </w:r>
      <w:r>
        <w:rPr>
          <w:rFonts w:ascii="Times New Roman" w:cs="Times New Roman" w:eastAsia="Times New Roman" w:hAnsi="Times New Roman"/>
          <w:sz w:val="14"/>
          <w:szCs w:val="14"/>
          <w:color w:val="auto"/>
        </w:rPr>
        <w:t>” on page 10 and “</w:t>
      </w:r>
      <w:r>
        <w:rPr>
          <w:rFonts w:ascii="Times New Roman" w:cs="Times New Roman" w:eastAsia="Times New Roman" w:hAnsi="Times New Roman"/>
          <w:sz w:val="14"/>
          <w:szCs w:val="14"/>
          <w:u w:val="single" w:color="auto"/>
          <w:color w:val="0000EE"/>
        </w:rPr>
        <w:t>Sales of Common Stock Below Net Asset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Value</w:t>
      </w:r>
      <w:r>
        <w:rPr>
          <w:rFonts w:ascii="Times New Roman" w:cs="Times New Roman" w:eastAsia="Times New Roman" w:hAnsi="Times New Roman"/>
          <w:sz w:val="14"/>
          <w:szCs w:val="14"/>
          <w:color w:val="000000"/>
        </w:rPr>
        <w:t>” on page 12 of this prospectus for more information.</w:t>
      </w:r>
    </w:p>
    <w:p>
      <w:pPr>
        <w:spacing w:after="0" w:line="63" w:lineRule="exact"/>
        <w:rPr>
          <w:sz w:val="20"/>
          <w:szCs w:val="20"/>
          <w:color w:val="auto"/>
        </w:rPr>
      </w:pPr>
    </w:p>
    <w:p>
      <w:pPr>
        <w:ind w:left="280" w:right="479" w:firstLine="338"/>
        <w:spacing w:after="0" w:line="262" w:lineRule="auto"/>
        <w:rPr>
          <w:sz w:val="20"/>
          <w:szCs w:val="20"/>
          <w:color w:val="auto"/>
        </w:rPr>
      </w:pPr>
      <w:r>
        <w:rPr>
          <w:rFonts w:ascii="Times New Roman" w:cs="Times New Roman" w:eastAsia="Times New Roman" w:hAnsi="Times New Roman"/>
          <w:sz w:val="14"/>
          <w:szCs w:val="14"/>
          <w:color w:val="auto"/>
        </w:rPr>
        <w:t>Our common stock is traded on The New York Stock Exchange and the Tel Aviv Stock Exchange, or TASE, under the symbol “PFLT.” Prior to April 14, 2022, our common stock was traded on The Nasdaq Global Select Market under the same symbol. The last reported closing price for our common stock on September 30, 2022 was $9.60 per share, and our NAV on September 30, 2022 was $11.62 per share.</w:t>
      </w:r>
    </w:p>
    <w:p>
      <w:pPr>
        <w:spacing w:after="0" w:line="53" w:lineRule="exact"/>
        <w:rPr>
          <w:sz w:val="20"/>
          <w:szCs w:val="20"/>
          <w:color w:val="auto"/>
        </w:rPr>
      </w:pPr>
    </w:p>
    <w:p>
      <w:pPr>
        <w:ind w:left="280" w:right="359" w:firstLine="338"/>
        <w:spacing w:after="0" w:line="257"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w:t>
      </w:r>
    </w:p>
    <w:p>
      <w:pPr>
        <w:sectPr>
          <w:pgSz w:w="11900" w:h="16838" w:orient="portrait"/>
          <w:cols w:equalWidth="0" w:num="1">
            <w:col w:w="9019"/>
          </w:cols>
          <w:pgMar w:left="1440" w:top="260" w:right="1440" w:bottom="1440" w:gutter="0" w:footer="0" w:header="0"/>
        </w:sectPr>
      </w:pPr>
    </w:p>
    <w:bookmarkStart w:id="27" w:name="page28"/>
    <w:bookmarkEnd w:id="27"/>
    <w:p>
      <w:pPr>
        <w:ind w:left="280" w:right="339"/>
        <w:spacing w:after="0" w:line="28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 xml:space="preserve">you invest in our securities and keep them for future reference. We file annual, quarterly and current reports, proxy statements and other information with the SEC. You may also obtain such information free of charge or make stockholder inquiries by contacting us in writing at 1691 Michigan Avenue, Miami, Florida 33139, by calling us collect at (212) 905-1000 or by visiting our website at </w:t>
      </w:r>
      <w:r>
        <w:rPr>
          <w:rFonts w:ascii="Times New Roman" w:cs="Times New Roman" w:eastAsia="Times New Roman" w:hAnsi="Times New Roman"/>
          <w:sz w:val="13"/>
          <w:szCs w:val="13"/>
          <w:i w:val="1"/>
          <w:iCs w:val="1"/>
          <w:u w:val="single" w:color="auto"/>
          <w:color w:val="auto"/>
        </w:rPr>
        <w:t>www.pennantpark.com</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The information on our website is not incorporated by reference into this prospectus. The SEC also maintains a website at </w:t>
      </w:r>
      <w:r>
        <w:rPr>
          <w:rFonts w:ascii="Times New Roman" w:cs="Times New Roman" w:eastAsia="Times New Roman" w:hAnsi="Times New Roman"/>
          <w:sz w:val="13"/>
          <w:szCs w:val="13"/>
          <w:i w:val="1"/>
          <w:iCs w:val="1"/>
          <w:u w:val="single" w:color="auto"/>
          <w:color w:val="auto"/>
        </w:rPr>
        <w:t>www.sec.gov</w:t>
      </w:r>
      <w:r>
        <w:rPr>
          <w:rFonts w:ascii="Times New Roman" w:cs="Times New Roman" w:eastAsia="Times New Roman" w:hAnsi="Times New Roman"/>
          <w:sz w:val="13"/>
          <w:szCs w:val="13"/>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35560</wp:posOffset>
            </wp:positionV>
            <wp:extent cx="537337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5373370" cy="6350"/>
                    </a:xfrm>
                    <a:prstGeom prst="rect">
                      <a:avLst/>
                    </a:prstGeom>
                    <a:noFill/>
                  </pic:spPr>
                </pic:pic>
              </a:graphicData>
            </a:graphic>
          </wp:anchor>
        </w:drawing>
      </w:r>
    </w:p>
    <w:p>
      <w:pPr>
        <w:spacing w:after="0" w:line="113" w:lineRule="exact"/>
        <w:rPr>
          <w:sz w:val="20"/>
          <w:szCs w:val="20"/>
          <w:color w:val="auto"/>
        </w:rPr>
      </w:pPr>
    </w:p>
    <w:p>
      <w:pPr>
        <w:ind w:left="280" w:right="339" w:firstLine="338"/>
        <w:spacing w:after="0" w:line="280"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10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29210</wp:posOffset>
            </wp:positionV>
            <wp:extent cx="537337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5373370" cy="6350"/>
                    </a:xfrm>
                    <a:prstGeom prst="rect">
                      <a:avLst/>
                    </a:prstGeom>
                    <a:noFill/>
                  </pic:spPr>
                </pic:pic>
              </a:graphicData>
            </a:graphic>
          </wp:anchor>
        </w:drawing>
      </w:r>
    </w:p>
    <w:p>
      <w:pPr>
        <w:spacing w:after="0" w:line="102" w:lineRule="exact"/>
        <w:rPr>
          <w:sz w:val="20"/>
          <w:szCs w:val="20"/>
          <w:color w:val="auto"/>
        </w:rPr>
      </w:pPr>
    </w:p>
    <w:p>
      <w:pPr>
        <w:ind w:left="280" w:right="459" w:firstLine="338"/>
        <w:spacing w:after="0" w:line="280"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35560</wp:posOffset>
            </wp:positionV>
            <wp:extent cx="537337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5373370" cy="6350"/>
                    </a:xfrm>
                    <a:prstGeom prst="rect">
                      <a:avLst/>
                    </a:prstGeom>
                    <a:noFill/>
                  </pic:spPr>
                </pic:pic>
              </a:graphicData>
            </a:graphic>
          </wp:anchor>
        </w:drawing>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sales of securities unless accompanied by a prospectus supplement.</w:t>
      </w:r>
    </w:p>
    <w:p>
      <w:pPr>
        <w:spacing w:after="0" w:line="8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Prospectus dated January 9, 2023</w:t>
      </w:r>
    </w:p>
    <w:p>
      <w:pPr>
        <w:sectPr>
          <w:pgSz w:w="11900" w:h="16838" w:orient="portrait"/>
          <w:cols w:equalWidth="0" w:num="1">
            <w:col w:w="9019"/>
          </w:cols>
          <w:pgMar w:left="1440" w:top="260" w:right="1440" w:bottom="1440" w:gutter="0" w:footer="0" w:header="0"/>
        </w:sectPr>
      </w:pPr>
    </w:p>
    <w:bookmarkStart w:id="28" w:name="page29"/>
    <w:bookmarkEnd w:id="28"/>
    <w:p>
      <w:pPr>
        <w:ind w:left="280" w:right="279" w:firstLine="338"/>
        <w:spacing w:after="0" w:line="27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02805" cy="45720"/>
                    </a:xfrm>
                    <a:prstGeom prst="rect">
                      <a:avLst/>
                    </a:prstGeom>
                    <a:noFill/>
                  </pic:spPr>
                </pic:pic>
              </a:graphicData>
            </a:graphic>
          </wp:anchor>
        </w:drawing>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97" w:lineRule="exact"/>
        <w:rPr>
          <w:sz w:val="20"/>
          <w:szCs w:val="20"/>
          <w:color w:val="auto"/>
        </w:rPr>
      </w:pPr>
    </w:p>
    <w:tbl>
      <w:tblPr>
        <w:tblLayout w:type="fixed"/>
        <w:tblInd w:w="280" w:type="dxa"/>
        <w:tblCellMar>
          <w:top w:w="0" w:type="dxa"/>
          <w:left w:w="0" w:type="dxa"/>
          <w:bottom w:w="0" w:type="dxa"/>
          <w:right w:w="0" w:type="dxa"/>
        </w:tblCellMar>
      </w:tblPr>
      <w:tr>
        <w:trPr>
          <w:trHeight w:val="183"/>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7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0"/>
        </w:trPr>
        <w:tc>
          <w:tcPr>
            <w:tcW w:w="16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w w:val="96"/>
              </w:rPr>
              <w:t>PROSPECTUS SUMMARY</w:t>
            </w:r>
          </w:p>
        </w:tc>
        <w:tc>
          <w:tcPr>
            <w:tcW w:w="6580" w:type="dxa"/>
            <w:vAlign w:val="bottom"/>
            <w:gridSpan w:val="17"/>
            <w:vMerge w:val="restart"/>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0"/>
        </w:trPr>
        <w:tc>
          <w:tcPr>
            <w:tcW w:w="1600" w:type="dxa"/>
            <w:vAlign w:val="bottom"/>
            <w:tcBorders>
              <w:bottom w:val="single" w:sz="8" w:color="0000EE"/>
            </w:tcBorders>
            <w:gridSpan w:val="7"/>
            <w:vMerge w:val="continue"/>
          </w:tcPr>
          <w:p>
            <w:pPr>
              <w:spacing w:after="0"/>
              <w:rPr>
                <w:sz w:val="9"/>
                <w:szCs w:val="9"/>
                <w:color w:val="auto"/>
              </w:rPr>
            </w:pPr>
          </w:p>
        </w:tc>
        <w:tc>
          <w:tcPr>
            <w:tcW w:w="6580" w:type="dxa"/>
            <w:vAlign w:val="bottom"/>
            <w:gridSpan w:val="17"/>
            <w:vMerge w:val="continue"/>
          </w:tcPr>
          <w:p>
            <w:pPr>
              <w:spacing w:after="0"/>
              <w:rPr>
                <w:sz w:val="9"/>
                <w:szCs w:val="9"/>
                <w:color w:val="auto"/>
              </w:rPr>
            </w:pPr>
          </w:p>
        </w:tc>
        <w:tc>
          <w:tcPr>
            <w:tcW w:w="2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8180" w:type="dxa"/>
            <w:vAlign w:val="bottom"/>
            <w:gridSpan w:val="24"/>
          </w:tcPr>
          <w:p>
            <w:pPr>
              <w:spacing w:after="0" w:line="156" w:lineRule="exact"/>
              <w:rPr>
                <w:sz w:val="20"/>
                <w:szCs w:val="20"/>
                <w:color w:val="auto"/>
              </w:rPr>
            </w:pPr>
            <w:r>
              <w:rPr>
                <w:rFonts w:ascii="Times New Roman" w:cs="Times New Roman" w:eastAsia="Times New Roman" w:hAnsi="Times New Roman"/>
                <w:sz w:val="14"/>
                <w:szCs w:val="14"/>
                <w:color w:val="0000EE"/>
              </w:rPr>
              <w:t>FEES AND EXPENSES</w:t>
            </w:r>
          </w:p>
        </w:tc>
        <w:tc>
          <w:tcPr>
            <w:tcW w:w="26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FINANCIAL HIGHLIGHTS</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6"/>
        </w:trPr>
        <w:tc>
          <w:tcPr>
            <w:tcW w:w="960" w:type="dxa"/>
            <w:vAlign w:val="bottom"/>
            <w:tcBorders>
              <w:top w:val="single" w:sz="8" w:color="0000EE"/>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color w:val="0000EE"/>
                <w:w w:val="95"/>
              </w:rPr>
              <w:t>RISK FACTORS</w:t>
            </w:r>
          </w:p>
        </w:tc>
        <w:tc>
          <w:tcPr>
            <w:tcW w:w="640" w:type="dxa"/>
            <w:vAlign w:val="bottom"/>
            <w:tcBorders>
              <w:top w:val="single" w:sz="8" w:color="0000EE"/>
            </w:tcBorders>
            <w:gridSpan w:val="6"/>
          </w:tcPr>
          <w:p>
            <w:pPr>
              <w:spacing w:after="0"/>
              <w:rPr>
                <w:sz w:val="12"/>
                <w:szCs w:val="12"/>
                <w:color w:val="auto"/>
              </w:rPr>
            </w:pPr>
          </w:p>
        </w:tc>
        <w:tc>
          <w:tcPr>
            <w:tcW w:w="6580" w:type="dxa"/>
            <w:vAlign w:val="bottom"/>
            <w:gridSpan w:val="17"/>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FORWARD-LOOKING STATEMENTS</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6"/>
        </w:trPr>
        <w:tc>
          <w:tcPr>
            <w:tcW w:w="2240" w:type="dxa"/>
            <w:vAlign w:val="bottom"/>
            <w:tcBorders>
              <w:top w:val="single" w:sz="8" w:color="0000EE"/>
            </w:tcBorders>
            <w:gridSpan w:val="12"/>
          </w:tcPr>
          <w:p>
            <w:pPr>
              <w:spacing w:after="0" w:line="146" w:lineRule="exact"/>
              <w:rPr>
                <w:sz w:val="20"/>
                <w:szCs w:val="20"/>
                <w:color w:val="auto"/>
              </w:rPr>
            </w:pPr>
            <w:r>
              <w:rPr>
                <w:rFonts w:ascii="Times New Roman" w:cs="Times New Roman" w:eastAsia="Times New Roman" w:hAnsi="Times New Roman"/>
                <w:sz w:val="14"/>
                <w:szCs w:val="14"/>
                <w:color w:val="0000EE"/>
              </w:rPr>
              <w:t>USE OF PROCEEDS</w:t>
            </w:r>
          </w:p>
        </w:tc>
        <w:tc>
          <w:tcPr>
            <w:tcW w:w="5940" w:type="dxa"/>
            <w:vAlign w:val="bottom"/>
            <w:gridSpan w:val="12"/>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360" w:type="dxa"/>
            <w:vAlign w:val="bottom"/>
            <w:tcBorders>
              <w:bottom w:val="single" w:sz="8" w:color="0000EE"/>
            </w:tcBorders>
            <w:gridSpan w:val="5"/>
          </w:tcPr>
          <w:p>
            <w:pPr>
              <w:spacing w:after="0" w:line="146" w:lineRule="exact"/>
              <w:rPr>
                <w:sz w:val="20"/>
                <w:szCs w:val="20"/>
                <w:color w:val="auto"/>
              </w:rPr>
            </w:pPr>
            <w:r>
              <w:rPr>
                <w:rFonts w:ascii="Times New Roman" w:cs="Times New Roman" w:eastAsia="Times New Roman" w:hAnsi="Times New Roman"/>
                <w:sz w:val="14"/>
                <w:szCs w:val="14"/>
                <w:color w:val="0000EE"/>
                <w:w w:val="98"/>
              </w:rPr>
              <w:t>SENIOR SECURITIES</w:t>
            </w:r>
          </w:p>
        </w:tc>
        <w:tc>
          <w:tcPr>
            <w:tcW w:w="6820" w:type="dxa"/>
            <w:vAlign w:val="bottom"/>
            <w:gridSpan w:val="19"/>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PRICE RANGE OF COMMON STOCK</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560" w:type="dxa"/>
            <w:vAlign w:val="bottom"/>
            <w:tcBorders>
              <w:bottom w:val="single" w:sz="8" w:color="0000EE"/>
            </w:tcBorders>
            <w:gridSpan w:val="20"/>
          </w:tcPr>
          <w:p>
            <w:pPr>
              <w:spacing w:after="0" w:line="146" w:lineRule="exact"/>
              <w:rPr>
                <w:sz w:val="20"/>
                <w:szCs w:val="20"/>
                <w:color w:val="auto"/>
              </w:rPr>
            </w:pPr>
            <w:r>
              <w:rPr>
                <w:rFonts w:ascii="Times New Roman" w:cs="Times New Roman" w:eastAsia="Times New Roman" w:hAnsi="Times New Roman"/>
                <w:sz w:val="14"/>
                <w:szCs w:val="14"/>
                <w:color w:val="0000EE"/>
                <w:w w:val="97"/>
              </w:rPr>
              <w:t>SALES OF COMMON STOCK BELOW NET ASSET VALUE</w:t>
            </w:r>
          </w:p>
        </w:tc>
        <w:tc>
          <w:tcPr>
            <w:tcW w:w="4620" w:type="dxa"/>
            <w:vAlign w:val="bottom"/>
            <w:gridSpan w:val="4"/>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6"/>
        </w:trPr>
        <w:tc>
          <w:tcPr>
            <w:tcW w:w="1040" w:type="dxa"/>
            <w:vAlign w:val="bottom"/>
            <w:tcBorders>
              <w:bottom w:val="single" w:sz="8" w:color="0000EE"/>
            </w:tcBorders>
            <w:gridSpan w:val="2"/>
          </w:tcPr>
          <w:p>
            <w:pPr>
              <w:spacing w:after="0" w:line="146" w:lineRule="exact"/>
              <w:rPr>
                <w:sz w:val="20"/>
                <w:szCs w:val="20"/>
                <w:color w:val="auto"/>
              </w:rPr>
            </w:pPr>
            <w:r>
              <w:rPr>
                <w:rFonts w:ascii="Times New Roman" w:cs="Times New Roman" w:eastAsia="Times New Roman" w:hAnsi="Times New Roman"/>
                <w:sz w:val="14"/>
                <w:szCs w:val="14"/>
                <w:color w:val="0000EE"/>
                <w:w w:val="96"/>
              </w:rPr>
              <w:t>DISTRIBUTIONS</w:t>
            </w:r>
          </w:p>
        </w:tc>
        <w:tc>
          <w:tcPr>
            <w:tcW w:w="7140" w:type="dxa"/>
            <w:vAlign w:val="bottom"/>
            <w:gridSpan w:val="22"/>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PORTFOLIO COMPANIES</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780" w:type="dxa"/>
            <w:vAlign w:val="bottom"/>
            <w:tcBorders>
              <w:bottom w:val="single" w:sz="8" w:color="0000EE"/>
            </w:tcBorders>
            <w:gridSpan w:val="10"/>
          </w:tcPr>
          <w:p>
            <w:pPr>
              <w:spacing w:after="0" w:line="146" w:lineRule="exact"/>
              <w:rPr>
                <w:sz w:val="20"/>
                <w:szCs w:val="20"/>
                <w:color w:val="auto"/>
              </w:rPr>
            </w:pPr>
            <w:r>
              <w:rPr>
                <w:rFonts w:ascii="Times New Roman" w:cs="Times New Roman" w:eastAsia="Times New Roman" w:hAnsi="Times New Roman"/>
                <w:sz w:val="14"/>
                <w:szCs w:val="14"/>
                <w:color w:val="0000EE"/>
                <w:w w:val="96"/>
              </w:rPr>
              <w:t>PORTFOLIO MANAGEMENT</w:t>
            </w:r>
          </w:p>
        </w:tc>
        <w:tc>
          <w:tcPr>
            <w:tcW w:w="6400" w:type="dxa"/>
            <w:vAlign w:val="bottom"/>
            <w:gridSpan w:val="14"/>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6"/>
        </w:trPr>
        <w:tc>
          <w:tcPr>
            <w:tcW w:w="2580" w:type="dxa"/>
            <w:vAlign w:val="bottom"/>
            <w:tcBorders>
              <w:bottom w:val="single" w:sz="8" w:color="0000EE"/>
            </w:tcBorders>
            <w:gridSpan w:val="15"/>
          </w:tcPr>
          <w:p>
            <w:pPr>
              <w:spacing w:after="0" w:line="146" w:lineRule="exact"/>
              <w:rPr>
                <w:sz w:val="20"/>
                <w:szCs w:val="20"/>
                <w:color w:val="auto"/>
              </w:rPr>
            </w:pPr>
            <w:r>
              <w:rPr>
                <w:rFonts w:ascii="Times New Roman" w:cs="Times New Roman" w:eastAsia="Times New Roman" w:hAnsi="Times New Roman"/>
                <w:sz w:val="14"/>
                <w:szCs w:val="14"/>
                <w:color w:val="0000EE"/>
                <w:w w:val="96"/>
              </w:rPr>
              <w:t>DETERMINATION OF NET ASSET VALUE</w:t>
            </w:r>
          </w:p>
        </w:tc>
        <w:tc>
          <w:tcPr>
            <w:tcW w:w="5600" w:type="dxa"/>
            <w:vAlign w:val="bottom"/>
            <w:gridSpan w:val="9"/>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CAPITAL STOCK</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740" w:type="dxa"/>
            <w:vAlign w:val="bottom"/>
            <w:tcBorders>
              <w:bottom w:val="single" w:sz="8" w:color="0000EE"/>
            </w:tcBorders>
            <w:gridSpan w:val="17"/>
          </w:tcPr>
          <w:p>
            <w:pPr>
              <w:spacing w:after="0" w:line="146" w:lineRule="exact"/>
              <w:rPr>
                <w:sz w:val="20"/>
                <w:szCs w:val="20"/>
                <w:color w:val="auto"/>
              </w:rPr>
            </w:pPr>
            <w:r>
              <w:rPr>
                <w:rFonts w:ascii="Times New Roman" w:cs="Times New Roman" w:eastAsia="Times New Roman" w:hAnsi="Times New Roman"/>
                <w:sz w:val="14"/>
                <w:szCs w:val="14"/>
                <w:color w:val="0000EE"/>
                <w:w w:val="97"/>
              </w:rPr>
              <w:t>DESCRIPTION OF OUR PREFERRED STOCK</w:t>
            </w:r>
          </w:p>
        </w:tc>
        <w:tc>
          <w:tcPr>
            <w:tcW w:w="5440" w:type="dxa"/>
            <w:vAlign w:val="bottom"/>
            <w:gridSpan w:val="7"/>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WARRANTS</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SUBSCRIPTION RIGHTS</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6"/>
        </w:trPr>
        <w:tc>
          <w:tcPr>
            <w:tcW w:w="2980" w:type="dxa"/>
            <w:vAlign w:val="bottom"/>
            <w:tcBorders>
              <w:top w:val="single" w:sz="8" w:color="0000EE"/>
            </w:tcBorders>
            <w:gridSpan w:val="18"/>
          </w:tcPr>
          <w:p>
            <w:pPr>
              <w:spacing w:after="0" w:line="146" w:lineRule="exact"/>
              <w:rPr>
                <w:sz w:val="20"/>
                <w:szCs w:val="20"/>
                <w:color w:val="auto"/>
              </w:rPr>
            </w:pPr>
            <w:r>
              <w:rPr>
                <w:rFonts w:ascii="Times New Roman" w:cs="Times New Roman" w:eastAsia="Times New Roman" w:hAnsi="Times New Roman"/>
                <w:sz w:val="14"/>
                <w:szCs w:val="14"/>
                <w:color w:val="0000EE"/>
              </w:rPr>
              <w:t>DESCRIPTION OF OUR DEBT SECURITIES</w:t>
            </w:r>
          </w:p>
        </w:tc>
        <w:tc>
          <w:tcPr>
            <w:tcW w:w="5200" w:type="dxa"/>
            <w:vAlign w:val="bottom"/>
            <w:gridSpan w:val="6"/>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440" w:type="dxa"/>
            <w:vAlign w:val="bottom"/>
            <w:tcBorders>
              <w:bottom w:val="single" w:sz="8" w:color="0000EE"/>
            </w:tcBorders>
            <w:gridSpan w:val="19"/>
          </w:tcPr>
          <w:p>
            <w:pPr>
              <w:spacing w:after="0" w:line="146" w:lineRule="exact"/>
              <w:rPr>
                <w:sz w:val="20"/>
                <w:szCs w:val="20"/>
                <w:color w:val="auto"/>
              </w:rPr>
            </w:pPr>
            <w:r>
              <w:rPr>
                <w:rFonts w:ascii="Times New Roman" w:cs="Times New Roman" w:eastAsia="Times New Roman" w:hAnsi="Times New Roman"/>
                <w:sz w:val="14"/>
                <w:szCs w:val="14"/>
                <w:color w:val="0000EE"/>
                <w:w w:val="97"/>
              </w:rPr>
              <w:t>BROKERAGE ALLOCATIONS AND OTHER PRACTICES</w:t>
            </w:r>
          </w:p>
        </w:tc>
        <w:tc>
          <w:tcPr>
            <w:tcW w:w="4740" w:type="dxa"/>
            <w:vAlign w:val="bottom"/>
            <w:gridSpan w:val="5"/>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6"/>
        </w:trPr>
        <w:tc>
          <w:tcPr>
            <w:tcW w:w="3740" w:type="dxa"/>
            <w:vAlign w:val="bottom"/>
            <w:tcBorders>
              <w:bottom w:val="single" w:sz="8" w:color="0000EE"/>
            </w:tcBorders>
            <w:gridSpan w:val="22"/>
          </w:tcPr>
          <w:p>
            <w:pPr>
              <w:spacing w:after="0" w:line="146" w:lineRule="exact"/>
              <w:rPr>
                <w:sz w:val="20"/>
                <w:szCs w:val="20"/>
                <w:color w:val="auto"/>
              </w:rPr>
            </w:pPr>
            <w:r>
              <w:rPr>
                <w:rFonts w:ascii="Times New Roman" w:cs="Times New Roman" w:eastAsia="Times New Roman" w:hAnsi="Times New Roman"/>
                <w:sz w:val="14"/>
                <w:szCs w:val="14"/>
                <w:color w:val="0000EE"/>
                <w:w w:val="97"/>
              </w:rPr>
              <w:t>MATERIAL U.S. FEDERAL INCOME TAX CONSIDERATIONS</w:t>
            </w:r>
          </w:p>
        </w:tc>
        <w:tc>
          <w:tcPr>
            <w:tcW w:w="4440" w:type="dxa"/>
            <w:vAlign w:val="bottom"/>
            <w:gridSpan w:val="2"/>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PLAN OF DISTRIBUTION</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
        </w:trPr>
        <w:tc>
          <w:tcPr>
            <w:tcW w:w="11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560" w:type="dxa"/>
            <w:vAlign w:val="bottom"/>
            <w:tcBorders>
              <w:bottom w:val="single" w:sz="8" w:color="0000EE"/>
            </w:tcBorders>
            <w:gridSpan w:val="23"/>
          </w:tcPr>
          <w:p>
            <w:pPr>
              <w:spacing w:after="0" w:line="146" w:lineRule="exact"/>
              <w:rPr>
                <w:sz w:val="20"/>
                <w:szCs w:val="20"/>
                <w:color w:val="auto"/>
              </w:rPr>
            </w:pPr>
            <w:r>
              <w:rPr>
                <w:rFonts w:ascii="Times New Roman" w:cs="Times New Roman" w:eastAsia="Times New Roman" w:hAnsi="Times New Roman"/>
                <w:sz w:val="14"/>
                <w:szCs w:val="14"/>
                <w:color w:val="0000EE"/>
                <w:w w:val="97"/>
              </w:rPr>
              <w:t>SUB-ADMINISTRATOR, CUSTODIAN, TRANSFER AGENT AND TRUSTEE</w:t>
            </w:r>
          </w:p>
        </w:tc>
        <w:tc>
          <w:tcPr>
            <w:tcW w:w="3620" w:type="dxa"/>
            <w:vAlign w:val="bottom"/>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6"/>
        </w:trPr>
        <w:tc>
          <w:tcPr>
            <w:tcW w:w="1120" w:type="dxa"/>
            <w:vAlign w:val="bottom"/>
            <w:tcBorders>
              <w:bottom w:val="single" w:sz="8" w:color="0000EE"/>
            </w:tcBorders>
            <w:gridSpan w:val="3"/>
          </w:tcPr>
          <w:p>
            <w:pPr>
              <w:spacing w:after="0" w:line="146" w:lineRule="exact"/>
              <w:rPr>
                <w:sz w:val="20"/>
                <w:szCs w:val="20"/>
                <w:color w:val="auto"/>
              </w:rPr>
            </w:pPr>
            <w:r>
              <w:rPr>
                <w:rFonts w:ascii="Times New Roman" w:cs="Times New Roman" w:eastAsia="Times New Roman" w:hAnsi="Times New Roman"/>
                <w:sz w:val="14"/>
                <w:szCs w:val="14"/>
                <w:color w:val="0000EE"/>
                <w:w w:val="95"/>
              </w:rPr>
              <w:t>LEGAL MATTERS</w:t>
            </w:r>
          </w:p>
        </w:tc>
        <w:tc>
          <w:tcPr>
            <w:tcW w:w="7060" w:type="dxa"/>
            <w:vAlign w:val="bottom"/>
            <w:gridSpan w:val="21"/>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6"/>
        </w:trPr>
        <w:tc>
          <w:tcPr>
            <w:tcW w:w="3680" w:type="dxa"/>
            <w:vAlign w:val="bottom"/>
            <w:tcBorders>
              <w:bottom w:val="single" w:sz="8" w:color="0000EE"/>
            </w:tcBorders>
            <w:gridSpan w:val="21"/>
          </w:tcPr>
          <w:p>
            <w:pPr>
              <w:spacing w:after="0" w:line="146" w:lineRule="exact"/>
              <w:rPr>
                <w:sz w:val="20"/>
                <w:szCs w:val="20"/>
                <w:color w:val="auto"/>
              </w:rPr>
            </w:pPr>
            <w:r>
              <w:rPr>
                <w:rFonts w:ascii="Times New Roman" w:cs="Times New Roman" w:eastAsia="Times New Roman" w:hAnsi="Times New Roman"/>
                <w:sz w:val="14"/>
                <w:szCs w:val="14"/>
                <w:color w:val="0000EE"/>
                <w:w w:val="98"/>
              </w:rPr>
              <w:t>INDEPENDENT REGISTERED PUBLIC ACCOUNTING FIRM</w:t>
            </w:r>
          </w:p>
        </w:tc>
        <w:tc>
          <w:tcPr>
            <w:tcW w:w="4500" w:type="dxa"/>
            <w:vAlign w:val="bottom"/>
            <w:gridSpan w:val="3"/>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6"/>
        </w:trPr>
        <w:tc>
          <w:tcPr>
            <w:tcW w:w="8180" w:type="dxa"/>
            <w:vAlign w:val="bottom"/>
            <w:gridSpan w:val="24"/>
          </w:tcPr>
          <w:p>
            <w:pPr>
              <w:spacing w:after="0" w:line="146" w:lineRule="exact"/>
              <w:rPr>
                <w:sz w:val="20"/>
                <w:szCs w:val="20"/>
                <w:color w:val="auto"/>
              </w:rPr>
            </w:pPr>
            <w:r>
              <w:rPr>
                <w:rFonts w:ascii="Times New Roman" w:cs="Times New Roman" w:eastAsia="Times New Roman" w:hAnsi="Times New Roman"/>
                <w:sz w:val="14"/>
                <w:szCs w:val="14"/>
                <w:color w:val="0000EE"/>
              </w:rPr>
              <w:t>INDEPENDENT AUDITORS</w:t>
            </w: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
        </w:trPr>
        <w:tc>
          <w:tcPr>
            <w:tcW w:w="168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960" w:type="dxa"/>
            <w:vAlign w:val="bottom"/>
            <w:gridSpan w:val="1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220" w:type="dxa"/>
            <w:vAlign w:val="bottom"/>
            <w:tcBorders>
              <w:bottom w:val="single" w:sz="8" w:color="0000EE"/>
            </w:tcBorders>
            <w:gridSpan w:val="11"/>
          </w:tcPr>
          <w:p>
            <w:pPr>
              <w:spacing w:after="0" w:line="146" w:lineRule="exact"/>
              <w:rPr>
                <w:sz w:val="20"/>
                <w:szCs w:val="20"/>
                <w:color w:val="auto"/>
              </w:rPr>
            </w:pPr>
            <w:r>
              <w:rPr>
                <w:rFonts w:ascii="Times New Roman" w:cs="Times New Roman" w:eastAsia="Times New Roman" w:hAnsi="Times New Roman"/>
                <w:sz w:val="14"/>
                <w:szCs w:val="14"/>
                <w:color w:val="0000EE"/>
                <w:w w:val="98"/>
              </w:rPr>
              <w:t>INCORPORATION BY REFERENCE</w:t>
            </w:r>
          </w:p>
        </w:tc>
        <w:tc>
          <w:tcPr>
            <w:tcW w:w="5960" w:type="dxa"/>
            <w:vAlign w:val="bottom"/>
            <w:gridSpan w:val="13"/>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6"/>
        </w:trPr>
        <w:tc>
          <w:tcPr>
            <w:tcW w:w="1740" w:type="dxa"/>
            <w:vAlign w:val="bottom"/>
            <w:tcBorders>
              <w:bottom w:val="single" w:sz="8" w:color="0000EE"/>
            </w:tcBorders>
            <w:gridSpan w:val="9"/>
          </w:tcPr>
          <w:p>
            <w:pPr>
              <w:spacing w:after="0" w:line="146" w:lineRule="exact"/>
              <w:rPr>
                <w:sz w:val="20"/>
                <w:szCs w:val="20"/>
                <w:color w:val="auto"/>
              </w:rPr>
            </w:pPr>
            <w:r>
              <w:rPr>
                <w:rFonts w:ascii="Times New Roman" w:cs="Times New Roman" w:eastAsia="Times New Roman" w:hAnsi="Times New Roman"/>
                <w:sz w:val="14"/>
                <w:szCs w:val="14"/>
                <w:color w:val="0000EE"/>
                <w:w w:val="94"/>
              </w:rPr>
              <w:t>AVAILABLE INFORMATION</w:t>
            </w:r>
          </w:p>
        </w:tc>
        <w:tc>
          <w:tcPr>
            <w:tcW w:w="6440" w:type="dxa"/>
            <w:vAlign w:val="bottom"/>
            <w:gridSpan w:val="15"/>
          </w:tcPr>
          <w:p>
            <w:pPr>
              <w:spacing w:after="0"/>
              <w:rPr>
                <w:sz w:val="12"/>
                <w:szCs w:val="12"/>
                <w:color w:val="auto"/>
              </w:rPr>
            </w:pPr>
          </w:p>
        </w:tc>
        <w:tc>
          <w:tcPr>
            <w:tcW w:w="26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60" w:right="144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02805" cy="45720"/>
                    </a:xfrm>
                    <a:prstGeom prst="rect">
                      <a:avLst/>
                    </a:prstGeom>
                    <a:noFill/>
                  </pic:spPr>
                </pic:pic>
              </a:graphicData>
            </a:graphic>
          </wp:anchor>
        </w:drawing>
        <w:t>ABOUT THIS PROSPECTUS</w:t>
      </w:r>
    </w:p>
    <w:p>
      <w:pPr>
        <w:spacing w:after="0" w:line="173" w:lineRule="exact"/>
        <w:rPr>
          <w:sz w:val="20"/>
          <w:szCs w:val="20"/>
          <w:color w:val="auto"/>
        </w:rPr>
      </w:pPr>
    </w:p>
    <w:p>
      <w:pPr>
        <w:ind w:left="280" w:right="279" w:firstLine="338"/>
        <w:spacing w:after="0" w:line="249"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58" w:right="144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480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02805" cy="4480560"/>
                    </a:xfrm>
                    <a:prstGeom prst="rect">
                      <a:avLst/>
                    </a:prstGeom>
                    <a:noFill/>
                  </pic:spPr>
                </pic:pic>
              </a:graphicData>
            </a:graphic>
          </wp:anchor>
        </w:drawing>
        <w:t>PROSPECTUS SUMMARY</w:t>
      </w:r>
    </w:p>
    <w:p>
      <w:pPr>
        <w:spacing w:after="0" w:line="171" w:lineRule="exact"/>
        <w:rPr>
          <w:sz w:val="20"/>
          <w:szCs w:val="20"/>
          <w:color w:val="auto"/>
        </w:rPr>
      </w:pPr>
    </w:p>
    <w:p>
      <w:pPr>
        <w:ind w:left="420" w:right="439" w:firstLine="327"/>
        <w:spacing w:after="0" w:line="248" w:lineRule="auto"/>
        <w:rPr>
          <w:sz w:val="20"/>
          <w:szCs w:val="20"/>
          <w:color w:val="auto"/>
        </w:rPr>
      </w:pPr>
      <w:r>
        <w:rPr>
          <w:rFonts w:ascii="Times New Roman" w:cs="Times New Roman" w:eastAsia="Times New Roman" w:hAnsi="Times New Roman"/>
          <w:sz w:val="14"/>
          <w:szCs w:val="14"/>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4.3% Series A notes due 2023; “2026 Notes” refers to our 4.25% Notes due 2026; “Code” refers to the Internal Revenue Code of 1986, as amended; “RIC” refers to a regulated investment company under the Code; “1940 Act” refers to the Investment Company Act of 1940, as amended; “BDC” refers to a business development company under the 1940 Act; “Prior Credit Facility” refers to our multi-currency senior secured revolving credit facility, as amended and restated with Truist Bank (formerly SunTrust Bank) and other lenders, originally entered into on June 23, 2011 and terminated on August 12, 2021;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w:t>
      </w: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General Business of PennantPark Floating Rate Capital Ltd.</w:t>
      </w:r>
    </w:p>
    <w:p>
      <w:pPr>
        <w:spacing w:after="0" w:line="90" w:lineRule="exact"/>
        <w:rPr>
          <w:sz w:val="20"/>
          <w:szCs w:val="20"/>
          <w:color w:val="auto"/>
        </w:rPr>
      </w:pPr>
    </w:p>
    <w:p>
      <w:pPr>
        <w:ind w:left="420" w:right="439" w:firstLine="327"/>
        <w:spacing w:after="0" w:line="277" w:lineRule="auto"/>
        <w:rPr>
          <w:sz w:val="20"/>
          <w:szCs w:val="20"/>
          <w:color w:val="auto"/>
        </w:rPr>
      </w:pPr>
      <w:r>
        <w:rPr>
          <w:rFonts w:ascii="Times New Roman" w:cs="Times New Roman" w:eastAsia="Times New Roman" w:hAnsi="Times New Roman"/>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26" w:lineRule="exact"/>
        <w:rPr>
          <w:sz w:val="20"/>
          <w:szCs w:val="20"/>
          <w:color w:val="auto"/>
        </w:rPr>
      </w:pPr>
    </w:p>
    <w:p>
      <w:pPr>
        <w:ind w:left="420" w:right="679" w:firstLine="327"/>
        <w:spacing w:after="0" w:line="278" w:lineRule="auto"/>
        <w:rPr>
          <w:sz w:val="20"/>
          <w:szCs w:val="20"/>
          <w:color w:val="auto"/>
        </w:rPr>
      </w:pPr>
      <w:r>
        <w:rPr>
          <w:rFonts w:ascii="Times New Roman" w:cs="Times New Roman" w:eastAsia="Times New Roman" w:hAnsi="Times New Roman"/>
          <w:sz w:val="13"/>
          <w:szCs w:val="13"/>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w:t>
      </w:r>
    </w:p>
    <w:p>
      <w:pPr>
        <w:spacing w:after="0" w:line="1" w:lineRule="exact"/>
        <w:rPr>
          <w:sz w:val="20"/>
          <w:szCs w:val="20"/>
          <w:color w:val="auto"/>
        </w:rPr>
      </w:pPr>
    </w:p>
    <w:p>
      <w:pPr>
        <w:ind w:left="420" w:right="479"/>
        <w:spacing w:after="0" w:line="272" w:lineRule="auto"/>
        <w:rPr>
          <w:sz w:val="20"/>
          <w:szCs w:val="20"/>
          <w:color w:val="auto"/>
        </w:rPr>
      </w:pPr>
      <w:r>
        <w:rPr>
          <w:rFonts w:ascii="Times New Roman" w:cs="Times New Roman" w:eastAsia="Times New Roman" w:hAnsi="Times New Roman"/>
          <w:sz w:val="13"/>
          <w:szCs w:val="13"/>
          <w:color w:val="auto"/>
        </w:rPr>
        <w:t>$1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403" w:right="1440" w:bottom="1440" w:gutter="0" w:footer="0" w:header="0"/>
        </w:sectPr>
      </w:pPr>
    </w:p>
    <w:bookmarkStart w:id="31" w:name="page32"/>
    <w:bookmarkEnd w:id="31"/>
    <w:p>
      <w:pPr>
        <w:ind w:left="420" w:right="1019"/>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85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02805" cy="4585970"/>
                    </a:xfrm>
                    <a:prstGeom prst="rect">
                      <a:avLst/>
                    </a:prstGeom>
                    <a:noFill/>
                  </pic:spPr>
                </pic:pic>
              </a:graphicData>
            </a:graphic>
          </wp:anchor>
        </w:drawing>
        <w:t>investments may generally range in maturity from three to ten years and are made to U.S. and, to a limited extent, non-U.S. corporations, partnerships and other business entities which operate in various industries and geographical regions.</w:t>
      </w:r>
    </w:p>
    <w:p>
      <w:pPr>
        <w:spacing w:after="0" w:line="126" w:lineRule="exact"/>
        <w:rPr>
          <w:sz w:val="20"/>
          <w:szCs w:val="20"/>
          <w:color w:val="auto"/>
        </w:rPr>
      </w:pPr>
    </w:p>
    <w:p>
      <w:pPr>
        <w:ind w:left="420" w:right="499" w:firstLine="327"/>
        <w:spacing w:after="0" w:line="253" w:lineRule="auto"/>
        <w:rPr>
          <w:sz w:val="20"/>
          <w:szCs w:val="20"/>
          <w:color w:val="auto"/>
        </w:rPr>
      </w:pPr>
      <w:r>
        <w:rPr>
          <w:rFonts w:ascii="Times New Roman" w:cs="Times New Roman" w:eastAsia="Times New Roman" w:hAnsi="Times New Roman"/>
          <w:sz w:val="14"/>
          <w:szCs w:val="14"/>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43" w:lineRule="exact"/>
        <w:rPr>
          <w:sz w:val="20"/>
          <w:szCs w:val="20"/>
          <w:color w:val="auto"/>
        </w:rPr>
      </w:pPr>
    </w:p>
    <w:p>
      <w:pPr>
        <w:ind w:left="420" w:right="499" w:firstLine="327"/>
        <w:spacing w:after="0" w:line="257"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Organization and Structure of PennantPark Floating Rate Capital Ltd.</w:t>
      </w:r>
    </w:p>
    <w:p>
      <w:pPr>
        <w:spacing w:after="0" w:line="90" w:lineRule="exact"/>
        <w:rPr>
          <w:sz w:val="20"/>
          <w:szCs w:val="20"/>
          <w:color w:val="auto"/>
        </w:rPr>
      </w:pPr>
    </w:p>
    <w:p>
      <w:pPr>
        <w:ind w:left="420" w:right="619" w:firstLine="327"/>
        <w:spacing w:after="0" w:line="262" w:lineRule="auto"/>
        <w:rPr>
          <w:sz w:val="20"/>
          <w:szCs w:val="20"/>
          <w:color w:val="auto"/>
        </w:rPr>
      </w:pPr>
      <w:r>
        <w:rPr>
          <w:rFonts w:ascii="Times New Roman" w:cs="Times New Roman" w:eastAsia="Times New Roman" w:hAnsi="Times New Roman"/>
          <w:sz w:val="14"/>
          <w:szCs w:val="14"/>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36" w:lineRule="exact"/>
        <w:rPr>
          <w:sz w:val="20"/>
          <w:szCs w:val="20"/>
          <w:color w:val="auto"/>
        </w:rPr>
      </w:pPr>
    </w:p>
    <w:p>
      <w:pPr>
        <w:ind w:left="420" w:right="479" w:firstLine="327"/>
        <w:spacing w:after="0" w:line="257" w:lineRule="auto"/>
        <w:rPr>
          <w:sz w:val="20"/>
          <w:szCs w:val="20"/>
          <w:color w:val="auto"/>
        </w:rPr>
      </w:pPr>
      <w:r>
        <w:rPr>
          <w:rFonts w:ascii="Times New Roman" w:cs="Times New Roman" w:eastAsia="Times New Roman" w:hAnsi="Times New Roman"/>
          <w:sz w:val="14"/>
          <w:szCs w:val="14"/>
          <w:color w:val="auto"/>
        </w:rPr>
        <w:t>Funding I, our wholly owned subsidiary and a special purpose entity, was organized in Delaware as a limited liability company in May 2011. We formed Funding I in order to establish the Prior Credit Facility. On August 12, 2021, we terminated the Prior Credit Facility, and Funding I, as borrower, entered into the Credit Facility, which provides the ability for Funding I to borrow up to $366 million (increased from $300 million in September 2022). The Credit Facility is secured by all of the assets of Funding I.</w:t>
      </w:r>
    </w:p>
    <w:p>
      <w:pPr>
        <w:spacing w:after="0" w:line="140" w:lineRule="exact"/>
        <w:rPr>
          <w:sz w:val="20"/>
          <w:szCs w:val="20"/>
          <w:color w:val="auto"/>
        </w:rPr>
      </w:pPr>
    </w:p>
    <w:p>
      <w:pPr>
        <w:ind w:left="420" w:right="459" w:firstLine="327"/>
        <w:spacing w:after="0" w:line="262" w:lineRule="auto"/>
        <w:rPr>
          <w:sz w:val="20"/>
          <w:szCs w:val="20"/>
          <w:color w:val="auto"/>
        </w:rPr>
      </w:pPr>
      <w:r>
        <w:rPr>
          <w:rFonts w:ascii="Times New Roman" w:cs="Times New Roman" w:eastAsia="Times New Roman" w:hAnsi="Times New Roman"/>
          <w:sz w:val="14"/>
          <w:szCs w:val="14"/>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36" w:lineRule="exact"/>
        <w:rPr>
          <w:sz w:val="20"/>
          <w:szCs w:val="20"/>
          <w:color w:val="auto"/>
        </w:rPr>
      </w:pPr>
    </w:p>
    <w:p>
      <w:pPr>
        <w:ind w:left="420" w:right="459" w:firstLine="327"/>
        <w:spacing w:after="0" w:line="277" w:lineRule="auto"/>
        <w:rPr>
          <w:sz w:val="20"/>
          <w:szCs w:val="20"/>
          <w:color w:val="auto"/>
        </w:rPr>
      </w:pPr>
      <w:r>
        <w:rPr>
          <w:rFonts w:ascii="Times New Roman" w:cs="Times New Roman" w:eastAsia="Times New Roman" w:hAnsi="Times New Roman"/>
          <w:sz w:val="14"/>
          <w:szCs w:val="14"/>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Our Investment Adviser and Administrator</w:t>
      </w:r>
    </w:p>
    <w:p>
      <w:pPr>
        <w:spacing w:after="0" w:line="90" w:lineRule="exact"/>
        <w:rPr>
          <w:sz w:val="20"/>
          <w:szCs w:val="20"/>
          <w:color w:val="auto"/>
        </w:rPr>
      </w:pPr>
    </w:p>
    <w:p>
      <w:pPr>
        <w:ind w:left="420" w:right="519" w:firstLine="327"/>
        <w:spacing w:after="0" w:line="253" w:lineRule="auto"/>
        <w:rPr>
          <w:sz w:val="20"/>
          <w:szCs w:val="20"/>
          <w:color w:val="auto"/>
        </w:rPr>
      </w:pPr>
      <w:r>
        <w:rPr>
          <w:rFonts w:ascii="Times New Roman" w:cs="Times New Roman" w:eastAsia="Times New Roman" w:hAnsi="Times New Roman"/>
          <w:sz w:val="14"/>
          <w:szCs w:val="14"/>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405" w:right="1440" w:bottom="1440" w:gutter="0" w:footer="0" w:header="0"/>
        </w:sectPr>
      </w:pPr>
    </w:p>
    <w:bookmarkStart w:id="32" w:name="page33"/>
    <w:bookmarkEnd w:id="32"/>
    <w:p>
      <w:pPr>
        <w:ind w:left="420" w:right="57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6716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02805" cy="4671695"/>
                    </a:xfrm>
                    <a:prstGeom prst="rect">
                      <a:avLst/>
                    </a:prstGeom>
                    <a:noFill/>
                  </pic:spPr>
                </pic:pic>
              </a:graphicData>
            </a:graphic>
          </wp:anchor>
        </w:drawing>
        <w:t>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$17.1 billion in 628 companies with more than 200 different financial sponsors through its managed funds, which includes investments by the Company totaling $5.0 billion in 451 companies.</w:t>
      </w:r>
    </w:p>
    <w:p>
      <w:pPr>
        <w:spacing w:after="0" w:line="144" w:lineRule="exact"/>
        <w:rPr>
          <w:sz w:val="20"/>
          <w:szCs w:val="20"/>
          <w:color w:val="auto"/>
        </w:rPr>
      </w:pPr>
    </w:p>
    <w:p>
      <w:pPr>
        <w:ind w:left="420" w:right="439" w:firstLine="327"/>
        <w:spacing w:after="0" w:line="251" w:lineRule="auto"/>
        <w:rPr>
          <w:sz w:val="20"/>
          <w:szCs w:val="20"/>
          <w:color w:val="auto"/>
        </w:rPr>
      </w:pPr>
      <w:r>
        <w:rPr>
          <w:rFonts w:ascii="Times New Roman" w:cs="Times New Roman" w:eastAsia="Times New Roman" w:hAnsi="Times New Roman"/>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90" w:lineRule="exact"/>
        <w:rPr>
          <w:sz w:val="20"/>
          <w:szCs w:val="20"/>
          <w:color w:val="auto"/>
        </w:rPr>
      </w:pPr>
    </w:p>
    <w:p>
      <w:pPr>
        <w:ind w:left="420" w:right="539" w:firstLine="327"/>
        <w:spacing w:after="0" w:line="277" w:lineRule="auto"/>
        <w:rPr>
          <w:sz w:val="20"/>
          <w:szCs w:val="20"/>
          <w:color w:val="auto"/>
        </w:rPr>
      </w:pPr>
      <w:r>
        <w:rPr>
          <w:rFonts w:ascii="Times New Roman" w:cs="Times New Roman" w:eastAsia="Times New Roman" w:hAnsi="Times New Roman"/>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52" w:lineRule="exact"/>
        <w:rPr>
          <w:sz w:val="20"/>
          <w:szCs w:val="20"/>
          <w:color w:val="auto"/>
        </w:rPr>
      </w:pPr>
    </w:p>
    <w:p>
      <w:pPr>
        <w:ind w:left="720" w:right="479" w:hanging="234"/>
        <w:spacing w:after="0" w:line="263" w:lineRule="auto"/>
        <w:tabs>
          <w:tab w:leader="none" w:pos="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middle-market companies have faced difficulty raising debt in private markets. </w:t>
      </w:r>
      <w:r>
        <w:rPr>
          <w:rFonts w:ascii="Times New Roman" w:cs="Times New Roman" w:eastAsia="Times New Roman" w:hAnsi="Times New Roman"/>
          <w:sz w:val="14"/>
          <w:szCs w:val="14"/>
          <w:color w:val="auto"/>
        </w:rPr>
        <w:t>From time to time, banks, finance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companies, hedge funds and collateralized loan obligation, or CLO, funds have withdrawn, and may again withdraw, capital from the middle-market, resulting in opportunities for alternative funding sources.</w:t>
      </w:r>
    </w:p>
    <w:p>
      <w:pPr>
        <w:spacing w:after="0" w:line="61" w:lineRule="exact"/>
        <w:rPr>
          <w:rFonts w:ascii="Times New Roman" w:cs="Times New Roman" w:eastAsia="Times New Roman" w:hAnsi="Times New Roman"/>
          <w:sz w:val="14"/>
          <w:szCs w:val="14"/>
          <w:color w:val="auto"/>
        </w:rPr>
      </w:pPr>
    </w:p>
    <w:p>
      <w:pPr>
        <w:jc w:val="both"/>
        <w:ind w:left="720" w:right="439" w:hanging="234"/>
        <w:spacing w:after="0" w:line="258" w:lineRule="auto"/>
        <w:tabs>
          <w:tab w:leader="none" w:pos="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middle-market companies have faced difficulty in raising debt through the capital markets. </w:t>
      </w:r>
      <w:r>
        <w:rPr>
          <w:rFonts w:ascii="Times New Roman" w:cs="Times New Roman" w:eastAsia="Times New Roman" w:hAnsi="Times New Roman"/>
          <w:sz w:val="14"/>
          <w:szCs w:val="14"/>
          <w:color w:val="auto"/>
        </w:rPr>
        <w:t>Many middle-market companies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64" w:lineRule="exact"/>
        <w:rPr>
          <w:rFonts w:ascii="Times New Roman" w:cs="Times New Roman" w:eastAsia="Times New Roman" w:hAnsi="Times New Roman"/>
          <w:sz w:val="14"/>
          <w:szCs w:val="14"/>
          <w:color w:val="auto"/>
        </w:rPr>
      </w:pPr>
    </w:p>
    <w:p>
      <w:pPr>
        <w:jc w:val="both"/>
        <w:ind w:left="720" w:right="619" w:hanging="234"/>
        <w:spacing w:after="0" w:line="263" w:lineRule="auto"/>
        <w:tabs>
          <w:tab w:leader="none" w:pos="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that credit market dislocation for middle-market companies improves the risk-reward on our investments. </w:t>
      </w:r>
      <w:r>
        <w:rPr>
          <w:rFonts w:ascii="Times New Roman" w:cs="Times New Roman" w:eastAsia="Times New Roman" w:hAnsi="Times New Roman"/>
          <w:sz w:val="14"/>
          <w:szCs w:val="14"/>
          <w:color w:val="auto"/>
        </w:rPr>
        <w:t>From time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61" w:lineRule="exact"/>
        <w:rPr>
          <w:rFonts w:ascii="Times New Roman" w:cs="Times New Roman" w:eastAsia="Times New Roman" w:hAnsi="Times New Roman"/>
          <w:sz w:val="14"/>
          <w:szCs w:val="14"/>
          <w:color w:val="auto"/>
        </w:rPr>
      </w:pPr>
    </w:p>
    <w:p>
      <w:pPr>
        <w:ind w:left="720" w:right="439" w:hanging="234"/>
        <w:spacing w:after="0" w:line="258" w:lineRule="auto"/>
        <w:tabs>
          <w:tab w:leader="none" w:pos="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Times New Roman" w:cs="Times New Roman" w:eastAsia="Times New Roman" w:hAnsi="Times New Roman"/>
          <w:sz w:val="14"/>
          <w:szCs w:val="14"/>
          <w:color w:val="auto"/>
        </w:rPr>
        <w:t>We expect that private equity firms will continue to be active investors in middle-market companies. These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private equity funds generally seek to leverage their investments by combining their capital with loans provided by other sources, and we believe that we are well-positioned to partner with such equity investors.</w:t>
      </w:r>
    </w:p>
    <w:p>
      <w:pPr>
        <w:spacing w:after="0" w:line="64" w:lineRule="exact"/>
        <w:rPr>
          <w:rFonts w:ascii="Times New Roman" w:cs="Times New Roman" w:eastAsia="Times New Roman" w:hAnsi="Times New Roman"/>
          <w:sz w:val="14"/>
          <w:szCs w:val="14"/>
          <w:color w:val="auto"/>
        </w:rPr>
      </w:pPr>
    </w:p>
    <w:p>
      <w:pPr>
        <w:ind w:left="720" w:right="499" w:hanging="234"/>
        <w:spacing w:after="0" w:line="253" w:lineRule="auto"/>
        <w:tabs>
          <w:tab w:leader="none" w:pos="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there is substantial supply of opportunities resulting from maturing loans that seek refinancing. </w:t>
      </w:r>
      <w:r>
        <w:rPr>
          <w:rFonts w:ascii="Times New Roman" w:cs="Times New Roman" w:eastAsia="Times New Roman" w:hAnsi="Times New Roman"/>
          <w:sz w:val="14"/>
          <w:szCs w:val="14"/>
          <w:color w:val="auto"/>
        </w:rPr>
        <w:t>A high volume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405" w:right="1440" w:bottom="1440" w:gutter="0" w:footer="0" w:header="0"/>
        </w:sectPr>
      </w:pPr>
    </w:p>
    <w:bookmarkStart w:id="33" w:name="page34"/>
    <w:bookmarkEnd w:id="33"/>
    <w:p>
      <w:pPr>
        <w:ind w:left="4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7440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02805" cy="4744085"/>
                    </a:xfrm>
                    <a:prstGeom prst="rect">
                      <a:avLst/>
                    </a:prstGeom>
                    <a:noFill/>
                  </pic:spPr>
                </pic:pic>
              </a:graphicData>
            </a:graphic>
          </wp:anchor>
        </w:drawing>
        <w:t>Use of Proceeds</w:t>
      </w:r>
    </w:p>
    <w:p>
      <w:pPr>
        <w:spacing w:after="0" w:line="90" w:lineRule="exact"/>
        <w:rPr>
          <w:sz w:val="20"/>
          <w:szCs w:val="20"/>
          <w:color w:val="auto"/>
        </w:rPr>
      </w:pPr>
    </w:p>
    <w:p>
      <w:pPr>
        <w:ind w:left="420" w:right="599" w:firstLine="327"/>
        <w:spacing w:after="0" w:line="257" w:lineRule="auto"/>
        <w:rPr>
          <w:sz w:val="20"/>
          <w:szCs w:val="20"/>
          <w:color w:val="auto"/>
        </w:rPr>
      </w:pPr>
      <w:r>
        <w:rPr>
          <w:rFonts w:ascii="Times New Roman" w:cs="Times New Roman" w:eastAsia="Times New Roman" w:hAnsi="Times New Roman"/>
          <w:sz w:val="14"/>
          <w:szCs w:val="14"/>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Distributions on Common Stock</w:t>
      </w:r>
    </w:p>
    <w:p>
      <w:pPr>
        <w:spacing w:after="0" w:line="90" w:lineRule="exact"/>
        <w:rPr>
          <w:sz w:val="20"/>
          <w:szCs w:val="20"/>
          <w:color w:val="auto"/>
        </w:rPr>
      </w:pPr>
    </w:p>
    <w:p>
      <w:pPr>
        <w:ind w:left="420" w:right="859" w:firstLine="327"/>
        <w:spacing w:after="0" w:line="277" w:lineRule="auto"/>
        <w:rPr>
          <w:sz w:val="20"/>
          <w:szCs w:val="20"/>
          <w:color w:val="auto"/>
        </w:rPr>
      </w:pPr>
      <w:r>
        <w:rPr>
          <w:rFonts w:ascii="Times New Roman" w:cs="Times New Roman" w:eastAsia="Times New Roman" w:hAnsi="Times New Roman"/>
          <w:sz w:val="14"/>
          <w:szCs w:val="14"/>
          <w:color w:val="auto"/>
        </w:rPr>
        <w:t>We intend to continue our monthly distributions to our stockholders. Our monthly distributions, if any, are determined by our board of directors. Distributions may include a return of capital. See “Distributions” for more information.</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Dividends on Preferred Stock</w:t>
      </w:r>
    </w:p>
    <w:p>
      <w:pPr>
        <w:spacing w:after="0" w:line="90" w:lineRule="exact"/>
        <w:rPr>
          <w:sz w:val="20"/>
          <w:szCs w:val="20"/>
          <w:color w:val="auto"/>
        </w:rPr>
      </w:pPr>
    </w:p>
    <w:p>
      <w:pPr>
        <w:ind w:left="420" w:right="419" w:firstLine="327"/>
        <w:spacing w:after="0" w:line="279" w:lineRule="auto"/>
        <w:rPr>
          <w:sz w:val="20"/>
          <w:szCs w:val="20"/>
          <w:color w:val="auto"/>
        </w:rPr>
      </w:pPr>
      <w:r>
        <w:rPr>
          <w:rFonts w:ascii="Times New Roman" w:cs="Times New Roman" w:eastAsia="Times New Roman" w:hAnsi="Times New Roman"/>
          <w:sz w:val="13"/>
          <w:szCs w:val="13"/>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90" w:lineRule="exact"/>
        <w:rPr>
          <w:sz w:val="20"/>
          <w:szCs w:val="20"/>
          <w:color w:val="auto"/>
        </w:rPr>
      </w:pPr>
    </w:p>
    <w:p>
      <w:pPr>
        <w:ind w:left="420" w:right="659" w:firstLine="327"/>
        <w:spacing w:after="0" w:line="277" w:lineRule="auto"/>
        <w:rPr>
          <w:sz w:val="20"/>
          <w:szCs w:val="20"/>
          <w:color w:val="auto"/>
        </w:rPr>
      </w:pPr>
      <w:r>
        <w:rPr>
          <w:rFonts w:ascii="Times New Roman" w:cs="Times New Roman" w:eastAsia="Times New Roman" w:hAnsi="Times New Roman"/>
          <w:sz w:val="14"/>
          <w:szCs w:val="14"/>
          <w:color w:val="auto"/>
        </w:rPr>
        <w:t>We may offer, from time to time, up to $500,000,000 of our securities, on terms to be determined at the time of each such offering and set forth in a supplement to this prospectus.</w:t>
      </w:r>
    </w:p>
    <w:p>
      <w:pPr>
        <w:spacing w:after="0" w:line="126" w:lineRule="exact"/>
        <w:rPr>
          <w:sz w:val="20"/>
          <w:szCs w:val="20"/>
          <w:color w:val="auto"/>
        </w:rPr>
      </w:pPr>
    </w:p>
    <w:p>
      <w:pPr>
        <w:ind w:left="420" w:right="439" w:firstLine="327"/>
        <w:spacing w:after="0" w:line="251" w:lineRule="auto"/>
        <w:rPr>
          <w:sz w:val="20"/>
          <w:szCs w:val="20"/>
          <w:color w:val="auto"/>
        </w:rPr>
      </w:pPr>
      <w:r>
        <w:rPr>
          <w:rFonts w:ascii="Times New Roman" w:cs="Times New Roman" w:eastAsia="Times New Roman" w:hAnsi="Times New Roman"/>
          <w:sz w:val="14"/>
          <w:szCs w:val="14"/>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46" w:lineRule="exact"/>
        <w:rPr>
          <w:sz w:val="20"/>
          <w:szCs w:val="20"/>
          <w:color w:val="auto"/>
        </w:rPr>
      </w:pPr>
    </w:p>
    <w:p>
      <w:pPr>
        <w:ind w:left="420" w:right="799" w:firstLine="327"/>
        <w:spacing w:after="0" w:line="277" w:lineRule="auto"/>
        <w:rPr>
          <w:sz w:val="20"/>
          <w:szCs w:val="20"/>
          <w:color w:val="auto"/>
        </w:rPr>
      </w:pPr>
      <w:r>
        <w:rPr>
          <w:rFonts w:ascii="Times New Roman" w:cs="Times New Roman" w:eastAsia="Times New Roman" w:hAnsi="Times New Roman"/>
          <w:sz w:val="14"/>
          <w:szCs w:val="14"/>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Risks Associated with Our Business</w:t>
      </w:r>
    </w:p>
    <w:p>
      <w:pPr>
        <w:spacing w:after="0" w:line="90" w:lineRule="exact"/>
        <w:rPr>
          <w:sz w:val="20"/>
          <w:szCs w:val="20"/>
          <w:color w:val="auto"/>
        </w:rPr>
      </w:pPr>
    </w:p>
    <w:p>
      <w:pPr>
        <w:ind w:left="420" w:right="419" w:firstLine="327"/>
        <w:spacing w:after="0" w:line="283" w:lineRule="auto"/>
        <w:rPr>
          <w:sz w:val="20"/>
          <w:szCs w:val="20"/>
          <w:color w:val="auto"/>
        </w:rPr>
      </w:pPr>
      <w:r>
        <w:rPr>
          <w:rFonts w:ascii="Times New Roman" w:cs="Times New Roman" w:eastAsia="Times New Roman" w:hAnsi="Times New Roman"/>
          <w:sz w:val="13"/>
          <w:szCs w:val="13"/>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403" w:right="1440" w:bottom="1440" w:gutter="0" w:footer="0" w:header="0"/>
        </w:sectPr>
      </w:pPr>
    </w:p>
    <w:bookmarkStart w:id="34" w:name="page35"/>
    <w:bookmarkEnd w:id="34"/>
    <w:p>
      <w:pPr>
        <w:ind w:left="4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8458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02805" cy="845820"/>
                    </a:xfrm>
                    <a:prstGeom prst="rect">
                      <a:avLst/>
                    </a:prstGeom>
                    <a:noFill/>
                  </pic:spPr>
                </pic:pic>
              </a:graphicData>
            </a:graphic>
          </wp:anchor>
        </w:drawing>
        <w:t>Our Corporate Information</w:t>
      </w:r>
    </w:p>
    <w:p>
      <w:pPr>
        <w:spacing w:after="0" w:line="90" w:lineRule="exact"/>
        <w:rPr>
          <w:sz w:val="20"/>
          <w:szCs w:val="20"/>
          <w:color w:val="auto"/>
        </w:rPr>
      </w:pPr>
    </w:p>
    <w:p>
      <w:pPr>
        <w:ind w:left="420" w:right="539" w:firstLine="327"/>
        <w:spacing w:after="0" w:line="257" w:lineRule="auto"/>
        <w:rPr>
          <w:sz w:val="20"/>
          <w:szCs w:val="20"/>
          <w:color w:val="auto"/>
        </w:rPr>
      </w:pPr>
      <w:r>
        <w:rPr>
          <w:rFonts w:ascii="Times New Roman" w:cs="Times New Roman" w:eastAsia="Times New Roman" w:hAnsi="Times New Roman"/>
          <w:sz w:val="14"/>
          <w:szCs w:val="14"/>
          <w:color w:val="auto"/>
        </w:rPr>
        <w:t xml:space="preserve">Our administrative and principal executive offices are located at 1691 Michigan Avenue, Miami, Florida 33139. Our phone number is (212) 905-1000, and our internet website address is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403"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FEES AND EXPENSES</w:t>
      </w:r>
    </w:p>
    <w:p>
      <w:pPr>
        <w:spacing w:after="0" w:line="173" w:lineRule="exact"/>
        <w:rPr>
          <w:sz w:val="20"/>
          <w:szCs w:val="20"/>
          <w:color w:val="auto"/>
        </w:rPr>
      </w:pPr>
    </w:p>
    <w:p>
      <w:pPr>
        <w:ind w:left="280" w:right="339" w:firstLine="338"/>
        <w:spacing w:after="0" w:line="291" w:lineRule="auto"/>
        <w:rPr>
          <w:sz w:val="20"/>
          <w:szCs w:val="20"/>
          <w:color w:val="auto"/>
        </w:rPr>
      </w:pPr>
      <w:r>
        <w:rPr>
          <w:rFonts w:ascii="Times New Roman" w:cs="Times New Roman" w:eastAsia="Times New Roman" w:hAnsi="Times New Roman"/>
          <w:sz w:val="13"/>
          <w:szCs w:val="13"/>
          <w:color w:val="auto"/>
        </w:rPr>
        <w:t>Information about the various costs and expenses that an investor in shares of our common stock will bear directly or indirectly is located in “Part II, Item 5 – Market for Registrant’s Common Equity, Related Stockholder Matters and Issuer Purchases of Equity Securities – Fees and Expenses” in our most recent Annual Report on Form 10-K and is incorporated by reference into the registration statement of which this prospectus is a part.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58"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02805" cy="45720"/>
                    </a:xfrm>
                    <a:prstGeom prst="rect">
                      <a:avLst/>
                    </a:prstGeom>
                    <a:noFill/>
                  </pic:spPr>
                </pic:pic>
              </a:graphicData>
            </a:graphic>
          </wp:anchor>
        </w:drawing>
        <w:t>FINANCIAL HIGHLIGHTS</w:t>
      </w:r>
    </w:p>
    <w:p>
      <w:pPr>
        <w:spacing w:after="0" w:line="173" w:lineRule="exact"/>
        <w:rPr>
          <w:sz w:val="20"/>
          <w:szCs w:val="20"/>
          <w:color w:val="auto"/>
        </w:rPr>
      </w:pPr>
    </w:p>
    <w:p>
      <w:pPr>
        <w:ind w:left="280" w:right="319" w:firstLine="338"/>
        <w:spacing w:after="0" w:line="283" w:lineRule="auto"/>
        <w:rPr>
          <w:sz w:val="20"/>
          <w:szCs w:val="20"/>
          <w:color w:val="auto"/>
        </w:rPr>
      </w:pPr>
      <w:r>
        <w:rPr>
          <w:rFonts w:ascii="Times New Roman" w:cs="Times New Roman" w:eastAsia="Times New Roman" w:hAnsi="Times New Roman"/>
          <w:sz w:val="13"/>
          <w:szCs w:val="13"/>
          <w:color w:val="auto"/>
        </w:rPr>
        <w:t>The financial data set forth in the following table as of and for the years ended September 30, 2022, 2021, 2020, 2019, 2018, 2017, 2016, 2015, 2014 and 2013 are derived from our consolidated financial statements, which have been audited by an independent registered public accounting firm for those periods. This financial data should be read in conjunction with our Consolidated Financial Statements and related notes thereto and “Management’s Discussion and Analysis of Financial Condition and Results of Operations” included in our most recent Annual Report on Form 10-K.</w:t>
      </w:r>
    </w:p>
    <w:p>
      <w:pPr>
        <w:spacing w:after="0" w:line="141" w:lineRule="exact"/>
        <w:rPr>
          <w:sz w:val="20"/>
          <w:szCs w:val="20"/>
          <w:color w:val="auto"/>
        </w:rPr>
      </w:pPr>
    </w:p>
    <w:tbl>
      <w:tblPr>
        <w:tblLayout w:type="fixed"/>
        <w:tblInd w:w="28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2019</w:t>
            </w: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2018</w:t>
            </w:r>
          </w:p>
        </w:tc>
        <w:tc>
          <w:tcPr>
            <w:tcW w:w="1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2017</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2016</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2015</w:t>
            </w:r>
          </w:p>
        </w:tc>
        <w:tc>
          <w:tcPr>
            <w:tcW w:w="1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rPr>
              <w:t>2014</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rPr>
              <w:t>2013 (7)</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2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Per Share Data:</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Net asset value,</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beginning of</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period</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12.62</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12.31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12.97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13.82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14.10</w:t>
            </w:r>
          </w:p>
        </w:tc>
        <w:tc>
          <w:tcPr>
            <w:tcW w:w="16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14.06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13.95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14.40</w:t>
            </w:r>
          </w:p>
        </w:tc>
        <w:tc>
          <w:tcPr>
            <w:tcW w:w="180" w:type="dxa"/>
            <w:vAlign w:val="bottom"/>
          </w:tcPr>
          <w:p>
            <w:pPr>
              <w:spacing w:after="0"/>
              <w:rPr>
                <w:sz w:val="11"/>
                <w:szCs w:val="11"/>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14.10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13.98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Net investment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income (1)</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1.12</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1.17</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0.81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1.02</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Net realized and</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unrealized (loss)</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gain (1)</w:t>
            </w:r>
          </w:p>
        </w:tc>
        <w:tc>
          <w:tcPr>
            <w:tcW w:w="6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0.44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(0.65)</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(0.88)</w:t>
            </w:r>
          </w:p>
        </w:tc>
        <w:tc>
          <w:tcPr>
            <w:tcW w:w="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0.10</w:t>
            </w: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0.23</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0.26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0.15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Net increase in net</w:t>
            </w: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assets resulting</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from operations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0.08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0.47</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0.29</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0.87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1.20</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1.25</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0.77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1.38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Distributions to</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w w:val="99"/>
              </w:rPr>
              <w:t>stockholders (1),</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(2)</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ind w:left="200"/>
              <w:spacing w:after="0" w:line="111" w:lineRule="exact"/>
              <w:rPr>
                <w:sz w:val="20"/>
                <w:szCs w:val="20"/>
                <w:color w:val="auto"/>
              </w:rPr>
            </w:pPr>
            <w:r>
              <w:rPr>
                <w:rFonts w:ascii="Times New Roman" w:cs="Times New Roman" w:eastAsia="Times New Roman" w:hAnsi="Times New Roman"/>
                <w:sz w:val="12"/>
                <w:szCs w:val="12"/>
                <w:color w:val="auto"/>
              </w:rPr>
              <w:t>Distribution</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320"/>
              <w:spacing w:after="0" w:line="125" w:lineRule="exact"/>
              <w:rPr>
                <w:sz w:val="20"/>
                <w:szCs w:val="20"/>
                <w:color w:val="auto"/>
              </w:rPr>
            </w:pPr>
            <w:r>
              <w:rPr>
                <w:rFonts w:ascii="Times New Roman" w:cs="Times New Roman" w:eastAsia="Times New Roman" w:hAnsi="Times New Roman"/>
                <w:sz w:val="12"/>
                <w:szCs w:val="12"/>
                <w:color w:val="auto"/>
              </w:rPr>
              <w:t>of net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320"/>
              <w:spacing w:after="0" w:line="125" w:lineRule="exact"/>
              <w:rPr>
                <w:sz w:val="20"/>
                <w:szCs w:val="20"/>
                <w:color w:val="auto"/>
              </w:rPr>
            </w:pPr>
            <w:r>
              <w:rPr>
                <w:rFonts w:ascii="Times New Roman" w:cs="Times New Roman" w:eastAsia="Times New Roman" w:hAnsi="Times New Roman"/>
                <w:sz w:val="12"/>
                <w:szCs w:val="12"/>
                <w:color w:val="auto"/>
              </w:rPr>
              <w:t>investment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income</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(1.15)</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(1.13)</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(0.98)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(0.84)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(0.95)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ind w:left="200"/>
              <w:spacing w:after="0" w:line="111" w:lineRule="exact"/>
              <w:rPr>
                <w:sz w:val="20"/>
                <w:szCs w:val="20"/>
                <w:color w:val="auto"/>
              </w:rPr>
            </w:pPr>
            <w:r>
              <w:rPr>
                <w:rFonts w:ascii="Times New Roman" w:cs="Times New Roman" w:eastAsia="Times New Roman" w:hAnsi="Times New Roman"/>
                <w:sz w:val="12"/>
                <w:szCs w:val="12"/>
                <w:color w:val="auto"/>
              </w:rPr>
              <w:t>Distribution</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auto"/>
              </w:rPr>
              <w:t>of realized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gains</w:t>
            </w:r>
          </w:p>
        </w:tc>
        <w:tc>
          <w:tcPr>
            <w:tcW w:w="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(0.11)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(0.01)</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(0.24)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(0.10)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Total distributions</w:t>
            </w: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to stockholders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(1.15)</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12"/>
        </w:trPr>
        <w:tc>
          <w:tcPr>
            <w:tcW w:w="940" w:type="dxa"/>
            <w:vAlign w:val="bottom"/>
            <w:gridSpan w:val="2"/>
          </w:tcPr>
          <w:p>
            <w:pPr>
              <w:spacing w:after="0" w:line="113" w:lineRule="exact"/>
              <w:rPr>
                <w:sz w:val="20"/>
                <w:szCs w:val="20"/>
                <w:color w:val="auto"/>
              </w:rPr>
            </w:pPr>
            <w:r>
              <w:rPr>
                <w:rFonts w:ascii="Times New Roman" w:cs="Times New Roman" w:eastAsia="Times New Roman" w:hAnsi="Times New Roman"/>
                <w:sz w:val="12"/>
                <w:szCs w:val="12"/>
                <w:color w:val="auto"/>
                <w:w w:val="97"/>
              </w:rPr>
              <w:t>Accretive (dilutive)</w:t>
            </w: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effect of</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common stock</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issuance and</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acquisition of</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MCG (1)</w:t>
            </w:r>
          </w:p>
        </w:tc>
        <w:tc>
          <w:tcPr>
            <w:tcW w:w="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0.06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(0.01)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(0.01)</w:t>
            </w:r>
          </w:p>
        </w:tc>
        <w:tc>
          <w:tcPr>
            <w:tcW w:w="6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(0.08)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Net asset value,</w:t>
            </w: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end of period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11.62</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12.62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12.31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12.97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13.82</w:t>
            </w:r>
          </w:p>
        </w:tc>
        <w:tc>
          <w:tcPr>
            <w:tcW w:w="1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14.10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14.06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13.95</w:t>
            </w:r>
          </w:p>
        </w:tc>
        <w:tc>
          <w:tcPr>
            <w:tcW w:w="18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14.40</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14.10</w:t>
            </w:r>
          </w:p>
        </w:tc>
        <w:tc>
          <w:tcPr>
            <w:tcW w:w="0" w:type="dxa"/>
            <w:vAlign w:val="bottom"/>
          </w:tcPr>
          <w:p>
            <w:pPr>
              <w:spacing w:after="0"/>
              <w:rPr>
                <w:sz w:val="1"/>
                <w:szCs w:val="1"/>
                <w:color w:val="auto"/>
              </w:rPr>
            </w:pPr>
          </w:p>
        </w:tc>
      </w:tr>
      <w:tr>
        <w:trPr>
          <w:trHeight w:val="20"/>
        </w:trPr>
        <w:tc>
          <w:tcPr>
            <w:tcW w:w="940" w:type="dxa"/>
            <w:vAlign w:val="bottom"/>
            <w:gridSpan w:val="2"/>
            <w:vMerge w:val="restart"/>
          </w:tcPr>
          <w:p>
            <w:pPr>
              <w:spacing w:after="0" w:line="133" w:lineRule="exact"/>
              <w:rPr>
                <w:sz w:val="20"/>
                <w:szCs w:val="20"/>
                <w:color w:val="auto"/>
              </w:rPr>
            </w:pPr>
            <w:r>
              <w:rPr>
                <w:rFonts w:ascii="Times New Roman" w:cs="Times New Roman" w:eastAsia="Times New Roman" w:hAnsi="Times New Roman"/>
                <w:sz w:val="12"/>
                <w:szCs w:val="12"/>
                <w:color w:val="auto"/>
              </w:rPr>
              <w:t>Per share market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9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value, end of</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period</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9.60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12.79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8.44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11.60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13.15</w:t>
            </w:r>
          </w:p>
        </w:tc>
        <w:tc>
          <w:tcPr>
            <w:tcW w:w="16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14.48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13.23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11.94</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13.78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9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Total return(3)</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2"/>
                <w:szCs w:val="12"/>
                <w:color w:val="auto"/>
              </w:rPr>
              <w:t>(17.76)%</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20"/>
              <w:spacing w:after="0" w:line="106" w:lineRule="exact"/>
              <w:rPr>
                <w:sz w:val="20"/>
                <w:szCs w:val="20"/>
                <w:color w:val="auto"/>
              </w:rPr>
            </w:pPr>
            <w:r>
              <w:rPr>
                <w:rFonts w:ascii="Times New Roman" w:cs="Times New Roman" w:eastAsia="Times New Roman" w:hAnsi="Times New Roman"/>
                <w:sz w:val="12"/>
                <w:szCs w:val="12"/>
                <w:color w:val="auto"/>
              </w:rPr>
              <w:t>66.47%</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2"/>
                <w:szCs w:val="12"/>
                <w:color w:val="auto"/>
              </w:rPr>
              <w:t>(17.15)%</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2"/>
                <w:szCs w:val="12"/>
                <w:color w:val="auto"/>
              </w:rPr>
              <w:t>(3.20)%</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2"/>
                <w:szCs w:val="12"/>
                <w:color w:val="auto"/>
              </w:rPr>
              <w:t>(1.29)%</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2"/>
                <w:szCs w:val="12"/>
                <w:color w:val="auto"/>
              </w:rPr>
              <w:t>18.71%</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2"/>
                <w:szCs w:val="12"/>
                <w:color w:val="auto"/>
              </w:rPr>
              <w:t>21.77%</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2"/>
                <w:szCs w:val="12"/>
                <w:color w:val="auto"/>
              </w:rPr>
              <w:t>(6.01)%</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2"/>
                <w:szCs w:val="12"/>
                <w:color w:val="auto"/>
              </w:rPr>
              <w:t>8.05%</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2"/>
                <w:szCs w:val="12"/>
                <w:color w:val="auto"/>
              </w:rPr>
              <w:t>17.17%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w w:val="98"/>
              </w:rPr>
              <w:t>Shares outstanding</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at end of period</w:t>
            </w:r>
          </w:p>
        </w:tc>
        <w:tc>
          <w:tcPr>
            <w:tcW w:w="6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6"/>
              </w:rPr>
              <w:t>45,345,638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w w:val="96"/>
              </w:rPr>
              <w:t>38,880,728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6"/>
              </w:rPr>
              <w:t>38,772,074</w:t>
            </w:r>
          </w:p>
        </w:tc>
        <w:tc>
          <w:tcPr>
            <w:tcW w:w="60" w:type="dxa"/>
            <w:vAlign w:val="bottom"/>
          </w:tcPr>
          <w:p>
            <w:pPr>
              <w:spacing w:after="0"/>
              <w:rPr>
                <w:sz w:val="11"/>
                <w:szCs w:val="1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6"/>
              </w:rPr>
              <w:t>38,772,074</w:t>
            </w:r>
          </w:p>
        </w:tc>
        <w:tc>
          <w:tcPr>
            <w:tcW w:w="6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6"/>
              </w:rPr>
              <w:t>38,772,074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2"/>
              </w:rPr>
              <w:t>32,480,074</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2"/>
              </w:rPr>
              <w:t>26,730,074</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2"/>
              </w:rPr>
              <w:t>26,730,074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2"/>
              </w:rPr>
              <w:t>14,898,056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6"/>
              </w:rPr>
              <w:t>14,898,056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0" w:type="dxa"/>
            <w:vAlign w:val="bottom"/>
          </w:tcPr>
          <w:p>
            <w:pPr>
              <w:spacing w:after="0"/>
              <w:rPr>
                <w:sz w:val="7"/>
                <w:szCs w:val="7"/>
                <w:color w:val="auto"/>
              </w:rPr>
            </w:pPr>
          </w:p>
        </w:tc>
        <w:tc>
          <w:tcPr>
            <w:tcW w:w="92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b w:val="1"/>
                <w:bCs w:val="1"/>
                <w:color w:val="auto"/>
              </w:rPr>
              <w:t>Ratios/</w:t>
            </w: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b w:val="1"/>
                <w:bCs w:val="1"/>
                <w:color w:val="auto"/>
              </w:rPr>
              <w:t>Supplemental</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Data:</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Ratio of operating</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expenses to</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average net</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assets (4)</w:t>
            </w:r>
          </w:p>
        </w:tc>
        <w:tc>
          <w:tcPr>
            <w:tcW w:w="6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3.77%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5.19%</w:t>
            </w:r>
          </w:p>
        </w:tc>
        <w:tc>
          <w:tcPr>
            <w:tcW w:w="6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3.94%</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4.13%</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3.56%</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4.45%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4.43%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Ratio of debt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related expenses</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to average net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assets (5)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5.85%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5.63%</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5.21%</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4.73%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1.98%</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1.58%</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1.66%</w:t>
            </w:r>
          </w:p>
        </w:tc>
        <w:tc>
          <w:tcPr>
            <w:tcW w:w="0" w:type="dxa"/>
            <w:vAlign w:val="bottom"/>
          </w:tcPr>
          <w:p>
            <w:pPr>
              <w:spacing w:after="0"/>
              <w:rPr>
                <w:sz w:val="1"/>
                <w:szCs w:val="1"/>
                <w:color w:val="auto"/>
              </w:rPr>
            </w:pPr>
          </w:p>
        </w:tc>
      </w:tr>
      <w:tr>
        <w:trPr>
          <w:trHeight w:val="112"/>
        </w:trPr>
        <w:tc>
          <w:tcPr>
            <w:tcW w:w="940" w:type="dxa"/>
            <w:vAlign w:val="bottom"/>
            <w:gridSpan w:val="2"/>
          </w:tcPr>
          <w:p>
            <w:pPr>
              <w:spacing w:after="0" w:line="113" w:lineRule="exact"/>
              <w:rPr>
                <w:sz w:val="20"/>
                <w:szCs w:val="20"/>
                <w:color w:val="auto"/>
              </w:rPr>
            </w:pPr>
            <w:r>
              <w:rPr>
                <w:rFonts w:ascii="Times New Roman" w:cs="Times New Roman" w:eastAsia="Times New Roman" w:hAnsi="Times New Roman"/>
                <w:sz w:val="12"/>
                <w:szCs w:val="12"/>
                <w:color w:val="auto"/>
              </w:rPr>
              <w:t>Ratio of total</w:t>
            </w: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expenses to</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average net</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assets (5)</w:t>
            </w:r>
          </w:p>
        </w:tc>
        <w:tc>
          <w:tcPr>
            <w:tcW w:w="6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11.19%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8.77%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10.82%</w:t>
            </w:r>
          </w:p>
        </w:tc>
        <w:tc>
          <w:tcPr>
            <w:tcW w:w="6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9.15%</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7.74%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6.11%</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5.14%</w:t>
            </w:r>
          </w:p>
        </w:tc>
        <w:tc>
          <w:tcPr>
            <w:tcW w:w="6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6.40%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6.09%</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Ratio of net</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investment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income to</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average net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assets (5)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8.07%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9.00%</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8.76%</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5.81%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7.85%</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7.42%</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7.43%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7.77%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7.68%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w w:val="96"/>
              </w:rPr>
              <w:t>Net assets at end of</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period (in</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thousands)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527,092</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490,611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477,270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503,057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535,842</w:t>
            </w:r>
          </w:p>
        </w:tc>
        <w:tc>
          <w:tcPr>
            <w:tcW w:w="16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457,906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375,907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372,890</w:t>
            </w:r>
          </w:p>
        </w:tc>
        <w:tc>
          <w:tcPr>
            <w:tcW w:w="180" w:type="dxa"/>
            <w:vAlign w:val="bottom"/>
          </w:tcPr>
          <w:p>
            <w:pPr>
              <w:spacing w:after="0"/>
              <w:rPr>
                <w:sz w:val="11"/>
                <w:szCs w:val="11"/>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214,528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210,066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920" w:type="dxa"/>
            <w:vAlign w:val="bottom"/>
            <w:shd w:val="clear" w:color="auto" w:fill="CCEEFF"/>
          </w:tcPr>
          <w:p>
            <w:pPr>
              <w:spacing w:after="0" w:line="93" w:lineRule="exact"/>
              <w:rPr>
                <w:sz w:val="20"/>
                <w:szCs w:val="20"/>
                <w:color w:val="auto"/>
              </w:rPr>
            </w:pPr>
            <w:r>
              <w:rPr>
                <w:rFonts w:ascii="Times New Roman" w:cs="Times New Roman" w:eastAsia="Times New Roman" w:hAnsi="Times New Roman"/>
                <w:sz w:val="9"/>
                <w:szCs w:val="9"/>
                <w:color w:val="auto"/>
              </w:rPr>
              <w:t>Weighted average</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shd w:val="clear" w:color="auto" w:fill="CCEEFF"/>
          </w:tcPr>
          <w:p>
            <w:pPr>
              <w:ind w:left="100"/>
              <w:spacing w:after="0" w:line="125" w:lineRule="exact"/>
              <w:rPr>
                <w:sz w:val="20"/>
                <w:szCs w:val="20"/>
                <w:color w:val="auto"/>
              </w:rPr>
            </w:pPr>
            <w:r>
              <w:rPr>
                <w:rFonts w:ascii="Times New Roman" w:cs="Times New Roman" w:eastAsia="Times New Roman" w:hAnsi="Times New Roman"/>
                <w:sz w:val="12"/>
                <w:szCs w:val="12"/>
                <w:color w:val="auto"/>
              </w:rPr>
              <w:t>debt outstanding</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 thousands)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698,765</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622,739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737,209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512,135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354,322</w:t>
            </w:r>
          </w:p>
        </w:tc>
        <w:tc>
          <w:tcPr>
            <w:tcW w:w="1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269,320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140,218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123,924</w:t>
            </w:r>
          </w:p>
        </w:tc>
        <w:tc>
          <w:tcPr>
            <w:tcW w:w="18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147,599</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71,679</w:t>
            </w:r>
          </w:p>
        </w:tc>
        <w:tc>
          <w:tcPr>
            <w:tcW w:w="0" w:type="dxa"/>
            <w:vAlign w:val="bottom"/>
          </w:tcPr>
          <w:p>
            <w:pPr>
              <w:spacing w:after="0"/>
              <w:rPr>
                <w:sz w:val="1"/>
                <w:szCs w:val="1"/>
                <w:color w:val="auto"/>
              </w:rPr>
            </w:pPr>
          </w:p>
        </w:tc>
      </w:tr>
      <w:tr>
        <w:trPr>
          <w:trHeight w:val="112"/>
        </w:trPr>
        <w:tc>
          <w:tcPr>
            <w:tcW w:w="940" w:type="dxa"/>
            <w:vAlign w:val="bottom"/>
            <w:gridSpan w:val="2"/>
          </w:tcPr>
          <w:p>
            <w:pPr>
              <w:spacing w:after="0" w:line="113" w:lineRule="exact"/>
              <w:rPr>
                <w:sz w:val="20"/>
                <w:szCs w:val="20"/>
                <w:color w:val="auto"/>
              </w:rPr>
            </w:pPr>
            <w:r>
              <w:rPr>
                <w:rFonts w:ascii="Times New Roman" w:cs="Times New Roman" w:eastAsia="Times New Roman" w:hAnsi="Times New Roman"/>
                <w:sz w:val="12"/>
                <w:szCs w:val="12"/>
                <w:color w:val="auto"/>
              </w:rPr>
              <w:t>Weighted average</w:t>
            </w: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2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auto"/>
              </w:rPr>
              <w:t>debt per share</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9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17.06</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16.06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19.01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13.21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9.25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8.90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5.25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7.61</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7.48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w w:val="98"/>
              </w:rPr>
              <w:t>Asset coverage per</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unit (6)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1,776</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1,746</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1,677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1,786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2,122</w:t>
            </w:r>
          </w:p>
        </w:tc>
        <w:tc>
          <w:tcPr>
            <w:tcW w:w="1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2,780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2,601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13,598</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2,469</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3,109</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Portfolio turnover</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ratio</w:t>
            </w:r>
          </w:p>
        </w:tc>
        <w:tc>
          <w:tcPr>
            <w:tcW w:w="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45.03%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62.58%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35.08%</w:t>
            </w:r>
          </w:p>
        </w:tc>
        <w:tc>
          <w:tcPr>
            <w:tcW w:w="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52.64%</w:t>
            </w:r>
          </w:p>
        </w:tc>
        <w:tc>
          <w:tcPr>
            <w:tcW w:w="6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47.15%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59.70%</w:t>
            </w:r>
          </w:p>
        </w:tc>
        <w:tc>
          <w:tcPr>
            <w:tcW w:w="6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32.16%</w:t>
            </w:r>
          </w:p>
        </w:tc>
        <w:tc>
          <w:tcPr>
            <w:tcW w:w="6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51.02%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62.74%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81.89%</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58" w:right="1440" w:bottom="1440" w:gutter="0" w:footer="0" w:header="0"/>
        </w:sectPr>
      </w:pPr>
    </w:p>
    <w:bookmarkStart w:id="37" w:name="page38"/>
    <w:bookmarkEnd w:id="37"/>
    <w:p>
      <w:pPr>
        <w:ind w:left="600" w:hanging="327"/>
        <w:spacing w:after="0"/>
        <w:tabs>
          <w:tab w:leader="none" w:pos="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02805" cy="45720"/>
                    </a:xfrm>
                    <a:prstGeom prst="rect">
                      <a:avLst/>
                    </a:prstGeom>
                    <a:noFill/>
                  </pic:spPr>
                </pic:pic>
              </a:graphicData>
            </a:graphic>
          </wp:anchor>
        </w:drawing>
        <w:t>Based on the weighted average shares outstanding for the respective periods.</w:t>
      </w:r>
    </w:p>
    <w:p>
      <w:pPr>
        <w:spacing w:after="0" w:line="20" w:lineRule="exact"/>
        <w:rPr>
          <w:rFonts w:ascii="Times New Roman" w:cs="Times New Roman" w:eastAsia="Times New Roman" w:hAnsi="Times New Roman"/>
          <w:sz w:val="14"/>
          <w:szCs w:val="14"/>
          <w:color w:val="auto"/>
        </w:rPr>
      </w:pPr>
    </w:p>
    <w:p>
      <w:pPr>
        <w:ind w:left="600" w:right="419" w:hanging="327"/>
        <w:spacing w:after="0" w:line="247" w:lineRule="auto"/>
        <w:tabs>
          <w:tab w:leader="none" w:pos="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status of distributions is calculated in accordance with income tax regulations, which may differ from amounts determined under GAAP, and reported on Form 1099-DIV each calendar year.</w:t>
      </w:r>
    </w:p>
    <w:p>
      <w:pPr>
        <w:ind w:left="600" w:hanging="327"/>
        <w:spacing w:after="0"/>
        <w:tabs>
          <w:tab w:leader="none" w:pos="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change in market price per share during the period and assumes distributions, if any, are reinvested.</w:t>
      </w:r>
    </w:p>
    <w:p>
      <w:pPr>
        <w:spacing w:after="0" w:line="4" w:lineRule="exact"/>
        <w:rPr>
          <w:rFonts w:ascii="Times New Roman" w:cs="Times New Roman" w:eastAsia="Times New Roman" w:hAnsi="Times New Roman"/>
          <w:sz w:val="14"/>
          <w:szCs w:val="14"/>
          <w:color w:val="auto"/>
        </w:rPr>
      </w:pPr>
    </w:p>
    <w:p>
      <w:pPr>
        <w:ind w:left="600" w:hanging="327"/>
        <w:spacing w:after="0"/>
        <w:tabs>
          <w:tab w:leader="none" w:pos="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debt related costs.</w:t>
      </w:r>
    </w:p>
    <w:p>
      <w:pPr>
        <w:spacing w:after="0" w:line="4" w:lineRule="exact"/>
        <w:rPr>
          <w:rFonts w:ascii="Times New Roman" w:cs="Times New Roman" w:eastAsia="Times New Roman" w:hAnsi="Times New Roman"/>
          <w:sz w:val="14"/>
          <w:szCs w:val="14"/>
          <w:color w:val="auto"/>
        </w:rPr>
      </w:pPr>
    </w:p>
    <w:p>
      <w:pPr>
        <w:ind w:left="600" w:hanging="327"/>
        <w:spacing w:after="0"/>
        <w:tabs>
          <w:tab w:leader="none" w:pos="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and expenses on debt as well as Credit Facility amendment and debt issuance costs, if any.</w:t>
      </w:r>
    </w:p>
    <w:p>
      <w:pPr>
        <w:spacing w:after="0" w:line="4" w:lineRule="exact"/>
        <w:rPr>
          <w:rFonts w:ascii="Times New Roman" w:cs="Times New Roman" w:eastAsia="Times New Roman" w:hAnsi="Times New Roman"/>
          <w:sz w:val="14"/>
          <w:szCs w:val="14"/>
          <w:color w:val="auto"/>
        </w:rPr>
      </w:pPr>
    </w:p>
    <w:p>
      <w:pPr>
        <w:ind w:left="600" w:right="399" w:hanging="327"/>
        <w:spacing w:after="0" w:line="247" w:lineRule="auto"/>
        <w:tabs>
          <w:tab w:leader="none" w:pos="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ratio coverage is multiplied by $1,000 to determine the asset coverage per unit.</w:t>
      </w:r>
    </w:p>
    <w:p>
      <w:pPr>
        <w:ind w:left="600" w:hanging="327"/>
        <w:spacing w:after="0"/>
        <w:tabs>
          <w:tab w:leader="none" w:pos="6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Audited by predecessor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-1056640</wp:posOffset>
            </wp:positionV>
            <wp:extent cx="59245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92455" cy="6350"/>
                    </a:xfrm>
                    <a:prstGeom prst="rect">
                      <a:avLst/>
                    </a:prstGeom>
                    <a:noFill/>
                  </pic:spPr>
                </pic:pic>
              </a:graphicData>
            </a:graphic>
          </wp:anchor>
        </w:drawing>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384"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02805" cy="45720"/>
                    </a:xfrm>
                    <a:prstGeom prst="rect">
                      <a:avLst/>
                    </a:prstGeom>
                    <a:noFill/>
                  </pic:spPr>
                </pic:pic>
              </a:graphicData>
            </a:graphic>
          </wp:anchor>
        </w:drawing>
        <w:t>RISK FACTORS</w:t>
      </w:r>
    </w:p>
    <w:p>
      <w:pPr>
        <w:spacing w:after="0" w:line="173" w:lineRule="exact"/>
        <w:rPr>
          <w:sz w:val="20"/>
          <w:szCs w:val="20"/>
          <w:color w:val="auto"/>
        </w:rPr>
      </w:pPr>
    </w:p>
    <w:p>
      <w:pPr>
        <w:ind w:left="280" w:right="279" w:firstLine="338"/>
        <w:spacing w:after="0" w:line="250" w:lineRule="auto"/>
        <w:rPr>
          <w:sz w:val="20"/>
          <w:szCs w:val="20"/>
          <w:color w:val="auto"/>
        </w:rPr>
      </w:pPr>
      <w:r>
        <w:rPr>
          <w:rFonts w:ascii="Times New Roman" w:cs="Times New Roman" w:eastAsia="Times New Roman" w:hAnsi="Times New Roman"/>
          <w:sz w:val="14"/>
          <w:szCs w:val="14"/>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Annual Report on Form 10-K for the fiscal year ended September 30, 2022, filed on November 17, 2022,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3" w:lineRule="exact"/>
        <w:rPr>
          <w:sz w:val="20"/>
          <w:szCs w:val="20"/>
          <w:color w:val="auto"/>
        </w:rPr>
      </w:pPr>
    </w:p>
    <w:p>
      <w:pPr>
        <w:ind w:left="280" w:right="379" w:firstLine="338"/>
        <w:spacing w:after="0" w:line="253" w:lineRule="auto"/>
        <w:rPr>
          <w:sz w:val="20"/>
          <w:szCs w:val="20"/>
          <w:color w:val="auto"/>
        </w:rPr>
      </w:pPr>
      <w:r>
        <w:rPr>
          <w:rFonts w:ascii="Times New Roman" w:cs="Times New Roman" w:eastAsia="Times New Roman" w:hAnsi="Times New Roman"/>
          <w:sz w:val="14"/>
          <w:szCs w:val="14"/>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71" w:lineRule="exact"/>
        <w:rPr>
          <w:sz w:val="20"/>
          <w:szCs w:val="20"/>
          <w:color w:val="auto"/>
        </w:rPr>
      </w:pPr>
    </w:p>
    <w:p>
      <w:pPr>
        <w:ind w:left="1020" w:hanging="33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98" w:lineRule="exact"/>
        <w:rPr>
          <w:rFonts w:ascii="Times New Roman" w:cs="Times New Roman" w:eastAsia="Times New Roman" w:hAnsi="Times New Roman"/>
          <w:sz w:val="14"/>
          <w:szCs w:val="14"/>
          <w:color w:val="auto"/>
        </w:rPr>
      </w:pPr>
    </w:p>
    <w:p>
      <w:pPr>
        <w:ind w:left="1020" w:right="459" w:hanging="332"/>
        <w:spacing w:after="0" w:line="277" w:lineRule="auto"/>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prospective portfolio companies, including as a result of the current pandemic caused by COVID-19 or any future worsening thereof;</w:t>
      </w:r>
    </w:p>
    <w:p>
      <w:pPr>
        <w:spacing w:after="0" w:line="53" w:lineRule="exact"/>
        <w:rPr>
          <w:rFonts w:ascii="Times New Roman" w:cs="Times New Roman" w:eastAsia="Times New Roman" w:hAnsi="Times New Roman"/>
          <w:sz w:val="14"/>
          <w:szCs w:val="14"/>
          <w:color w:val="auto"/>
        </w:rPr>
      </w:pPr>
    </w:p>
    <w:p>
      <w:pPr>
        <w:jc w:val="both"/>
        <w:ind w:left="1020" w:right="299" w:hanging="332"/>
        <w:spacing w:after="0" w:line="262" w:lineRule="auto"/>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future worsening thereof;</w:t>
      </w:r>
    </w:p>
    <w:p>
      <w:pPr>
        <w:spacing w:after="0" w:line="6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and foreign exchange rates on our business and our portfolio companies;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prospective portfolio companies to achieve their objectives;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 and ability to fund capital commitments to PSSL;</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prospective portfolio companies;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58" w:right="1440" w:bottom="1440" w:gutter="0" w:footer="0" w:header="0"/>
        </w:sectPr>
      </w:pPr>
    </w:p>
    <w:bookmarkStart w:id="39" w:name="page40"/>
    <w:bookmarkEnd w:id="39"/>
    <w:p>
      <w:pPr>
        <w:ind w:left="1020" w:hanging="332"/>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impact of price and volume fluctuations in the stock market;</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levels of inflation, and its impact on us and our portfolio companies;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locate suitable investments for us and to monitor and administer our investments;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legislation and regulation on our business and our portfolio companies; and</w:t>
      </w:r>
    </w:p>
    <w:p>
      <w:pPr>
        <w:spacing w:after="0" w:line="98" w:lineRule="exact"/>
        <w:rPr>
          <w:rFonts w:ascii="Times New Roman" w:cs="Times New Roman" w:eastAsia="Times New Roman" w:hAnsi="Times New Roman"/>
          <w:sz w:val="14"/>
          <w:szCs w:val="14"/>
          <w:color w:val="auto"/>
        </w:rPr>
      </w:pPr>
    </w:p>
    <w:p>
      <w:pPr>
        <w:ind w:left="1020" w:right="439" w:hanging="332"/>
        <w:spacing w:after="0" w:line="277" w:lineRule="auto"/>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ongoing invasion of Ukraine by Russia, United Kingdom’s withdrawal from the European Union (commonly known as “Brexit”) and other world economic and political issues.</w:t>
      </w:r>
    </w:p>
    <w:p>
      <w:pPr>
        <w:spacing w:after="0" w:line="126" w:lineRule="exact"/>
        <w:rPr>
          <w:sz w:val="20"/>
          <w:szCs w:val="20"/>
          <w:color w:val="auto"/>
        </w:rPr>
      </w:pPr>
    </w:p>
    <w:p>
      <w:pPr>
        <w:ind w:left="280" w:right="479" w:firstLine="338"/>
        <w:spacing w:after="0" w:line="291" w:lineRule="auto"/>
        <w:rPr>
          <w:sz w:val="20"/>
          <w:szCs w:val="20"/>
          <w:color w:val="auto"/>
        </w:rPr>
      </w:pPr>
      <w:r>
        <w:rPr>
          <w:rFonts w:ascii="Times New Roman" w:cs="Times New Roman" w:eastAsia="Times New Roman" w:hAnsi="Times New Roman"/>
          <w:sz w:val="13"/>
          <w:szCs w:val="13"/>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20" w:lineRule="exact"/>
        <w:rPr>
          <w:sz w:val="20"/>
          <w:szCs w:val="20"/>
          <w:color w:val="auto"/>
        </w:rPr>
      </w:pPr>
    </w:p>
    <w:p>
      <w:pPr>
        <w:ind w:left="280" w:right="339" w:firstLine="338"/>
        <w:spacing w:after="0" w:line="253"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43" w:lineRule="exact"/>
        <w:rPr>
          <w:sz w:val="20"/>
          <w:szCs w:val="20"/>
          <w:color w:val="auto"/>
        </w:rPr>
      </w:pPr>
    </w:p>
    <w:p>
      <w:pPr>
        <w:ind w:left="280" w:right="319" w:firstLine="338"/>
        <w:spacing w:after="0" w:line="254" w:lineRule="auto"/>
        <w:rPr>
          <w:sz w:val="20"/>
          <w:szCs w:val="20"/>
          <w:color w:val="auto"/>
        </w:rPr>
      </w:pPr>
      <w:r>
        <w:rPr>
          <w:rFonts w:ascii="Times New Roman" w:cs="Times New Roman" w:eastAsia="Times New Roman" w:hAnsi="Times New Roman"/>
          <w:sz w:val="14"/>
          <w:szCs w:val="14"/>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44" w:lineRule="exact"/>
        <w:rPr>
          <w:sz w:val="20"/>
          <w:szCs w:val="20"/>
          <w:color w:val="auto"/>
        </w:rPr>
      </w:pPr>
    </w:p>
    <w:p>
      <w:pPr>
        <w:jc w:val="both"/>
        <w:ind w:left="280" w:right="299" w:firstLine="338"/>
        <w:spacing w:after="0" w:line="262" w:lineRule="auto"/>
        <w:rPr>
          <w:sz w:val="20"/>
          <w:szCs w:val="20"/>
          <w:color w:val="auto"/>
        </w:rPr>
      </w:pPr>
      <w:r>
        <w:rPr>
          <w:rFonts w:ascii="Times New Roman" w:cs="Times New Roman" w:eastAsia="Times New Roman" w:hAnsi="Times New Roman"/>
          <w:sz w:val="14"/>
          <w:szCs w:val="14"/>
          <w:color w:val="auto"/>
        </w:rPr>
        <w:t>You should understand that, under Section 27A(b)(2)(B) of the Securities Act of 1933, as amended, or the Securities Act, and Section 21E(b)(2)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3" w:lineRule="exact"/>
        <w:rPr>
          <w:sz w:val="20"/>
          <w:szCs w:val="20"/>
          <w:color w:val="auto"/>
        </w:rPr>
      </w:pPr>
    </w:p>
    <w:p>
      <w:pPr>
        <w:ind w:left="280" w:right="459" w:firstLine="338"/>
        <w:spacing w:after="0" w:line="262" w:lineRule="auto"/>
        <w:rPr>
          <w:sz w:val="20"/>
          <w:szCs w:val="20"/>
          <w:color w:val="auto"/>
        </w:rPr>
      </w:pPr>
      <w:r>
        <w:rPr>
          <w:rFonts w:ascii="Times New Roman" w:cs="Times New Roman" w:eastAsia="Times New Roman" w:hAnsi="Times New Roman"/>
          <w:sz w:val="14"/>
          <w:szCs w:val="14"/>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36" w:lineRule="exact"/>
        <w:rPr>
          <w:sz w:val="20"/>
          <w:szCs w:val="20"/>
          <w:color w:val="auto"/>
        </w:rPr>
      </w:pPr>
    </w:p>
    <w:p>
      <w:pPr>
        <w:ind w:left="280" w:right="379" w:firstLine="338"/>
        <w:spacing w:after="0" w:line="253" w:lineRule="auto"/>
        <w:rPr>
          <w:sz w:val="20"/>
          <w:szCs w:val="20"/>
          <w:color w:val="auto"/>
        </w:rPr>
      </w:pPr>
      <w:r>
        <w:rPr>
          <w:rFonts w:ascii="Times New Roman" w:cs="Times New Roman" w:eastAsia="Times New Roman" w:hAnsi="Times New Roman"/>
          <w:sz w:val="14"/>
          <w:szCs w:val="14"/>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60" w:right="1440" w:bottom="1440" w:gutter="0" w:footer="0" w:header="0"/>
        </w:sectPr>
      </w:pPr>
    </w:p>
    <w:bookmarkStart w:id="40" w:name="page41"/>
    <w:bookmarkEnd w:id="40"/>
    <w:p>
      <w:pPr>
        <w:jc w:val="both"/>
        <w:ind w:left="280" w:right="29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SENIOR SECURITIES</w:t>
      </w:r>
    </w:p>
    <w:p>
      <w:pPr>
        <w:spacing w:after="0" w:line="173" w:lineRule="exact"/>
        <w:rPr>
          <w:sz w:val="20"/>
          <w:szCs w:val="20"/>
          <w:color w:val="auto"/>
        </w:rPr>
      </w:pPr>
    </w:p>
    <w:p>
      <w:pPr>
        <w:ind w:left="280" w:right="299" w:firstLine="338"/>
        <w:spacing w:after="0" w:line="253" w:lineRule="auto"/>
        <w:rPr>
          <w:sz w:val="20"/>
          <w:szCs w:val="20"/>
          <w:color w:val="auto"/>
        </w:rPr>
      </w:pPr>
      <w:r>
        <w:rPr>
          <w:rFonts w:ascii="Times New Roman" w:cs="Times New Roman" w:eastAsia="Times New Roman" w:hAnsi="Times New Roman"/>
          <w:sz w:val="14"/>
          <w:szCs w:val="14"/>
          <w:color w:val="auto"/>
        </w:rPr>
        <w:t>Information about our senior securities shown as of September 30, 2022, 2021, 2020, 2019, 2018, 2017, 2016 2015, 2014 and 2013 is located in “Part II, Item 7 – Management’s Discussion and Analysis of Financial Condition and Results of Operations – Liquidity and Capital Resources – Senior Securities” in our most recent Annual Report on Form 10-K, and is incorporated by reference into the registration statement of which this prospectus is a part, and the report of RSM US LLP, an independent registered public accounting firm, on our senior securities table as of September 30, 2022 is included in our most recent Annual Report on Form 10-K, filed on November 17, 2022, and is incorporated by reference into the registration statement of which this prospectus is a part.</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PRICE RANGE OF COMMON STOCK</w:t>
      </w:r>
    </w:p>
    <w:p>
      <w:pPr>
        <w:spacing w:after="0" w:line="173" w:lineRule="exact"/>
        <w:rPr>
          <w:sz w:val="20"/>
          <w:szCs w:val="20"/>
          <w:color w:val="auto"/>
        </w:rPr>
      </w:pPr>
    </w:p>
    <w:p>
      <w:pPr>
        <w:ind w:left="280" w:right="319" w:firstLine="338"/>
        <w:spacing w:after="0" w:line="262" w:lineRule="auto"/>
        <w:rPr>
          <w:sz w:val="20"/>
          <w:szCs w:val="20"/>
          <w:color w:val="auto"/>
        </w:rPr>
      </w:pPr>
      <w:r>
        <w:rPr>
          <w:rFonts w:ascii="Times New Roman" w:cs="Times New Roman" w:eastAsia="Times New Roman" w:hAnsi="Times New Roman"/>
          <w:sz w:val="14"/>
          <w:szCs w:val="14"/>
          <w:color w:val="auto"/>
        </w:rPr>
        <w:t>Information about the price range of our common stock is located in “Part II, Item 5 – Market for Registrant’s Common Equity, Related Stockholder Matters and Issuer Purchases of Equity Securities – Price Range of Common Stock” in our most recent Annual Report on Form 10-K and is incorporated by reference into the registration statement of which this prospectus is a part.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SALES OF COMMON STOCK BELOW NET ASSET VALUE</w:t>
      </w:r>
    </w:p>
    <w:p>
      <w:pPr>
        <w:spacing w:after="0" w:line="173" w:lineRule="exact"/>
        <w:rPr>
          <w:sz w:val="20"/>
          <w:szCs w:val="20"/>
          <w:color w:val="auto"/>
        </w:rPr>
      </w:pPr>
    </w:p>
    <w:p>
      <w:pPr>
        <w:ind w:left="280" w:right="319" w:firstLine="338"/>
        <w:spacing w:after="0" w:line="257" w:lineRule="auto"/>
        <w:rPr>
          <w:sz w:val="20"/>
          <w:szCs w:val="20"/>
          <w:color w:val="auto"/>
        </w:rPr>
      </w:pPr>
      <w:r>
        <w:rPr>
          <w:rFonts w:ascii="Times New Roman" w:cs="Times New Roman" w:eastAsia="Times New Roman" w:hAnsi="Times New Roman"/>
          <w:sz w:val="14"/>
          <w:szCs w:val="14"/>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67" w:lineRule="exact"/>
        <w:rPr>
          <w:sz w:val="20"/>
          <w:szCs w:val="20"/>
          <w:color w:val="auto"/>
        </w:rPr>
      </w:pPr>
    </w:p>
    <w:p>
      <w:pPr>
        <w:ind w:left="1020" w:right="319" w:hanging="332"/>
        <w:spacing w:after="0" w:line="277" w:lineRule="auto"/>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that an offering below NAV per share would have on our stockholders, including the potential dilution they would experience as a result of the offering;</w:t>
      </w:r>
    </w:p>
    <w:p>
      <w:pPr>
        <w:spacing w:after="0" w:line="53" w:lineRule="exact"/>
        <w:rPr>
          <w:rFonts w:ascii="Times New Roman" w:cs="Times New Roman" w:eastAsia="Times New Roman" w:hAnsi="Times New Roman"/>
          <w:sz w:val="14"/>
          <w:szCs w:val="14"/>
          <w:color w:val="auto"/>
        </w:rPr>
      </w:pPr>
    </w:p>
    <w:p>
      <w:pPr>
        <w:ind w:left="1020" w:right="339" w:hanging="332"/>
        <w:spacing w:after="0" w:line="277" w:lineRule="auto"/>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per share by which the offering price per share and the net proceeds per share are less than the most recently determined NAV per share;</w:t>
      </w:r>
    </w:p>
    <w:p>
      <w:pPr>
        <w:spacing w:after="0" w:line="53" w:lineRule="exact"/>
        <w:rPr>
          <w:rFonts w:ascii="Times New Roman" w:cs="Times New Roman" w:eastAsia="Times New Roman" w:hAnsi="Times New Roman"/>
          <w:sz w:val="14"/>
          <w:szCs w:val="14"/>
          <w:color w:val="auto"/>
        </w:rPr>
      </w:pPr>
    </w:p>
    <w:p>
      <w:pPr>
        <w:ind w:left="1020" w:right="599" w:hanging="332"/>
        <w:spacing w:after="0" w:line="277" w:lineRule="auto"/>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relationship of recent market prices of our common stock to NAV per share and the potential impact of the offering on the market price per share of our common stock;</w:t>
      </w:r>
    </w:p>
    <w:p>
      <w:pPr>
        <w:spacing w:after="0" w:line="53" w:lineRule="exact"/>
        <w:rPr>
          <w:rFonts w:ascii="Times New Roman" w:cs="Times New Roman" w:eastAsia="Times New Roman" w:hAnsi="Times New Roman"/>
          <w:sz w:val="14"/>
          <w:szCs w:val="14"/>
          <w:color w:val="auto"/>
        </w:rPr>
      </w:pPr>
    </w:p>
    <w:p>
      <w:pPr>
        <w:ind w:left="1020" w:right="279" w:hanging="332"/>
        <w:spacing w:after="0" w:line="277" w:lineRule="auto"/>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estimated offering price would closely approximate the market value of our shares, less distributing commissions or discounts, and would not be below current market price;</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market impact of being able to raise capital in the current financial market;</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any new investors anticipated to acquire shares in the offering;</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rate of return on and quality, type and availability of investments;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leverage available to us, both before and after the offering and other borrowing terms; and</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investment opportunities available relative to the potential dilutive effect of additional capital at the time of the offering.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60" w:right="1440" w:bottom="1440" w:gutter="0" w:footer="0" w:header="0"/>
        </w:sectPr>
      </w:pPr>
    </w:p>
    <w:bookmarkStart w:id="41" w:name="page42"/>
    <w:bookmarkEnd w:id="41"/>
    <w:p>
      <w:pPr>
        <w:ind w:left="280" w:right="479" w:firstLine="338"/>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02805" cy="45720"/>
                    </a:xfrm>
                    <a:prstGeom prst="rect">
                      <a:avLst/>
                    </a:prstGeom>
                    <a:noFill/>
                  </pic:spPr>
                </pic:pic>
              </a:graphicData>
            </a:graphic>
          </wp:anchor>
        </w:drawing>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36" w:lineRule="exact"/>
        <w:rPr>
          <w:sz w:val="20"/>
          <w:szCs w:val="20"/>
          <w:color w:val="auto"/>
        </w:rPr>
      </w:pPr>
    </w:p>
    <w:p>
      <w:pPr>
        <w:jc w:val="both"/>
        <w:ind w:left="280" w:right="419" w:firstLine="338"/>
        <w:spacing w:after="0" w:line="262" w:lineRule="auto"/>
        <w:rPr>
          <w:sz w:val="20"/>
          <w:szCs w:val="20"/>
          <w:color w:val="auto"/>
        </w:rPr>
      </w:pPr>
      <w:r>
        <w:rPr>
          <w:rFonts w:ascii="Times New Roman" w:cs="Times New Roman" w:eastAsia="Times New Roman" w:hAnsi="Times New Roman"/>
          <w:sz w:val="14"/>
          <w:szCs w:val="14"/>
          <w:color w:val="auto"/>
        </w:rPr>
        <w:t>Sales by us of our common stock at a discount from NAV pose potential risks for our existing stockholders whether or not they participate in the offering, as well as for new investors who participate in the offering. As of the date of this registration statement, stockholders have not approved sales of our common stock below our then current NAV per share.</w:t>
      </w:r>
    </w:p>
    <w:p>
      <w:pPr>
        <w:spacing w:after="0" w:line="136" w:lineRule="exact"/>
        <w:rPr>
          <w:sz w:val="20"/>
          <w:szCs w:val="20"/>
          <w:color w:val="auto"/>
        </w:rPr>
      </w:pPr>
    </w:p>
    <w:p>
      <w:pPr>
        <w:ind w:left="280" w:right="339" w:firstLine="338"/>
        <w:spacing w:after="0" w:line="269" w:lineRule="auto"/>
        <w:rPr>
          <w:sz w:val="20"/>
          <w:szCs w:val="20"/>
          <w:color w:val="auto"/>
        </w:rPr>
      </w:pPr>
      <w:r>
        <w:rPr>
          <w:rFonts w:ascii="Times New Roman" w:cs="Times New Roman" w:eastAsia="Times New Roman" w:hAnsi="Times New Roman"/>
          <w:sz w:val="13"/>
          <w:szCs w:val="13"/>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w:t>
      </w:r>
    </w:p>
    <w:p>
      <w:pPr>
        <w:spacing w:after="0" w:line="4" w:lineRule="exact"/>
        <w:rPr>
          <w:sz w:val="20"/>
          <w:szCs w:val="20"/>
          <w:color w:val="auto"/>
        </w:rPr>
      </w:pPr>
    </w:p>
    <w:p>
      <w:pPr>
        <w:ind w:left="280" w:right="439"/>
        <w:spacing w:after="0" w:line="249" w:lineRule="auto"/>
        <w:rPr>
          <w:sz w:val="20"/>
          <w:szCs w:val="20"/>
          <w:color w:val="auto"/>
        </w:rPr>
      </w:pPr>
      <w:r>
        <w:rPr>
          <w:rFonts w:ascii="Times New Roman" w:cs="Times New Roman" w:eastAsia="Times New Roman" w:hAnsi="Times New Roman"/>
          <w:sz w:val="14"/>
          <w:szCs w:val="14"/>
          <w:color w:val="auto"/>
        </w:rPr>
        <w:t>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46" w:lineRule="exact"/>
        <w:rPr>
          <w:sz w:val="20"/>
          <w:szCs w:val="20"/>
          <w:color w:val="auto"/>
        </w:rPr>
      </w:pPr>
    </w:p>
    <w:p>
      <w:pPr>
        <w:ind w:left="280" w:right="339" w:firstLine="338"/>
        <w:spacing w:after="0" w:line="277" w:lineRule="auto"/>
        <w:rPr>
          <w:sz w:val="20"/>
          <w:szCs w:val="20"/>
          <w:color w:val="auto"/>
        </w:rPr>
      </w:pPr>
      <w:r>
        <w:rPr>
          <w:rFonts w:ascii="Times New Roman" w:cs="Times New Roman" w:eastAsia="Times New Roman" w:hAnsi="Times New Roman"/>
          <w:sz w:val="14"/>
          <w:szCs w:val="14"/>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4" w:lineRule="exact"/>
        <w:rPr>
          <w:sz w:val="20"/>
          <w:szCs w:val="20"/>
          <w:color w:val="auto"/>
        </w:rPr>
      </w:pPr>
    </w:p>
    <w:p>
      <w:pPr>
        <w:ind w:left="1020" w:hanging="332"/>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stockholders who do not purchase any shares in the offering;</w:t>
      </w:r>
    </w:p>
    <w:p>
      <w:pPr>
        <w:spacing w:after="0" w:line="98" w:lineRule="exact"/>
        <w:rPr>
          <w:rFonts w:ascii="Times New Roman" w:cs="Times New Roman" w:eastAsia="Times New Roman" w:hAnsi="Times New Roman"/>
          <w:sz w:val="14"/>
          <w:szCs w:val="14"/>
          <w:color w:val="auto"/>
        </w:rPr>
      </w:pPr>
    </w:p>
    <w:p>
      <w:pPr>
        <w:ind w:left="1020" w:right="299" w:hanging="332"/>
        <w:spacing w:after="0" w:line="277" w:lineRule="auto"/>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stockholders who purchase a relatively small amount of shares in the offering or a relatively large amount of shares in the offering; and</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investors who become stockholders by purchasing shares in the offering.</w:t>
      </w:r>
    </w:p>
    <w:p>
      <w:pPr>
        <w:spacing w:after="0" w:line="2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Impact on Existing Stockholders who do not Participate in the Offering</w:t>
      </w:r>
    </w:p>
    <w:p>
      <w:pPr>
        <w:spacing w:after="0" w:line="90" w:lineRule="exact"/>
        <w:rPr>
          <w:sz w:val="20"/>
          <w:szCs w:val="20"/>
          <w:color w:val="auto"/>
        </w:rPr>
      </w:pPr>
    </w:p>
    <w:p>
      <w:pPr>
        <w:ind w:left="280" w:right="319" w:firstLine="338"/>
        <w:spacing w:after="0" w:line="252" w:lineRule="auto"/>
        <w:rPr>
          <w:sz w:val="20"/>
          <w:szCs w:val="20"/>
          <w:color w:val="auto"/>
        </w:rPr>
      </w:pPr>
      <w:r>
        <w:rPr>
          <w:rFonts w:ascii="Times New Roman" w:cs="Times New Roman" w:eastAsia="Times New Roman" w:hAnsi="Times New Roman"/>
          <w:sz w:val="14"/>
          <w:szCs w:val="14"/>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44" w:lineRule="exact"/>
        <w:rPr>
          <w:sz w:val="20"/>
          <w:szCs w:val="20"/>
          <w:color w:val="auto"/>
        </w:rPr>
      </w:pPr>
    </w:p>
    <w:p>
      <w:pPr>
        <w:ind w:left="280" w:right="619" w:firstLine="338"/>
        <w:spacing w:after="0" w:line="262" w:lineRule="auto"/>
        <w:rPr>
          <w:sz w:val="20"/>
          <w:szCs w:val="20"/>
          <w:color w:val="auto"/>
        </w:rPr>
      </w:pPr>
      <w:r>
        <w:rPr>
          <w:rFonts w:ascii="Times New Roman" w:cs="Times New Roman" w:eastAsia="Times New Roman" w:hAnsi="Times New Roman"/>
          <w:sz w:val="14"/>
          <w:szCs w:val="14"/>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60" w:right="1440" w:bottom="1440" w:gutter="0" w:footer="0" w:header="0"/>
        </w:sectPr>
      </w:pPr>
    </w:p>
    <w:bookmarkStart w:id="42" w:name="page43"/>
    <w:bookmarkEnd w:id="42"/>
    <w:p>
      <w:pPr>
        <w:ind w:left="280" w:right="299" w:firstLine="338"/>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47"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left="235"/>
              <w:spacing w:after="0"/>
              <w:rPr>
                <w:sz w:val="20"/>
                <w:szCs w:val="20"/>
                <w:color w:val="auto"/>
              </w:rPr>
            </w:pPr>
            <w:r>
              <w:rPr>
                <w:rFonts w:ascii="Times New Roman" w:cs="Times New Roman" w:eastAsia="Times New Roman" w:hAnsi="Times New Roman"/>
                <w:sz w:val="11"/>
                <w:szCs w:val="11"/>
                <w:b w:val="1"/>
                <w:bCs w:val="1"/>
                <w:color w:val="auto"/>
              </w:rPr>
              <w:t>Example 1</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left="215"/>
              <w:spacing w:after="0"/>
              <w:rPr>
                <w:sz w:val="20"/>
                <w:szCs w:val="20"/>
                <w:color w:val="auto"/>
              </w:rPr>
            </w:pPr>
            <w:r>
              <w:rPr>
                <w:rFonts w:ascii="Times New Roman" w:cs="Times New Roman" w:eastAsia="Times New Roman" w:hAnsi="Times New Roman"/>
                <w:sz w:val="11"/>
                <w:szCs w:val="11"/>
                <w:b w:val="1"/>
                <w:bCs w:val="1"/>
                <w:color w:val="auto"/>
              </w:rPr>
              <w:t>Example 2</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left="255"/>
              <w:spacing w:after="0"/>
              <w:rPr>
                <w:sz w:val="20"/>
                <w:szCs w:val="20"/>
                <w:color w:val="auto"/>
              </w:rPr>
            </w:pPr>
            <w:r>
              <w:rPr>
                <w:rFonts w:ascii="Times New Roman" w:cs="Times New Roman" w:eastAsia="Times New Roman" w:hAnsi="Times New Roman"/>
                <w:sz w:val="11"/>
                <w:szCs w:val="11"/>
                <w:b w:val="1"/>
                <w:bCs w:val="1"/>
                <w:color w:val="auto"/>
              </w:rPr>
              <w:t>Example 3</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4"/>
          </w:tcPr>
          <w:p>
            <w:pPr>
              <w:jc w:val="center"/>
              <w:ind w:right="300"/>
              <w:spacing w:after="0" w:line="114" w:lineRule="exact"/>
              <w:rPr>
                <w:sz w:val="20"/>
                <w:szCs w:val="20"/>
                <w:color w:val="auto"/>
              </w:rPr>
            </w:pPr>
            <w:r>
              <w:rPr>
                <w:rFonts w:ascii="Times New Roman" w:cs="Times New Roman" w:eastAsia="Times New Roman" w:hAnsi="Times New Roman"/>
                <w:sz w:val="11"/>
                <w:szCs w:val="11"/>
                <w:b w:val="1"/>
                <w:bCs w:val="1"/>
                <w:color w:val="auto"/>
                <w:w w:val="97"/>
              </w:rPr>
              <w:t>5% Offering at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gridSpan w:val="4"/>
          </w:tcPr>
          <w:p>
            <w:pPr>
              <w:jc w:val="center"/>
              <w:ind w:right="360"/>
              <w:spacing w:after="0" w:line="114" w:lineRule="exact"/>
              <w:rPr>
                <w:sz w:val="20"/>
                <w:szCs w:val="20"/>
                <w:color w:val="auto"/>
              </w:rPr>
            </w:pPr>
            <w:r>
              <w:rPr>
                <w:rFonts w:ascii="Times New Roman" w:cs="Times New Roman" w:eastAsia="Times New Roman" w:hAnsi="Times New Roman"/>
                <w:sz w:val="11"/>
                <w:szCs w:val="11"/>
                <w:b w:val="1"/>
                <w:bCs w:val="1"/>
                <w:color w:val="auto"/>
              </w:rPr>
              <w:t>10% Offering at</w:t>
            </w:r>
          </w:p>
        </w:tc>
        <w:tc>
          <w:tcPr>
            <w:tcW w:w="80" w:type="dxa"/>
            <w:vAlign w:val="bottom"/>
          </w:tcPr>
          <w:p>
            <w:pPr>
              <w:spacing w:after="0"/>
              <w:rPr>
                <w:sz w:val="9"/>
                <w:szCs w:val="9"/>
                <w:color w:val="auto"/>
              </w:rPr>
            </w:pPr>
          </w:p>
        </w:tc>
        <w:tc>
          <w:tcPr>
            <w:tcW w:w="1540" w:type="dxa"/>
            <w:vAlign w:val="bottom"/>
            <w:gridSpan w:val="4"/>
          </w:tcPr>
          <w:p>
            <w:pPr>
              <w:jc w:val="center"/>
              <w:ind w:right="280"/>
              <w:spacing w:after="0" w:line="114" w:lineRule="exact"/>
              <w:rPr>
                <w:sz w:val="20"/>
                <w:szCs w:val="20"/>
                <w:color w:val="auto"/>
              </w:rPr>
            </w:pPr>
            <w:r>
              <w:rPr>
                <w:rFonts w:ascii="Times New Roman" w:cs="Times New Roman" w:eastAsia="Times New Roman" w:hAnsi="Times New Roman"/>
                <w:sz w:val="11"/>
                <w:szCs w:val="11"/>
                <w:b w:val="1"/>
                <w:bCs w:val="1"/>
                <w:color w:val="auto"/>
              </w:rPr>
              <w:t>25% Offering at</w:t>
            </w: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Prior to Sale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4"/>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5% Discount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4"/>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10% Discount</w:t>
            </w:r>
          </w:p>
        </w:tc>
        <w:tc>
          <w:tcPr>
            <w:tcW w:w="80" w:type="dxa"/>
            <w:vAlign w:val="bottom"/>
          </w:tcPr>
          <w:p>
            <w:pPr>
              <w:spacing w:after="0"/>
              <w:rPr>
                <w:sz w:val="11"/>
                <w:szCs w:val="11"/>
                <w:color w:val="auto"/>
              </w:rPr>
            </w:pPr>
          </w:p>
        </w:tc>
        <w:tc>
          <w:tcPr>
            <w:tcW w:w="1540" w:type="dxa"/>
            <w:vAlign w:val="bottom"/>
            <w:gridSpan w:val="4"/>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25% Discount</w:t>
            </w:r>
          </w:p>
        </w:tc>
        <w:tc>
          <w:tcPr>
            <w:tcW w:w="0" w:type="dxa"/>
            <w:vAlign w:val="bottom"/>
          </w:tcPr>
          <w:p>
            <w:pPr>
              <w:spacing w:after="0"/>
              <w:rPr>
                <w:sz w:val="1"/>
                <w:szCs w:val="1"/>
                <w:color w:val="auto"/>
              </w:rPr>
            </w:pPr>
          </w:p>
        </w:tc>
      </w:tr>
      <w:tr>
        <w:trPr>
          <w:trHeight w:val="85"/>
        </w:trPr>
        <w:tc>
          <w:tcPr>
            <w:tcW w:w="2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right"/>
              <w:ind w:right="320"/>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80" w:type="dxa"/>
            <w:vAlign w:val="bottom"/>
            <w:tcBorders>
              <w:top w:val="single" w:sz="8" w:color="auto"/>
            </w:tcBorders>
          </w:tcPr>
          <w:p>
            <w:pPr>
              <w:jc w:val="right"/>
              <w:ind w:right="73"/>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tcPr>
          <w:p>
            <w:pPr>
              <w:jc w:val="right"/>
              <w:ind w:right="340"/>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53"/>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2"/>
          </w:tcPr>
          <w:p>
            <w:pPr>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400" w:type="dxa"/>
            <w:vAlign w:val="bottom"/>
            <w:tcBorders>
              <w:top w:val="single" w:sz="8" w:color="auto"/>
            </w:tcBorders>
          </w:tcPr>
          <w:p>
            <w:pPr>
              <w:jc w:val="right"/>
              <w:ind w:right="73"/>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Below NAV</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80" w:type="dxa"/>
            <w:vAlign w:val="bottom"/>
          </w:tcPr>
          <w:p>
            <w:pPr>
              <w:spacing w:after="0"/>
              <w:rPr>
                <w:sz w:val="11"/>
                <w:szCs w:val="11"/>
                <w:color w:val="auto"/>
              </w:rPr>
            </w:pP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0" w:type="dxa"/>
            <w:vAlign w:val="bottom"/>
          </w:tcPr>
          <w:p>
            <w:pPr>
              <w:spacing w:after="0"/>
              <w:rPr>
                <w:sz w:val="1"/>
                <w:szCs w:val="1"/>
                <w:color w:val="auto"/>
              </w:rPr>
            </w:pPr>
          </w:p>
        </w:tc>
      </w:tr>
      <w:tr>
        <w:trPr>
          <w:trHeight w:val="156"/>
        </w:trPr>
        <w:tc>
          <w:tcPr>
            <w:tcW w:w="27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Offering Price</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Price per share to public</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40" w:type="dxa"/>
            <w:vAlign w:val="bottom"/>
          </w:tcPr>
          <w:p>
            <w:pPr>
              <w:spacing w:after="0"/>
              <w:rPr>
                <w:sz w:val="14"/>
                <w:szCs w:val="14"/>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9.47</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7.89</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offering proceeds per share to issuer</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9.50</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9.00</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7.50</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Decrease to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shares outstanding</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6"/>
              </w:rPr>
              <w:t>1,000,000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1,050,000</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6"/>
              </w:rPr>
              <w:t>1,100,000</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2"/>
              </w:rPr>
              <w:t>1,250,000</w:t>
            </w:r>
          </w:p>
        </w:tc>
        <w:tc>
          <w:tcPr>
            <w:tcW w:w="4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NAV per share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9.98</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9.91</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(0.90)%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9.50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Dilution to Stockholder A</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Shares held by stockholder 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10,000</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10,000</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10,000</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held by stockholder A</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0.95%</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0.91%</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0.80%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 Values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NAV held by stockholder A</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99,800</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(0.20)%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99,100</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95,000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51"/>
        </w:trPr>
        <w:tc>
          <w:tcPr>
            <w:tcW w:w="27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Total investment by stockholder A (assumed to</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 $10.00 per share)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40" w:type="dxa"/>
            <w:vAlign w:val="bottom"/>
          </w:tcPr>
          <w:p>
            <w:pPr>
              <w:spacing w:after="0"/>
              <w:rPr>
                <w:sz w:val="15"/>
                <w:szCs w:val="15"/>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100,000</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100,000</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7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Total dilution to stockholder A (total NAV less</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investment)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(200)</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(900)</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(5,000)</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NAV per share held by stockholder A</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9.98</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9.91</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9.50</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7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Investment per share held by stockholder A</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(assumed to be $10.00 per share on 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held prior to sale)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40" w:type="dxa"/>
            <w:vAlign w:val="bottom"/>
          </w:tcPr>
          <w:p>
            <w:pPr>
              <w:spacing w:after="0"/>
              <w:rPr>
                <w:sz w:val="15"/>
                <w:szCs w:val="15"/>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10.00</w:t>
            </w: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10.00</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76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Dilution per share held by stockholder A (NAV</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 share less investment per share)</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(0.02)</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(0.09)</w:t>
            </w:r>
          </w:p>
        </w:tc>
        <w:tc>
          <w:tcPr>
            <w:tcW w:w="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(0.50)</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7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Percentage dilution to stockholder A (dilution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 share divided by investment per share)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(0.20)%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(0.90)%</w:t>
            </w:r>
          </w:p>
        </w:tc>
        <w:tc>
          <w:tcPr>
            <w:tcW w:w="8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80"/>
        </w:trPr>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0" w:right="1440" w:bottom="1440" w:gutter="0" w:footer="0" w:header="0"/>
        </w:sectPr>
      </w:pPr>
    </w:p>
    <w:bookmarkStart w:id="43" w:name="page44"/>
    <w:bookmarkEnd w:id="43"/>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Impact on Existing Stockholders who Participate in the Offering</w:t>
      </w:r>
    </w:p>
    <w:p>
      <w:pPr>
        <w:spacing w:after="0" w:line="90" w:lineRule="exact"/>
        <w:rPr>
          <w:sz w:val="20"/>
          <w:szCs w:val="20"/>
          <w:color w:val="auto"/>
        </w:rPr>
      </w:pPr>
    </w:p>
    <w:p>
      <w:pPr>
        <w:ind w:left="280" w:right="299" w:firstLine="338"/>
        <w:spacing w:after="0" w:line="249" w:lineRule="auto"/>
        <w:rPr>
          <w:sz w:val="20"/>
          <w:szCs w:val="20"/>
          <w:color w:val="auto"/>
        </w:rPr>
      </w:pPr>
      <w:r>
        <w:rPr>
          <w:rFonts w:ascii="Times New Roman" w:cs="Times New Roman" w:eastAsia="Times New Roman" w:hAnsi="Times New Roman"/>
          <w:sz w:val="14"/>
          <w:szCs w:val="14"/>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51" w:lineRule="exact"/>
        <w:rPr>
          <w:sz w:val="20"/>
          <w:szCs w:val="20"/>
          <w:color w:val="auto"/>
        </w:rPr>
      </w:pPr>
    </w:p>
    <w:p>
      <w:pPr>
        <w:ind w:left="280" w:right="479" w:firstLine="338"/>
        <w:spacing w:after="0" w:line="253" w:lineRule="auto"/>
        <w:rPr>
          <w:sz w:val="20"/>
          <w:szCs w:val="20"/>
          <w:color w:val="auto"/>
        </w:rPr>
      </w:pPr>
      <w:r>
        <w:rPr>
          <w:rFonts w:ascii="Times New Roman" w:cs="Times New Roman" w:eastAsia="Times New Roman" w:hAnsi="Times New Roman"/>
          <w:sz w:val="14"/>
          <w:szCs w:val="14"/>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159" w:lineRule="exact"/>
        <w:rPr>
          <w:sz w:val="20"/>
          <w:szCs w:val="20"/>
          <w:color w:val="auto"/>
        </w:rPr>
      </w:pPr>
    </w:p>
    <w:tbl>
      <w:tblPr>
        <w:tblLayout w:type="fixed"/>
        <w:tblInd w:w="280" w:type="dxa"/>
        <w:tblCellMar>
          <w:top w:w="0" w:type="dxa"/>
          <w:left w:w="0" w:type="dxa"/>
          <w:bottom w:w="0" w:type="dxa"/>
          <w:right w:w="0" w:type="dxa"/>
        </w:tblCellMar>
      </w:tblPr>
      <w:tr>
        <w:trPr>
          <w:trHeight w:val="133"/>
        </w:trPr>
        <w:tc>
          <w:tcPr>
            <w:tcW w:w="3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7"/>
              </w:rPr>
              <w:t>Prior to Sale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4"/>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50% Participation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150% Participation</w:t>
            </w:r>
          </w:p>
        </w:tc>
        <w:tc>
          <w:tcPr>
            <w:tcW w:w="0" w:type="dxa"/>
            <w:vAlign w:val="bottom"/>
          </w:tcPr>
          <w:p>
            <w:pPr>
              <w:spacing w:after="0"/>
              <w:rPr>
                <w:sz w:val="1"/>
                <w:szCs w:val="1"/>
                <w:color w:val="auto"/>
              </w:rPr>
            </w:pPr>
          </w:p>
        </w:tc>
      </w:tr>
      <w:tr>
        <w:trPr>
          <w:trHeight w:val="85"/>
        </w:trPr>
        <w:tc>
          <w:tcPr>
            <w:tcW w:w="3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2"/>
          </w:tcPr>
          <w:p>
            <w:pPr>
              <w:jc w:val="right"/>
              <w:ind w:right="480"/>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420" w:type="dxa"/>
            <w:vAlign w:val="bottom"/>
            <w:tcBorders>
              <w:top w:val="single" w:sz="8" w:color="auto"/>
            </w:tcBorders>
          </w:tcPr>
          <w:p>
            <w:pPr>
              <w:jc w:val="right"/>
              <w:ind w:right="94"/>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2"/>
          </w:tcPr>
          <w:p>
            <w:pPr>
              <w:jc w:val="right"/>
              <w:ind w:right="500"/>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54"/>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Below NAV</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Sale</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0" w:type="dxa"/>
            <w:vAlign w:val="bottom"/>
          </w:tcPr>
          <w:p>
            <w:pPr>
              <w:spacing w:after="0"/>
              <w:rPr>
                <w:sz w:val="1"/>
                <w:szCs w:val="1"/>
                <w:color w:val="auto"/>
              </w:rPr>
            </w:pPr>
          </w:p>
        </w:tc>
      </w:tr>
      <w:tr>
        <w:trPr>
          <w:trHeight w:val="156"/>
        </w:trPr>
        <w:tc>
          <w:tcPr>
            <w:tcW w:w="37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Offering Price</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Price per share to public</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7.89</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7.89</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proceeds per share to issuer</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7.50</w:t>
            </w: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7.50</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Increases in Shares and Decrease to NAV</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shares outstanding</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6"/>
              </w:rPr>
              <w:t>1,000,000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w w:val="96"/>
              </w:rPr>
              <w:t>1,250,000</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1,250,000</w:t>
            </w:r>
          </w:p>
        </w:tc>
        <w:tc>
          <w:tcPr>
            <w:tcW w:w="4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NAV per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9.50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9.50</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(Dilution)/Accretion to Participating Stockholder A</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Shares held by stockholder A</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10,000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11,250</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12.50%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13,750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37.50%</w:t>
            </w: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held by stockholder A</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0.90%</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1.10%</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66"/>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 Values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NAV held by stockholder A</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106,875</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6.88%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130,625</w:t>
            </w:r>
          </w:p>
        </w:tc>
        <w:tc>
          <w:tcPr>
            <w:tcW w:w="4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30.63%</w:t>
            </w:r>
          </w:p>
        </w:tc>
        <w:tc>
          <w:tcPr>
            <w:tcW w:w="0" w:type="dxa"/>
            <w:vAlign w:val="bottom"/>
          </w:tcPr>
          <w:p>
            <w:pPr>
              <w:spacing w:after="0"/>
              <w:rPr>
                <w:sz w:val="1"/>
                <w:szCs w:val="1"/>
                <w:color w:val="auto"/>
              </w:rPr>
            </w:pPr>
          </w:p>
        </w:tc>
      </w:tr>
      <w:tr>
        <w:trPr>
          <w:trHeight w:val="151"/>
        </w:trPr>
        <w:tc>
          <w:tcPr>
            <w:tcW w:w="37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Total investment by stockholder A (assumed to be $10.00 per</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on shares held prior to sale)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109,863</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9.86%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129,588</w:t>
            </w:r>
          </w:p>
        </w:tc>
        <w:tc>
          <w:tcPr>
            <w:tcW w:w="400" w:type="dxa"/>
            <w:vAlign w:val="bottom"/>
          </w:tcPr>
          <w:p>
            <w:pPr>
              <w:spacing w:after="0"/>
              <w:rPr>
                <w:sz w:val="15"/>
                <w:szCs w:val="15"/>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29.59%</w:t>
            </w:r>
          </w:p>
        </w:tc>
        <w:tc>
          <w:tcPr>
            <w:tcW w:w="0" w:type="dxa"/>
            <w:vAlign w:val="bottom"/>
          </w:tcPr>
          <w:p>
            <w:pPr>
              <w:spacing w:after="0"/>
              <w:rPr>
                <w:sz w:val="1"/>
                <w:szCs w:val="1"/>
                <w:color w:val="auto"/>
              </w:rPr>
            </w:pPr>
          </w:p>
        </w:tc>
      </w:tr>
      <w:tr>
        <w:trPr>
          <w:trHeight w:val="151"/>
        </w:trPr>
        <w:tc>
          <w:tcPr>
            <w:tcW w:w="37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Total (dilution)/accretion to stockholder A (total NAV less total</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(2,988)</w:t>
            </w:r>
          </w:p>
        </w:tc>
        <w:tc>
          <w:tcPr>
            <w:tcW w:w="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4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1"/>
        </w:trPr>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8" w:right="1440" w:bottom="144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tbl>
      <w:tblPr>
        <w:tblLayout w:type="fixed"/>
        <w:tblInd w:w="280" w:type="dxa"/>
        <w:tblCellMar>
          <w:top w:w="0" w:type="dxa"/>
          <w:left w:w="0" w:type="dxa"/>
          <w:bottom w:w="0" w:type="dxa"/>
          <w:right w:w="0" w:type="dxa"/>
        </w:tblCellMar>
      </w:tblPr>
      <w:tr>
        <w:trPr>
          <w:trHeight w:val="133"/>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Prior to Sale</w:t>
            </w:r>
          </w:p>
        </w:tc>
        <w:tc>
          <w:tcPr>
            <w:tcW w:w="100" w:type="dxa"/>
            <w:vAlign w:val="bottom"/>
          </w:tcPr>
          <w:p>
            <w:pPr>
              <w:spacing w:after="0"/>
              <w:rPr>
                <w:sz w:val="11"/>
                <w:szCs w:val="11"/>
                <w:color w:val="auto"/>
              </w:rPr>
            </w:pPr>
          </w:p>
        </w:tc>
        <w:tc>
          <w:tcPr>
            <w:tcW w:w="1540" w:type="dxa"/>
            <w:vAlign w:val="bottom"/>
            <w:gridSpan w:val="4"/>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50% Participation</w:t>
            </w:r>
          </w:p>
        </w:tc>
        <w:tc>
          <w:tcPr>
            <w:tcW w:w="100" w:type="dxa"/>
            <w:vAlign w:val="bottom"/>
          </w:tcPr>
          <w:p>
            <w:pPr>
              <w:spacing w:after="0"/>
              <w:rPr>
                <w:sz w:val="11"/>
                <w:szCs w:val="11"/>
                <w:color w:val="auto"/>
              </w:rPr>
            </w:pPr>
          </w:p>
        </w:tc>
        <w:tc>
          <w:tcPr>
            <w:tcW w:w="126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9"/>
              </w:rPr>
              <w:t>150% Participation</w:t>
            </w:r>
          </w:p>
        </w:tc>
        <w:tc>
          <w:tcPr>
            <w:tcW w:w="0" w:type="dxa"/>
            <w:vAlign w:val="bottom"/>
          </w:tcPr>
          <w:p>
            <w:pPr>
              <w:spacing w:after="0"/>
              <w:rPr>
                <w:sz w:val="1"/>
                <w:szCs w:val="1"/>
                <w:color w:val="auto"/>
              </w:rPr>
            </w:pPr>
          </w:p>
        </w:tc>
      </w:tr>
      <w:tr>
        <w:trPr>
          <w:trHeight w:val="85"/>
        </w:trPr>
        <w:tc>
          <w:tcPr>
            <w:tcW w:w="4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20" w:type="dxa"/>
            <w:vAlign w:val="bottom"/>
            <w:tcBorders>
              <w:top w:val="single" w:sz="8" w:color="auto"/>
            </w:tcBorders>
            <w:gridSpan w:val="3"/>
          </w:tcPr>
          <w:p>
            <w:pPr>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57"/>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460" w:type="dxa"/>
            <w:vAlign w:val="bottom"/>
          </w:tcPr>
          <w:p>
            <w:pPr>
              <w:spacing w:after="0"/>
              <w:rPr>
                <w:sz w:val="7"/>
                <w:szCs w:val="7"/>
                <w:color w:val="auto"/>
              </w:rPr>
            </w:pPr>
          </w:p>
        </w:tc>
        <w:tc>
          <w:tcPr>
            <w:tcW w:w="800" w:type="dxa"/>
            <w:vAlign w:val="bottom"/>
            <w:tcBorders>
              <w:top w:val="single" w:sz="8" w:color="auto"/>
            </w:tcBorders>
            <w:gridSpan w:val="3"/>
          </w:tcPr>
          <w:p>
            <w:pPr>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57"/>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Below NAV</w:t>
            </w:r>
          </w:p>
        </w:tc>
        <w:tc>
          <w:tcPr>
            <w:tcW w:w="100" w:type="dxa"/>
            <w:vAlign w:val="bottom"/>
          </w:tcPr>
          <w:p>
            <w:pPr>
              <w:spacing w:after="0"/>
              <w:rPr>
                <w:sz w:val="11"/>
                <w:szCs w:val="11"/>
                <w:color w:val="auto"/>
              </w:rPr>
            </w:pP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Sale</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10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0" w:type="dxa"/>
            <w:vAlign w:val="bottom"/>
          </w:tcPr>
          <w:p>
            <w:pPr>
              <w:spacing w:after="0"/>
              <w:rPr>
                <w:sz w:val="1"/>
                <w:szCs w:val="1"/>
                <w:color w:val="auto"/>
              </w:rPr>
            </w:pPr>
          </w:p>
        </w:tc>
      </w:tr>
      <w:tr>
        <w:trPr>
          <w:trHeight w:val="146"/>
        </w:trPr>
        <w:tc>
          <w:tcPr>
            <w:tcW w:w="4400" w:type="dxa"/>
            <w:vAlign w:val="bottom"/>
            <w:tcBorders>
              <w:top w:val="single" w:sz="8" w:color="CCEEFF"/>
            </w:tcBorders>
            <w:shd w:val="clear" w:color="auto" w:fill="CCEEFF"/>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Per Share Amounts</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NAV per share held by stockholder A</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9.50</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9.50</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Investment per share held by stockholder A (assumed to be $10.00 per</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share on shares held prior to sale)</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9.77</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w w:val="97"/>
              </w:rPr>
              <w:t>9.42</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151"/>
        </w:trPr>
        <w:tc>
          <w:tcPr>
            <w:tcW w:w="440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auto"/>
              </w:rPr>
              <w:t>(Dilution)/accretion per share held by stockholder A (NAV per share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less investment per share)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(0.27)</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7"/>
              </w:rPr>
              <w:t>0.08</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Percentage (dilution)/accretion to stockholder A (dilution)/accretion per</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share divided by investment per share</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0.85%</w:t>
            </w:r>
          </w:p>
        </w:tc>
        <w:tc>
          <w:tcPr>
            <w:tcW w:w="0" w:type="dxa"/>
            <w:vAlign w:val="bottom"/>
          </w:tcPr>
          <w:p>
            <w:pPr>
              <w:spacing w:after="0"/>
              <w:rPr>
                <w:sz w:val="1"/>
                <w:szCs w:val="1"/>
                <w:color w:val="auto"/>
              </w:rPr>
            </w:pPr>
          </w:p>
        </w:tc>
      </w:tr>
    </w:tbl>
    <w:p>
      <w:pPr>
        <w:sectPr>
          <w:pgSz w:w="11900" w:h="16838" w:orient="portrait"/>
          <w:cols w:equalWidth="0" w:num="1">
            <w:col w:w="9019"/>
          </w:cols>
          <w:pgMar w:left="1440" w:top="255" w:right="1440" w:bottom="1440" w:gutter="0" w:footer="0" w:header="0"/>
        </w:sectPr>
      </w:pPr>
    </w:p>
    <w:bookmarkStart w:id="45" w:name="page46"/>
    <w:bookmarkEnd w:id="45"/>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Impact on New Investors</w:t>
      </w:r>
    </w:p>
    <w:p>
      <w:pPr>
        <w:spacing w:after="0" w:line="90" w:lineRule="exact"/>
        <w:rPr>
          <w:sz w:val="20"/>
          <w:szCs w:val="20"/>
          <w:color w:val="auto"/>
        </w:rPr>
      </w:pPr>
    </w:p>
    <w:p>
      <w:pPr>
        <w:ind w:left="280" w:right="619" w:firstLine="338"/>
        <w:spacing w:after="0" w:line="262" w:lineRule="auto"/>
        <w:rPr>
          <w:sz w:val="20"/>
          <w:szCs w:val="20"/>
          <w:color w:val="auto"/>
        </w:rPr>
      </w:pPr>
      <w:r>
        <w:rPr>
          <w:rFonts w:ascii="Times New Roman" w:cs="Times New Roman" w:eastAsia="Times New Roman" w:hAnsi="Times New Roman"/>
          <w:sz w:val="14"/>
          <w:szCs w:val="14"/>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36" w:lineRule="exact"/>
        <w:rPr>
          <w:sz w:val="20"/>
          <w:szCs w:val="20"/>
          <w:color w:val="auto"/>
        </w:rPr>
      </w:pPr>
    </w:p>
    <w:p>
      <w:pPr>
        <w:ind w:left="280" w:right="319" w:firstLine="338"/>
        <w:spacing w:after="0" w:line="250" w:lineRule="auto"/>
        <w:rPr>
          <w:sz w:val="20"/>
          <w:szCs w:val="20"/>
          <w:color w:val="auto"/>
        </w:rPr>
      </w:pPr>
      <w:r>
        <w:rPr>
          <w:rFonts w:ascii="Times New Roman" w:cs="Times New Roman" w:eastAsia="Times New Roman" w:hAnsi="Times New Roman"/>
          <w:sz w:val="14"/>
          <w:szCs w:val="14"/>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46" w:lineRule="exact"/>
        <w:rPr>
          <w:sz w:val="20"/>
          <w:szCs w:val="20"/>
          <w:color w:val="auto"/>
        </w:rPr>
      </w:pPr>
    </w:p>
    <w:p>
      <w:pPr>
        <w:ind w:left="280" w:right="339" w:firstLine="338"/>
        <w:spacing w:after="0" w:line="251" w:lineRule="auto"/>
        <w:rPr>
          <w:sz w:val="20"/>
          <w:szCs w:val="20"/>
          <w:color w:val="auto"/>
        </w:rPr>
      </w:pPr>
      <w:r>
        <w:rPr>
          <w:rFonts w:ascii="Times New Roman" w:cs="Times New Roman" w:eastAsia="Times New Roman" w:hAnsi="Times New Roman"/>
          <w:sz w:val="14"/>
          <w:szCs w:val="14"/>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52705</wp:posOffset>
            </wp:positionV>
            <wp:extent cx="7202805" cy="584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02805" cy="58420"/>
                    </a:xfrm>
                    <a:prstGeom prst="rect">
                      <a:avLst/>
                    </a:prstGeom>
                    <a:noFill/>
                  </pic:spPr>
                </pic:pic>
              </a:graphicData>
            </a:graphic>
          </wp:anchor>
        </w:drawing>
      </w:r>
    </w:p>
    <w:p>
      <w:pPr>
        <w:spacing w:after="0" w:line="186"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2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left="215"/>
              <w:spacing w:after="0"/>
              <w:rPr>
                <w:sz w:val="20"/>
                <w:szCs w:val="20"/>
                <w:color w:val="auto"/>
              </w:rPr>
            </w:pPr>
            <w:r>
              <w:rPr>
                <w:rFonts w:ascii="Times New Roman" w:cs="Times New Roman" w:eastAsia="Times New Roman" w:hAnsi="Times New Roman"/>
                <w:sz w:val="11"/>
                <w:szCs w:val="11"/>
                <w:b w:val="1"/>
                <w:bCs w:val="1"/>
                <w:color w:val="auto"/>
              </w:rPr>
              <w:t>Example 1</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left="215"/>
              <w:spacing w:after="0"/>
              <w:rPr>
                <w:sz w:val="20"/>
                <w:szCs w:val="20"/>
                <w:color w:val="auto"/>
              </w:rPr>
            </w:pPr>
            <w:r>
              <w:rPr>
                <w:rFonts w:ascii="Times New Roman" w:cs="Times New Roman" w:eastAsia="Times New Roman" w:hAnsi="Times New Roman"/>
                <w:sz w:val="11"/>
                <w:szCs w:val="11"/>
                <w:b w:val="1"/>
                <w:bCs w:val="1"/>
                <w:color w:val="auto"/>
              </w:rPr>
              <w:t>Example 2</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left="235"/>
              <w:spacing w:after="0"/>
              <w:rPr>
                <w:sz w:val="20"/>
                <w:szCs w:val="20"/>
                <w:color w:val="auto"/>
              </w:rPr>
            </w:pPr>
            <w:r>
              <w:rPr>
                <w:rFonts w:ascii="Times New Roman" w:cs="Times New Roman" w:eastAsia="Times New Roman" w:hAnsi="Times New Roman"/>
                <w:sz w:val="11"/>
                <w:szCs w:val="11"/>
                <w:b w:val="1"/>
                <w:bCs w:val="1"/>
                <w:color w:val="auto"/>
              </w:rPr>
              <w:t>Example 3</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left="195"/>
              <w:spacing w:after="0" w:line="114" w:lineRule="exact"/>
              <w:rPr>
                <w:sz w:val="20"/>
                <w:szCs w:val="20"/>
                <w:color w:val="auto"/>
              </w:rPr>
            </w:pPr>
            <w:r>
              <w:rPr>
                <w:rFonts w:ascii="Times New Roman" w:cs="Times New Roman" w:eastAsia="Times New Roman" w:hAnsi="Times New Roman"/>
                <w:sz w:val="11"/>
                <w:szCs w:val="11"/>
                <w:b w:val="1"/>
                <w:bCs w:val="1"/>
                <w:color w:val="auto"/>
              </w:rPr>
              <w:t>5% Offering</w:t>
            </w: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tcPr>
          <w:p>
            <w:pPr>
              <w:jc w:val="center"/>
              <w:ind w:right="460"/>
              <w:spacing w:after="0" w:line="114" w:lineRule="exact"/>
              <w:rPr>
                <w:sz w:val="20"/>
                <w:szCs w:val="20"/>
                <w:color w:val="auto"/>
              </w:rPr>
            </w:pPr>
            <w:r>
              <w:rPr>
                <w:rFonts w:ascii="Times New Roman" w:cs="Times New Roman" w:eastAsia="Times New Roman" w:hAnsi="Times New Roman"/>
                <w:sz w:val="11"/>
                <w:szCs w:val="11"/>
                <w:b w:val="1"/>
                <w:bCs w:val="1"/>
                <w:color w:val="auto"/>
              </w:rPr>
              <w:t>10% Offering</w:t>
            </w:r>
          </w:p>
        </w:tc>
        <w:tc>
          <w:tcPr>
            <w:tcW w:w="80" w:type="dxa"/>
            <w:vAlign w:val="bottom"/>
          </w:tcPr>
          <w:p>
            <w:pPr>
              <w:spacing w:after="0"/>
              <w:rPr>
                <w:sz w:val="9"/>
                <w:szCs w:val="9"/>
                <w:color w:val="auto"/>
              </w:rPr>
            </w:pPr>
          </w:p>
        </w:tc>
        <w:tc>
          <w:tcPr>
            <w:tcW w:w="1480" w:type="dxa"/>
            <w:vAlign w:val="bottom"/>
            <w:gridSpan w:val="4"/>
          </w:tcPr>
          <w:p>
            <w:pPr>
              <w:jc w:val="center"/>
              <w:ind w:right="260"/>
              <w:spacing w:after="0" w:line="114" w:lineRule="exact"/>
              <w:rPr>
                <w:sz w:val="20"/>
                <w:szCs w:val="20"/>
                <w:color w:val="auto"/>
              </w:rPr>
            </w:pPr>
            <w:r>
              <w:rPr>
                <w:rFonts w:ascii="Times New Roman" w:cs="Times New Roman" w:eastAsia="Times New Roman" w:hAnsi="Times New Roman"/>
                <w:sz w:val="11"/>
                <w:szCs w:val="11"/>
                <w:b w:val="1"/>
                <w:bCs w:val="1"/>
                <w:color w:val="auto"/>
              </w:rPr>
              <w:t>25% Offering</w:t>
            </w: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94"/>
              </w:rPr>
              <w:t>Prior to Sale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4"/>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at 5% Discount</w:t>
            </w:r>
          </w:p>
        </w:tc>
        <w:tc>
          <w:tcPr>
            <w:tcW w:w="80" w:type="dxa"/>
            <w:vAlign w:val="bottom"/>
          </w:tcPr>
          <w:p>
            <w:pPr>
              <w:spacing w:after="0"/>
              <w:rPr>
                <w:sz w:val="11"/>
                <w:szCs w:val="11"/>
                <w:color w:val="auto"/>
              </w:rPr>
            </w:pPr>
          </w:p>
        </w:tc>
        <w:tc>
          <w:tcPr>
            <w:tcW w:w="1640" w:type="dxa"/>
            <w:vAlign w:val="bottom"/>
            <w:gridSpan w:val="4"/>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9"/>
              </w:rPr>
              <w:t>at 10% Discount</w:t>
            </w:r>
          </w:p>
        </w:tc>
        <w:tc>
          <w:tcPr>
            <w:tcW w:w="80" w:type="dxa"/>
            <w:vAlign w:val="bottom"/>
          </w:tcPr>
          <w:p>
            <w:pPr>
              <w:spacing w:after="0"/>
              <w:rPr>
                <w:sz w:val="11"/>
                <w:szCs w:val="11"/>
                <w:color w:val="auto"/>
              </w:rPr>
            </w:pPr>
          </w:p>
        </w:tc>
        <w:tc>
          <w:tcPr>
            <w:tcW w:w="148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at 25% Discount</w:t>
            </w:r>
          </w:p>
        </w:tc>
        <w:tc>
          <w:tcPr>
            <w:tcW w:w="0" w:type="dxa"/>
            <w:vAlign w:val="bottom"/>
          </w:tcPr>
          <w:p>
            <w:pPr>
              <w:spacing w:after="0"/>
              <w:rPr>
                <w:sz w:val="1"/>
                <w:szCs w:val="1"/>
                <w:color w:val="auto"/>
              </w:rPr>
            </w:pPr>
          </w:p>
        </w:tc>
      </w:tr>
      <w:tr>
        <w:trPr>
          <w:trHeight w:val="85"/>
        </w:trPr>
        <w:tc>
          <w:tcPr>
            <w:tcW w:w="26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2"/>
          </w:tcPr>
          <w:p>
            <w:pPr>
              <w:jc w:val="right"/>
              <w:ind w:right="440"/>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73"/>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2"/>
          </w:tcPr>
          <w:p>
            <w:pPr>
              <w:jc w:val="right"/>
              <w:ind w:right="440"/>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73"/>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2"/>
          </w:tcPr>
          <w:p>
            <w:pPr>
              <w:jc w:val="right"/>
              <w:ind w:right="440"/>
              <w:spacing w:after="0" w:line="85" w:lineRule="exact"/>
              <w:rPr>
                <w:sz w:val="20"/>
                <w:szCs w:val="20"/>
                <w:color w:val="auto"/>
              </w:rPr>
            </w:pPr>
            <w:r>
              <w:rPr>
                <w:rFonts w:ascii="Times New Roman" w:cs="Times New Roman" w:eastAsia="Times New Roman" w:hAnsi="Times New Roman"/>
                <w:sz w:val="9"/>
                <w:szCs w:val="9"/>
                <w:b w:val="1"/>
                <w:bCs w:val="1"/>
                <w:color w:val="auto"/>
              </w:rPr>
              <w:t>Following</w:t>
            </w:r>
          </w:p>
        </w:tc>
        <w:tc>
          <w:tcPr>
            <w:tcW w:w="360" w:type="dxa"/>
            <w:vAlign w:val="bottom"/>
            <w:tcBorders>
              <w:top w:val="single" w:sz="8" w:color="auto"/>
            </w:tcBorders>
          </w:tcPr>
          <w:p>
            <w:pPr>
              <w:jc w:val="right"/>
              <w:ind w:right="53"/>
              <w:spacing w:after="0" w:line="85" w:lineRule="exact"/>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w w:val="97"/>
              </w:rPr>
              <w:t>Below NAV</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Sale</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80" w:type="dxa"/>
            <w:vAlign w:val="bottom"/>
          </w:tcPr>
          <w:p>
            <w:pPr>
              <w:spacing w:after="0"/>
              <w:rPr>
                <w:sz w:val="11"/>
                <w:szCs w:val="11"/>
                <w:color w:val="auto"/>
              </w:rPr>
            </w:pP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Sale</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80" w:type="dxa"/>
            <w:vAlign w:val="bottom"/>
          </w:tcPr>
          <w:p>
            <w:pPr>
              <w:spacing w:after="0"/>
              <w:rPr>
                <w:sz w:val="11"/>
                <w:szCs w:val="11"/>
                <w:color w:val="auto"/>
              </w:rPr>
            </w:pP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0" w:type="dxa"/>
            <w:vAlign w:val="bottom"/>
          </w:tcPr>
          <w:p>
            <w:pPr>
              <w:spacing w:after="0"/>
              <w:rPr>
                <w:sz w:val="1"/>
                <w:szCs w:val="1"/>
                <w:color w:val="auto"/>
              </w:rPr>
            </w:pPr>
          </w:p>
        </w:tc>
      </w:tr>
      <w:tr>
        <w:trPr>
          <w:trHeight w:val="156"/>
        </w:trPr>
        <w:tc>
          <w:tcPr>
            <w:tcW w:w="262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Offering Price</w:t>
            </w:r>
          </w:p>
        </w:tc>
        <w:tc>
          <w:tcPr>
            <w:tcW w:w="6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Price per share to public</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10.00</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9.47</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7.89</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offering proceeds per share to issuer</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9.50</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9.00</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7.50</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Decrease to NAV</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shares outstanding</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w w:val="92"/>
              </w:rPr>
              <w:t>1,050,000</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w w:val="96"/>
              </w:rPr>
              <w:t>1,100,000</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1,250,000</w:t>
            </w:r>
          </w:p>
        </w:tc>
        <w:tc>
          <w:tcPr>
            <w:tcW w:w="3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NAV per share</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9.98</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9.91</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(0.90)%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9.50</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Dilution to Stockholder A</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Shares held by stockholder A</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500</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1,000</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2,500</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held by stockholder A</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0.05%</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0.09%</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0.20%</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 Values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NAV held by stockholder A</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4,990</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9,910</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23,750</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investment by stockholder A</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5,000</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9,470</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19,725</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620" w:type="dxa"/>
            <w:vAlign w:val="bottom"/>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Total (dilution)/accretion to</w:t>
            </w: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stockholder A (total NAV less total</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investment)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(10)</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440</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4,025</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NAV per share held by stockholder A</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9.98</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9.91</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9.50</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62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auto"/>
              </w:rPr>
              <w:t>Investment per share held by</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stockholder A</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10.00</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9.47</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7.89</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620" w:type="dxa"/>
            <w:vAlign w:val="bottom"/>
            <w:shd w:val="clear" w:color="auto" w:fill="CCEEFF"/>
          </w:tcPr>
          <w:p>
            <w:pPr>
              <w:ind w:left="260"/>
              <w:spacing w:after="0" w:line="151" w:lineRule="exact"/>
              <w:rPr>
                <w:sz w:val="20"/>
                <w:szCs w:val="20"/>
                <w:color w:val="auto"/>
              </w:rPr>
            </w:pPr>
            <w:r>
              <w:rPr>
                <w:rFonts w:ascii="Times New Roman" w:cs="Times New Roman" w:eastAsia="Times New Roman" w:hAnsi="Times New Roman"/>
                <w:sz w:val="14"/>
                <w:szCs w:val="14"/>
                <w:color w:val="auto"/>
              </w:rPr>
              <w:t>(Dilution)/accretion per share held by</w:t>
            </w: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stockholder A (NAV per share less</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investment per share)</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(0.02)</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0.44</w:t>
            </w:r>
          </w:p>
        </w:tc>
        <w:tc>
          <w:tcPr>
            <w:tcW w:w="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1.61</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262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auto"/>
              </w:rPr>
              <w:t>Percentage (dilution)/accretion to</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stockholder A (dilution)/ accretion</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per share divided by investment per</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share</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73" w:lineRule="exact"/>
        <w:rPr>
          <w:sz w:val="20"/>
          <w:szCs w:val="20"/>
          <w:color w:val="auto"/>
        </w:rPr>
      </w:pPr>
    </w:p>
    <w:p>
      <w:pPr>
        <w:ind w:left="280" w:right="519" w:firstLine="338"/>
        <w:spacing w:after="0" w:line="254" w:lineRule="auto"/>
        <w:rPr>
          <w:sz w:val="20"/>
          <w:szCs w:val="20"/>
          <w:color w:val="auto"/>
        </w:rPr>
      </w:pPr>
      <w:r>
        <w:rPr>
          <w:rFonts w:ascii="Times New Roman" w:cs="Times New Roman" w:eastAsia="Times New Roman" w:hAnsi="Times New Roman"/>
          <w:sz w:val="14"/>
          <w:szCs w:val="14"/>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44" w:lineRule="exact"/>
        <w:rPr>
          <w:sz w:val="20"/>
          <w:szCs w:val="20"/>
          <w:color w:val="auto"/>
        </w:rPr>
      </w:pPr>
    </w:p>
    <w:p>
      <w:pPr>
        <w:ind w:left="280" w:right="919" w:firstLine="338"/>
        <w:spacing w:after="0" w:line="277" w:lineRule="auto"/>
        <w:rPr>
          <w:sz w:val="20"/>
          <w:szCs w:val="20"/>
          <w:color w:val="auto"/>
        </w:rPr>
      </w:pPr>
      <w:r>
        <w:rPr>
          <w:rFonts w:ascii="Times New Roman" w:cs="Times New Roman" w:eastAsia="Times New Roman" w:hAnsi="Times New Roman"/>
          <w:sz w:val="14"/>
          <w:szCs w:val="14"/>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123" w:right="1440" w:bottom="1440" w:gutter="0" w:footer="0" w:header="0"/>
        </w:sectPr>
      </w:pPr>
    </w:p>
    <w:bookmarkStart w:id="46" w:name="page47"/>
    <w:bookmarkEnd w:id="46"/>
    <w:p>
      <w:pPr>
        <w:ind w:left="280" w:right="299" w:firstLine="338"/>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tax characteristics of distributions declared, in accordance with Section 19(a) of the 1940 Act, for our fiscal and taxable years ended September 30, 2022 and 2021 from ordinary income (including short-term gains), if any, totaled $46.7 million, or $1.14 per share, and $44.2 million, or $1.14 per share, based on the weighted average shares outstanding for the respective periods. Additionally, for both years ended September 30, 2022 and 2021, we did not pay any distributions from long-term capital gains.</w:t>
      </w:r>
    </w:p>
    <w:p>
      <w:pPr>
        <w:spacing w:after="0" w:line="140" w:lineRule="exact"/>
        <w:rPr>
          <w:sz w:val="20"/>
          <w:szCs w:val="20"/>
          <w:color w:val="auto"/>
        </w:rPr>
      </w:pPr>
    </w:p>
    <w:p>
      <w:pPr>
        <w:ind w:left="280" w:right="439" w:firstLine="338"/>
        <w:spacing w:after="0" w:line="254"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60"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02805" cy="45720"/>
                    </a:xfrm>
                    <a:prstGeom prst="rect">
                      <a:avLst/>
                    </a:prstGeom>
                    <a:noFill/>
                  </pic:spPr>
                </pic:pic>
              </a:graphicData>
            </a:graphic>
          </wp:anchor>
        </w:drawing>
        <w:t>PORTFOLIO COMPANIES</w:t>
      </w:r>
    </w:p>
    <w:p>
      <w:pPr>
        <w:spacing w:after="0" w:line="173" w:lineRule="exact"/>
        <w:rPr>
          <w:sz w:val="20"/>
          <w:szCs w:val="20"/>
          <w:color w:val="auto"/>
        </w:rPr>
      </w:pPr>
    </w:p>
    <w:p>
      <w:pPr>
        <w:ind w:left="280" w:right="379" w:firstLine="338"/>
        <w:spacing w:after="0" w:line="254" w:lineRule="auto"/>
        <w:rPr>
          <w:sz w:val="20"/>
          <w:szCs w:val="20"/>
          <w:color w:val="auto"/>
        </w:rPr>
      </w:pPr>
      <w:r>
        <w:rPr>
          <w:rFonts w:ascii="Times New Roman" w:cs="Times New Roman" w:eastAsia="Times New Roman" w:hAnsi="Times New Roman"/>
          <w:sz w:val="14"/>
          <w:szCs w:val="14"/>
          <w:color w:val="auto"/>
        </w:rPr>
        <w:t>The following is a listing of each portfolio company or its affiliate, together referred to as portfolio companies, in which we had an investment as of September 30, 2022.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Annual Report on Form 10-K for the fiscal year ended September 30, 2022.</w:t>
      </w:r>
    </w:p>
    <w:p>
      <w:pPr>
        <w:spacing w:after="0" w:line="144" w:lineRule="exact"/>
        <w:rPr>
          <w:sz w:val="20"/>
          <w:szCs w:val="20"/>
          <w:color w:val="auto"/>
        </w:rPr>
      </w:pPr>
    </w:p>
    <w:p>
      <w:pPr>
        <w:ind w:left="280" w:right="339" w:firstLine="338"/>
        <w:spacing w:after="0" w:line="251" w:lineRule="auto"/>
        <w:rPr>
          <w:sz w:val="20"/>
          <w:szCs w:val="20"/>
          <w:color w:val="auto"/>
        </w:rPr>
      </w:pPr>
      <w:r>
        <w:rPr>
          <w:rFonts w:ascii="Times New Roman" w:cs="Times New Roman" w:eastAsia="Times New Roman" w:hAnsi="Times New Roman"/>
          <w:sz w:val="14"/>
          <w:szCs w:val="14"/>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as disclosed in our Consolidated Schedule of Investments. Unless otherwise noted, we held no voting board membership on any of our portfolio companies.</w:t>
      </w:r>
    </w:p>
    <w:p>
      <w:pPr>
        <w:spacing w:after="0" w:line="148"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Type of Investment,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3700" w:type="dxa"/>
            <w:vAlign w:val="bottom"/>
            <w:gridSpan w:val="3"/>
            <w:vMerge w:val="continue"/>
          </w:tcPr>
          <w:p>
            <w:pPr>
              <w:spacing w:after="0"/>
              <w:rPr>
                <w:sz w:val="9"/>
                <w:szCs w:val="9"/>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60" w:type="dxa"/>
            <w:vAlign w:val="bottom"/>
            <w:gridSpan w:val="2"/>
            <w:vMerge w:val="continue"/>
          </w:tcPr>
          <w:p>
            <w:pPr>
              <w:spacing w:after="0"/>
              <w:rPr>
                <w:sz w:val="9"/>
                <w:szCs w:val="9"/>
                <w:color w:val="auto"/>
              </w:rPr>
            </w:pPr>
          </w:p>
        </w:tc>
        <w:tc>
          <w:tcPr>
            <w:tcW w:w="8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70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460" w:type="dxa"/>
            <w:vAlign w:val="bottom"/>
            <w:gridSpan w:val="2"/>
            <w:vMerge w:val="continue"/>
          </w:tcPr>
          <w:p>
            <w:pPr>
              <w:spacing w:after="0"/>
              <w:rPr>
                <w:sz w:val="10"/>
                <w:szCs w:val="10"/>
                <w:color w:val="auto"/>
              </w:rPr>
            </w:pPr>
          </w:p>
        </w:tc>
        <w:tc>
          <w:tcPr>
            <w:tcW w:w="166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840" w:type="dxa"/>
            <w:vAlign w:val="bottom"/>
            <w:gridSpan w:val="2"/>
          </w:tcPr>
          <w:p>
            <w:pPr>
              <w:jc w:val="right"/>
              <w:ind w:right="180"/>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80" w:type="dxa"/>
            <w:vAlign w:val="bottom"/>
          </w:tcPr>
          <w:p>
            <w:pPr>
              <w:spacing w:after="0"/>
              <w:rPr>
                <w:sz w:val="10"/>
                <w:szCs w:val="10"/>
                <w:color w:val="auto"/>
              </w:rPr>
            </w:pPr>
          </w:p>
        </w:tc>
        <w:tc>
          <w:tcPr>
            <w:tcW w:w="7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gridSpan w:val="2"/>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Companies Less than 5% Owned</w:t>
            </w:r>
          </w:p>
        </w:tc>
        <w:tc>
          <w:tcPr>
            <w:tcW w:w="1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680" w:type="dxa"/>
            <w:vAlign w:val="bottom"/>
            <w:gridSpan w:val="2"/>
          </w:tcPr>
          <w:p>
            <w:pPr>
              <w:spacing w:after="0" w:line="97" w:lineRule="exact"/>
              <w:rPr>
                <w:sz w:val="20"/>
                <w:szCs w:val="20"/>
                <w:color w:val="auto"/>
              </w:rPr>
            </w:pPr>
            <w:r>
              <w:rPr>
                <w:rFonts w:ascii="Times New Roman" w:cs="Times New Roman" w:eastAsia="Times New Roman" w:hAnsi="Times New Roman"/>
                <w:sz w:val="11"/>
                <w:szCs w:val="11"/>
                <w:color w:val="auto"/>
              </w:rPr>
              <w:t>Ad.net Acquisition, LLC</w:t>
            </w:r>
          </w:p>
        </w:tc>
        <w:tc>
          <w:tcPr>
            <w:tcW w:w="1460" w:type="dxa"/>
            <w:vAlign w:val="bottom"/>
            <w:gridSpan w:val="2"/>
          </w:tcPr>
          <w:p>
            <w:pPr>
              <w:jc w:val="center"/>
              <w:ind w:right="340"/>
              <w:spacing w:after="0" w:line="97" w:lineRule="exact"/>
              <w:rPr>
                <w:sz w:val="20"/>
                <w:szCs w:val="20"/>
                <w:color w:val="auto"/>
              </w:rPr>
            </w:pPr>
            <w:r>
              <w:rPr>
                <w:rFonts w:ascii="Times New Roman" w:cs="Times New Roman" w:eastAsia="Times New Roman" w:hAnsi="Times New Roman"/>
                <w:sz w:val="11"/>
                <w:szCs w:val="11"/>
                <w:color w:val="auto"/>
                <w:w w:val="99"/>
              </w:rPr>
              <w:t>Media</w:t>
            </w:r>
          </w:p>
        </w:tc>
        <w:tc>
          <w:tcPr>
            <w:tcW w:w="1660" w:type="dxa"/>
            <w:vAlign w:val="bottom"/>
            <w:gridSpan w:val="2"/>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840" w:type="dxa"/>
            <w:vAlign w:val="bottom"/>
            <w:gridSpan w:val="2"/>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0.9%</w:t>
            </w:r>
          </w:p>
        </w:tc>
        <w:tc>
          <w:tcPr>
            <w:tcW w:w="160" w:type="dxa"/>
            <w:vAlign w:val="bottom"/>
            <w:gridSpan w:val="2"/>
          </w:tcPr>
          <w:p>
            <w:pPr>
              <w:ind w:left="80"/>
              <w:spacing w:after="0" w:line="97"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5,737</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(Ad.net Holdings, Inc.(5))</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w w:val="98"/>
              </w:rPr>
              <w:t>3M L+600, 05/06/2026</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1100 Glendon Avenue, Suite 1200</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Preferred Equity</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Los Angeles, CA 90024</w:t>
            </w: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8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Affinion Group Holdings, Inc.</w:t>
            </w:r>
          </w:p>
        </w:tc>
        <w:tc>
          <w:tcPr>
            <w:tcW w:w="1460" w:type="dxa"/>
            <w:vAlign w:val="bottom"/>
            <w:gridSpan w:val="2"/>
            <w:shd w:val="clear" w:color="auto" w:fill="CCEEFF"/>
          </w:tcPr>
          <w:p>
            <w:pPr>
              <w:jc w:val="center"/>
              <w:ind w:right="340"/>
              <w:spacing w:after="0" w:line="97" w:lineRule="exact"/>
              <w:rPr>
                <w:sz w:val="20"/>
                <w:szCs w:val="20"/>
                <w:color w:val="auto"/>
              </w:rPr>
            </w:pPr>
            <w:r>
              <w:rPr>
                <w:rFonts w:ascii="Times New Roman" w:cs="Times New Roman" w:eastAsia="Times New Roman" w:hAnsi="Times New Roman"/>
                <w:sz w:val="11"/>
                <w:szCs w:val="11"/>
                <w:color w:val="auto"/>
              </w:rPr>
              <w:t>Consumer Goods:</w:t>
            </w:r>
          </w:p>
        </w:tc>
        <w:tc>
          <w:tcPr>
            <w:tcW w:w="166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w w:val="94"/>
              </w:rPr>
              <w:t>Warrants</w:t>
            </w:r>
          </w:p>
        </w:tc>
        <w:tc>
          <w:tcPr>
            <w:tcW w:w="840" w:type="dxa"/>
            <w:vAlign w:val="bottom"/>
            <w:gridSpan w:val="2"/>
            <w:shd w:val="clear" w:color="auto" w:fill="CCEEFF"/>
          </w:tcPr>
          <w:p>
            <w:pPr>
              <w:jc w:val="right"/>
              <w:ind w:right="24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100 Connecticut Avenue</w:t>
            </w:r>
          </w:p>
        </w:tc>
        <w:tc>
          <w:tcPr>
            <w:tcW w:w="1460" w:type="dxa"/>
            <w:vAlign w:val="bottom"/>
            <w:gridSpan w:val="2"/>
            <w:shd w:val="clear" w:color="auto" w:fill="CCEEFF"/>
          </w:tcPr>
          <w:p>
            <w:pPr>
              <w:jc w:val="center"/>
              <w:ind w:right="340"/>
              <w:spacing w:after="0" w:line="114" w:lineRule="exact"/>
              <w:rPr>
                <w:sz w:val="20"/>
                <w:szCs w:val="20"/>
                <w:color w:val="auto"/>
              </w:rPr>
            </w:pPr>
            <w:r>
              <w:rPr>
                <w:rFonts w:ascii="Times New Roman" w:cs="Times New Roman" w:eastAsia="Times New Roman" w:hAnsi="Times New Roman"/>
                <w:sz w:val="11"/>
                <w:szCs w:val="11"/>
                <w:color w:val="auto"/>
              </w:rPr>
              <w:t>Durable</w:t>
            </w:r>
          </w:p>
        </w:tc>
        <w:tc>
          <w:tcPr>
            <w:tcW w:w="1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Norwalk, CT 06850</w:t>
            </w:r>
          </w:p>
        </w:tc>
        <w:tc>
          <w:tcPr>
            <w:tcW w:w="1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AG Investco LP(5)</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Software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Common Equity(4)</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1,127</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251 Little Falls Drive</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Herndon, VA 19808</w:t>
            </w: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8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Altamira Technologies, LLC</w:t>
            </w:r>
          </w:p>
        </w:tc>
        <w:tc>
          <w:tcPr>
            <w:tcW w:w="1460" w:type="dxa"/>
            <w:vAlign w:val="bottom"/>
            <w:gridSpan w:val="2"/>
            <w:shd w:val="clear" w:color="auto" w:fill="CCEEFF"/>
          </w:tcPr>
          <w:p>
            <w:pPr>
              <w:jc w:val="center"/>
              <w:ind w:right="340"/>
              <w:spacing w:after="0" w:line="97" w:lineRule="exact"/>
              <w:rPr>
                <w:sz w:val="20"/>
                <w:szCs w:val="20"/>
                <w:color w:val="auto"/>
              </w:rPr>
            </w:pPr>
            <w:r>
              <w:rPr>
                <w:rFonts w:ascii="Times New Roman" w:cs="Times New Roman" w:eastAsia="Times New Roman" w:hAnsi="Times New Roman"/>
                <w:sz w:val="11"/>
                <w:szCs w:val="11"/>
                <w:color w:val="auto"/>
              </w:rPr>
              <w:t>IT Services</w:t>
            </w:r>
          </w:p>
        </w:tc>
        <w:tc>
          <w:tcPr>
            <w:tcW w:w="166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84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2.9%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6,032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(Altamira Intermediate Company II, Inc.)</w:t>
            </w:r>
          </w:p>
        </w:tc>
        <w:tc>
          <w:tcPr>
            <w:tcW w:w="1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w w:val="98"/>
              </w:rPr>
              <w:t>3M L+800, 07/24/2025</w:t>
            </w: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8201 Greensboro Drive, Suite 800</w:t>
            </w:r>
          </w:p>
        </w:tc>
        <w:tc>
          <w:tcPr>
            <w:tcW w:w="1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McLean, VA 22102</w:t>
            </w:r>
          </w:p>
        </w:tc>
        <w:tc>
          <w:tcPr>
            <w:tcW w:w="1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Building Products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7,978</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(Go Dawgs Capital III, LP(5))</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w w:val="98"/>
              </w:rPr>
              <w:t>3M L+550, 12/21/2023</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3965 E. Conley Road</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Conley, GA 30288</w:t>
            </w: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8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American Teleconferencing Services, Ltd.</w:t>
            </w:r>
          </w:p>
        </w:tc>
        <w:tc>
          <w:tcPr>
            <w:tcW w:w="1460" w:type="dxa"/>
            <w:vAlign w:val="bottom"/>
            <w:gridSpan w:val="2"/>
            <w:shd w:val="clear" w:color="auto" w:fill="CCEEFF"/>
          </w:tcPr>
          <w:p>
            <w:pPr>
              <w:jc w:val="center"/>
              <w:ind w:right="340"/>
              <w:spacing w:after="0" w:line="97" w:lineRule="exact"/>
              <w:rPr>
                <w:sz w:val="20"/>
                <w:szCs w:val="20"/>
                <w:color w:val="auto"/>
              </w:rPr>
            </w:pPr>
            <w:r>
              <w:rPr>
                <w:rFonts w:ascii="Times New Roman" w:cs="Times New Roman" w:eastAsia="Times New Roman" w:hAnsi="Times New Roman"/>
                <w:sz w:val="11"/>
                <w:szCs w:val="11"/>
                <w:color w:val="auto"/>
                <w:w w:val="99"/>
              </w:rPr>
              <w:t>Telecommunications</w:t>
            </w:r>
          </w:p>
        </w:tc>
        <w:tc>
          <w:tcPr>
            <w:tcW w:w="166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840" w:type="dxa"/>
            <w:vAlign w:val="bottom"/>
            <w:gridSpan w:val="2"/>
            <w:shd w:val="clear" w:color="auto" w:fill="CCEEFF"/>
          </w:tcPr>
          <w:p>
            <w:pPr>
              <w:jc w:val="right"/>
              <w:ind w:right="24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107</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2300 Lakeview Parkway Suite 300</w:t>
            </w:r>
          </w:p>
        </w:tc>
        <w:tc>
          <w:tcPr>
            <w:tcW w:w="1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w w:val="98"/>
              </w:rPr>
              <w:t>—, 06/08/2023</w:t>
            </w: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Alpharetta, GA 30009</w:t>
            </w:r>
          </w:p>
        </w:tc>
        <w:tc>
          <w:tcPr>
            <w:tcW w:w="1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Amsive Holding Corporation (f/k/a Vision Purchaser</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w w:val="99"/>
              </w:rPr>
              <w:t>Media</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13,892</w:t>
            </w: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Corporation)</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w w:val="98"/>
              </w:rPr>
              <w:t>3M L+625, 06/10/2025</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605 Territorial Drive</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0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Suite A, B &amp; C</w:t>
            </w: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Bolingbrook, IL 60440</w:t>
            </w: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58" w:right="1440" w:bottom="1440" w:gutter="0" w:footer="0" w:header="0"/>
        </w:sectPr>
      </w:pPr>
    </w:p>
    <w:bookmarkStart w:id="48" w:name="page49"/>
    <w:bookmarkEnd w:id="48"/>
    <w:tbl>
      <w:tblPr>
        <w:tblLayout w:type="fixed"/>
        <w:tblInd w:w="280" w:type="dxa"/>
        <w:tblCellMar>
          <w:top w:w="0" w:type="dxa"/>
          <w:left w:w="0" w:type="dxa"/>
          <w:bottom w:w="0" w:type="dxa"/>
          <w:right w:w="0" w:type="dxa"/>
        </w:tblCellMar>
      </w:tblPr>
      <w:tr>
        <w:trPr>
          <w:trHeight w:val="126"/>
        </w:trPr>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Type of Investment,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3680" w:type="dxa"/>
            <w:vAlign w:val="bottom"/>
            <w:gridSpan w:val="3"/>
            <w:vMerge w:val="continue"/>
          </w:tcPr>
          <w:p>
            <w:pPr>
              <w:spacing w:after="0"/>
              <w:rPr>
                <w:sz w:val="9"/>
                <w:szCs w:val="9"/>
                <w:color w:val="auto"/>
              </w:rPr>
            </w:pPr>
          </w:p>
        </w:tc>
        <w:tc>
          <w:tcPr>
            <w:tcW w:w="14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20" w:type="dxa"/>
            <w:vAlign w:val="bottom"/>
            <w:gridSpan w:val="2"/>
            <w:vMerge w:val="continue"/>
          </w:tcPr>
          <w:p>
            <w:pPr>
              <w:spacing w:after="0"/>
              <w:rPr>
                <w:sz w:val="9"/>
                <w:szCs w:val="9"/>
                <w:color w:val="auto"/>
              </w:rPr>
            </w:pPr>
          </w:p>
        </w:tc>
        <w:tc>
          <w:tcPr>
            <w:tcW w:w="920" w:type="dxa"/>
            <w:vAlign w:val="bottom"/>
            <w:gridSpan w:val="2"/>
          </w:tcPr>
          <w:p>
            <w:pPr>
              <w:jc w:val="right"/>
              <w:ind w:right="320"/>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68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480" w:type="dxa"/>
            <w:vAlign w:val="bottom"/>
            <w:gridSpan w:val="2"/>
            <w:vMerge w:val="continue"/>
          </w:tcPr>
          <w:p>
            <w:pPr>
              <w:spacing w:after="0"/>
              <w:rPr>
                <w:sz w:val="10"/>
                <w:szCs w:val="10"/>
                <w:color w:val="auto"/>
              </w:rPr>
            </w:pPr>
          </w:p>
        </w:tc>
        <w:tc>
          <w:tcPr>
            <w:tcW w:w="162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920" w:type="dxa"/>
            <w:vAlign w:val="bottom"/>
            <w:gridSpan w:val="2"/>
          </w:tcPr>
          <w:p>
            <w:pPr>
              <w:jc w:val="right"/>
              <w:ind w:right="260"/>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76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3660" w:type="dxa"/>
            <w:vAlign w:val="bottom"/>
            <w:gridSpan w:val="2"/>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Anteriad, LLC (f/k/a MeritDirect, LLC)</w:t>
            </w:r>
          </w:p>
        </w:tc>
        <w:tc>
          <w:tcPr>
            <w:tcW w:w="1120" w:type="dxa"/>
            <w:vAlign w:val="bottom"/>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Media</w:t>
            </w:r>
          </w:p>
        </w:tc>
        <w:tc>
          <w:tcPr>
            <w:tcW w:w="360" w:type="dxa"/>
            <w:vAlign w:val="bottom"/>
            <w:shd w:val="clear" w:color="auto" w:fill="CCEEFF"/>
          </w:tcPr>
          <w:p>
            <w:pPr>
              <w:spacing w:after="0"/>
              <w:rPr>
                <w:sz w:val="6"/>
                <w:szCs w:val="6"/>
                <w:color w:val="auto"/>
              </w:rPr>
            </w:pPr>
          </w:p>
        </w:tc>
        <w:tc>
          <w:tcPr>
            <w:tcW w:w="1480" w:type="dxa"/>
            <w:vAlign w:val="bottom"/>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First Lien Secured Debt(4),</w:t>
            </w: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jc w:val="right"/>
              <w:ind w:right="6"/>
              <w:spacing w:after="0" w:line="74"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17,584</w:t>
            </w: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(Anterida Holdings, LP (5))</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L+550, 05/23/2024</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 International Drive</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Preferred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Rye Brook, New York 10573</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Any Hour Services</w:t>
            </w: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rPr>
              <w:t>Energy Equipment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10,946</w:t>
            </w: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(KL Stockton Co-Invest LP (5))</w:t>
            </w:r>
          </w:p>
        </w:tc>
        <w:tc>
          <w:tcPr>
            <w:tcW w:w="1480" w:type="dxa"/>
            <w:vAlign w:val="bottom"/>
            <w:gridSpan w:val="2"/>
          </w:tcPr>
          <w:p>
            <w:pPr>
              <w:jc w:val="center"/>
              <w:ind w:right="38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L+525, 07/21/2027</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1374 130 S</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Orem, UT 84058</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Apex Service Partners, LLC</w:t>
            </w:r>
          </w:p>
        </w:tc>
        <w:tc>
          <w:tcPr>
            <w:tcW w:w="1480" w:type="dxa"/>
            <w:vAlign w:val="bottom"/>
            <w:gridSpan w:val="2"/>
            <w:shd w:val="clear" w:color="auto" w:fill="CCEEFF"/>
          </w:tcPr>
          <w:p>
            <w:pPr>
              <w:jc w:val="center"/>
              <w:ind w:right="380"/>
              <w:spacing w:after="0" w:line="97" w:lineRule="exact"/>
              <w:rPr>
                <w:sz w:val="20"/>
                <w:szCs w:val="20"/>
                <w:color w:val="auto"/>
              </w:rPr>
            </w:pPr>
            <w:r>
              <w:rPr>
                <w:rFonts w:ascii="Times New Roman" w:cs="Times New Roman" w:eastAsia="Times New Roman" w:hAnsi="Times New Roman"/>
                <w:sz w:val="11"/>
                <w:szCs w:val="11"/>
                <w:color w:val="auto"/>
              </w:rPr>
              <w:t>Diversified Consumer</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19,304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401 E Jackson, Ste #3300</w:t>
            </w:r>
          </w:p>
        </w:tc>
        <w:tc>
          <w:tcPr>
            <w:tcW w:w="1480" w:type="dxa"/>
            <w:vAlign w:val="bottom"/>
            <w:gridSpan w:val="2"/>
            <w:shd w:val="clear" w:color="auto" w:fill="CCEEFF"/>
          </w:tcPr>
          <w:p>
            <w:pPr>
              <w:jc w:val="center"/>
              <w:ind w:right="38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L+525, 07/31/2025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Tampa, FL 33602</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API Holdings III Corp.</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Electronic Equipment,</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5,050</w:t>
            </w: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400 Nickerson Road</w:t>
            </w:r>
          </w:p>
        </w:tc>
        <w:tc>
          <w:tcPr>
            <w:tcW w:w="1480" w:type="dxa"/>
            <w:vAlign w:val="bottom"/>
            <w:gridSpan w:val="2"/>
          </w:tcPr>
          <w:p>
            <w:pPr>
              <w:jc w:val="center"/>
              <w:ind w:right="380"/>
              <w:spacing w:after="0" w:line="114" w:lineRule="exact"/>
              <w:rPr>
                <w:sz w:val="20"/>
                <w:szCs w:val="20"/>
                <w:color w:val="auto"/>
              </w:rPr>
            </w:pPr>
            <w:r>
              <w:rPr>
                <w:rFonts w:ascii="Times New Roman" w:cs="Times New Roman" w:eastAsia="Times New Roman" w:hAnsi="Times New Roman"/>
                <w:sz w:val="11"/>
                <w:szCs w:val="11"/>
                <w:color w:val="auto"/>
              </w:rPr>
              <w:t>Instruments, and</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L+425, 05/11/2026</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Marlborough, MA 01752</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Components</w:t>
            </w: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Applied Technical Services, LLC</w:t>
            </w:r>
          </w:p>
        </w:tc>
        <w:tc>
          <w:tcPr>
            <w:tcW w:w="1480" w:type="dxa"/>
            <w:vAlign w:val="bottom"/>
            <w:gridSpan w:val="2"/>
            <w:shd w:val="clear" w:color="auto" w:fill="CCEEFF"/>
          </w:tcPr>
          <w:p>
            <w:pPr>
              <w:jc w:val="center"/>
              <w:ind w:right="380"/>
              <w:spacing w:after="0" w:line="97" w:lineRule="exact"/>
              <w:rPr>
                <w:sz w:val="20"/>
                <w:szCs w:val="20"/>
                <w:color w:val="auto"/>
              </w:rPr>
            </w:pPr>
            <w:r>
              <w:rPr>
                <w:rFonts w:ascii="Times New Roman" w:cs="Times New Roman" w:eastAsia="Times New Roman" w:hAnsi="Times New Roman"/>
                <w:sz w:val="11"/>
                <w:szCs w:val="11"/>
                <w:color w:val="auto"/>
              </w:rPr>
              <w:t>Commercial Services &amp;</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0.5%</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7,913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(Ironclad Holdco, LLC (5))</w:t>
            </w:r>
          </w:p>
        </w:tc>
        <w:tc>
          <w:tcPr>
            <w:tcW w:w="1480" w:type="dxa"/>
            <w:vAlign w:val="bottom"/>
            <w:gridSpan w:val="2"/>
            <w:shd w:val="clear" w:color="auto" w:fill="CCEEFF"/>
          </w:tcPr>
          <w:p>
            <w:pPr>
              <w:jc w:val="center"/>
              <w:ind w:right="380"/>
              <w:spacing w:after="0" w:line="114" w:lineRule="exact"/>
              <w:rPr>
                <w:sz w:val="20"/>
                <w:szCs w:val="20"/>
                <w:color w:val="auto"/>
              </w:rPr>
            </w:pPr>
            <w:r>
              <w:rPr>
                <w:rFonts w:ascii="Times New Roman" w:cs="Times New Roman" w:eastAsia="Times New Roman" w:hAnsi="Times New Roman"/>
                <w:sz w:val="11"/>
                <w:szCs w:val="11"/>
                <w:color w:val="auto"/>
              </w:rPr>
              <w:t>Supplies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12/29/2026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1049 Triad Ct</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Marietta, GA 30062</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Arcfield Acquisition Corp.</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Aerospace and Defense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14295 Park Meadow Drive</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 03/07/2028</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Chantilly, VA 20151</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Athletico Holdings, LLC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rPr>
              <w:t>Healthcare Providers and</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8"/>
              </w:rPr>
              <w:t>Common Equity</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4,758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2122 York Road, Ste. 300</w:t>
            </w:r>
          </w:p>
        </w:tc>
        <w:tc>
          <w:tcPr>
            <w:tcW w:w="1480" w:type="dxa"/>
            <w:vAlign w:val="bottom"/>
            <w:gridSpan w:val="2"/>
            <w:shd w:val="clear" w:color="auto" w:fill="CCEEFF"/>
          </w:tcPr>
          <w:p>
            <w:pPr>
              <w:jc w:val="center"/>
              <w:ind w:right="38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Oak Brook, IL 60523</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Internet Software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4,900</w:t>
            </w: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7 World Trade Center, 47th Floor</w:t>
            </w:r>
          </w:p>
        </w:tc>
        <w:tc>
          <w:tcPr>
            <w:tcW w:w="1480" w:type="dxa"/>
            <w:vAlign w:val="bottom"/>
            <w:gridSpan w:val="2"/>
          </w:tcPr>
          <w:p>
            <w:pPr>
              <w:jc w:val="center"/>
              <w:ind w:right="38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L+525, 07/01/2029</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New York, NY 10007</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Blackhawk Industrial Distribution, Inc.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w w:val="98"/>
              </w:rPr>
              <w:t>Distributors</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456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1501 SW Expressway Drive</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9"/>
              </w:rPr>
              <w:t>3ML+500, 09/17/2024</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Broken Arrow, OK 74012</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Broder Bros., Co.</w:t>
            </w: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color w:val="auto"/>
                <w:w w:val="98"/>
              </w:rPr>
              <w:t>Textiles, Apparel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3,405</w:t>
            </w: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Six Neshaminy Interplex, 6 Floor</w:t>
            </w:r>
          </w:p>
        </w:tc>
        <w:tc>
          <w:tcPr>
            <w:tcW w:w="148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1"/>
                <w:szCs w:val="11"/>
                <w:color w:val="auto"/>
              </w:rPr>
              <w:t>Luxury Goods</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L+600, 12/02/2022</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Trevose, PA 19053</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Burgess Point Holdings, LP</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w w:val="99"/>
              </w:rPr>
              <w:t>Auto Components</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8"/>
              </w:rPr>
              <w:t>Common Equity</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101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29627 Renaissance Blvd</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Daphne, Alabama 26526</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46,179</w:t>
            </w: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(By Light Investco, LP(5))</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L+625, 05/16/2024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8484 Westpark Drive Suite 600</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60"/>
              <w:spacing w:after="0" w:line="114" w:lineRule="exact"/>
              <w:rPr>
                <w:sz w:val="20"/>
                <w:szCs w:val="20"/>
                <w:color w:val="auto"/>
              </w:rPr>
            </w:pPr>
            <w:r>
              <w:rPr>
                <w:rFonts w:ascii="Times New Roman" w:cs="Times New Roman" w:eastAsia="Times New Roman" w:hAnsi="Times New Roman"/>
                <w:sz w:val="11"/>
                <w:szCs w:val="11"/>
                <w:color w:val="auto"/>
              </w:rPr>
              <w:t>Common Equity(4)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McLean, VA 22102</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6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Cadence Aerospace, LLC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rPr>
              <w:t>Aerospace and Defense</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3,003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3150 East Miraloma Avenue</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3M L+850 (PIK 9.50%),</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Anaheim, CA 92806</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11/14/2023</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Cartessa Aesthetics, LLC</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w w:val="98"/>
              </w:rPr>
              <w:t>Distributors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18,200</w:t>
            </w:r>
          </w:p>
        </w:tc>
        <w:tc>
          <w:tcPr>
            <w:tcW w:w="0" w:type="dxa"/>
            <w:vAlign w:val="bottom"/>
          </w:tcPr>
          <w:p>
            <w:pPr>
              <w:spacing w:after="0"/>
              <w:rPr>
                <w:sz w:val="1"/>
                <w:szCs w:val="1"/>
                <w:color w:val="auto"/>
              </w:rPr>
            </w:pPr>
          </w:p>
        </w:tc>
      </w:tr>
      <w:tr>
        <w:trPr>
          <w:trHeight w:val="114"/>
        </w:trPr>
        <w:tc>
          <w:tcPr>
            <w:tcW w:w="36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175 Broadhollow Road</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L+600, 05/13/2028</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Melville, NY 11747</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3" w:right="1440" w:bottom="1440" w:gutter="0" w:footer="0" w:header="0"/>
        </w:sectPr>
      </w:pPr>
    </w:p>
    <w:bookmarkStart w:id="49" w:name="page50"/>
    <w:bookmarkEnd w:id="49"/>
    <w:tbl>
      <w:tblPr>
        <w:tblLayout w:type="fixed"/>
        <w:tblInd w:w="280" w:type="dxa"/>
        <w:tblCellMar>
          <w:top w:w="0" w:type="dxa"/>
          <w:left w:w="0" w:type="dxa"/>
          <w:bottom w:w="0" w:type="dxa"/>
          <w:right w:w="0" w:type="dxa"/>
        </w:tblCellMar>
      </w:tblPr>
      <w:tr>
        <w:trPr>
          <w:trHeight w:val="126"/>
        </w:trPr>
        <w:tc>
          <w:tcPr>
            <w:tcW w:w="372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Type of Investment,</w:t>
            </w:r>
          </w:p>
        </w:tc>
        <w:tc>
          <w:tcPr>
            <w:tcW w:w="920" w:type="dxa"/>
            <w:vAlign w:val="bottom"/>
            <w:gridSpan w:val="2"/>
          </w:tcPr>
          <w:p>
            <w:pPr>
              <w:jc w:val="right"/>
              <w:ind w:right="401"/>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3720" w:type="dxa"/>
            <w:vAlign w:val="bottom"/>
            <w:gridSpan w:val="3"/>
            <w:vMerge w:val="continue"/>
          </w:tcPr>
          <w:p>
            <w:pPr>
              <w:spacing w:after="0"/>
              <w:rPr>
                <w:sz w:val="9"/>
                <w:szCs w:val="9"/>
                <w:color w:val="auto"/>
              </w:rPr>
            </w:pPr>
          </w:p>
        </w:tc>
        <w:tc>
          <w:tcPr>
            <w:tcW w:w="14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20" w:type="dxa"/>
            <w:vAlign w:val="bottom"/>
            <w:gridSpan w:val="2"/>
            <w:vMerge w:val="continue"/>
          </w:tcPr>
          <w:p>
            <w:pPr>
              <w:spacing w:after="0"/>
              <w:rPr>
                <w:sz w:val="9"/>
                <w:szCs w:val="9"/>
                <w:color w:val="auto"/>
              </w:rPr>
            </w:pPr>
          </w:p>
        </w:tc>
        <w:tc>
          <w:tcPr>
            <w:tcW w:w="920" w:type="dxa"/>
            <w:vAlign w:val="bottom"/>
            <w:gridSpan w:val="2"/>
          </w:tcPr>
          <w:p>
            <w:pPr>
              <w:jc w:val="right"/>
              <w:ind w:right="281"/>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72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48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920" w:type="dxa"/>
            <w:vAlign w:val="bottom"/>
            <w:gridSpan w:val="2"/>
          </w:tcPr>
          <w:p>
            <w:pPr>
              <w:jc w:val="right"/>
              <w:ind w:right="221"/>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7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CF512, Inc.</w:t>
            </w:r>
          </w:p>
        </w:tc>
        <w:tc>
          <w:tcPr>
            <w:tcW w:w="228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Media</w:t>
            </w:r>
          </w:p>
        </w:tc>
        <w:tc>
          <w:tcPr>
            <w:tcW w:w="36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First Lien Secured Debt(4),</w:t>
            </w:r>
          </w:p>
        </w:tc>
        <w:tc>
          <w:tcPr>
            <w:tcW w:w="1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0.8</w:t>
            </w:r>
          </w:p>
        </w:tc>
        <w:tc>
          <w:tcPr>
            <w:tcW w:w="260" w:type="dxa"/>
            <w:vAlign w:val="bottom"/>
            <w:tcBorders>
              <w:top w:val="single" w:sz="8" w:color="CCEEFF"/>
            </w:tcBorders>
            <w:shd w:val="clear" w:color="auto" w:fill="CCEEFF"/>
          </w:tcPr>
          <w:p>
            <w:pPr>
              <w:jc w:val="right"/>
              <w:ind w:right="121"/>
              <w:spacing w:after="0" w:line="74"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8,121</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(StellPen Holdings, LLC)</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L+600, 08/20/2026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960B Harvest Drive</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Blue Bell, PA 19422</w:t>
            </w: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CHA Holdings, Inc.</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Environmental</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1,581</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575 Broadway</w:t>
            </w:r>
          </w:p>
        </w:tc>
        <w:tc>
          <w:tcPr>
            <w:tcW w:w="148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1"/>
                <w:szCs w:val="11"/>
                <w:color w:val="auto"/>
              </w:rPr>
              <w:t>Industries</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L+450, 04/10/2025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Albany, NY 12207</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Challenger Performance Optimization, Inc.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rPr>
              <w:t>Business Services</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281"/>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335</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1201 Wilson Blvd</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L+675, 08/31/2023</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Arlington, VA 22209</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Compex Legal Services, Inc.</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8,811</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325 Maple Avenue</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L+525, 02/09/2026</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Torrance, CA 90503</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Connatix Buyer, Inc.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w w:val="99"/>
              </w:rPr>
              <w:t>Media</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121"/>
              <w:spacing w:after="0" w:line="97" w:lineRule="exact"/>
              <w:rPr>
                <w:sz w:val="20"/>
                <w:szCs w:val="20"/>
                <w:color w:val="auto"/>
              </w:rPr>
            </w:pPr>
            <w:r>
              <w:rPr>
                <w:rFonts w:ascii="Times New Roman" w:cs="Times New Roman" w:eastAsia="Times New Roman" w:hAnsi="Times New Roman"/>
                <w:sz w:val="11"/>
                <w:szCs w:val="11"/>
                <w:color w:val="auto"/>
              </w:rPr>
              <w:t>0.3%</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4,206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(Connatix Parent, LLC)</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L+550, 07/13/2027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666 Broadway, Floor 10</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New York, NY 10012</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Crane 1 Services, Inc.</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rPr>
              <w:t>Commercial Services &amp;</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1,244</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(Crane 1 Acquisition Parent Holdings, L.P.)</w:t>
            </w:r>
          </w:p>
        </w:tc>
        <w:tc>
          <w:tcPr>
            <w:tcW w:w="1480" w:type="dxa"/>
            <w:vAlign w:val="bottom"/>
            <w:gridSpan w:val="2"/>
          </w:tcPr>
          <w:p>
            <w:pPr>
              <w:jc w:val="center"/>
              <w:ind w:right="340"/>
              <w:spacing w:after="0" w:line="114" w:lineRule="exact"/>
              <w:rPr>
                <w:sz w:val="20"/>
                <w:szCs w:val="20"/>
                <w:color w:val="auto"/>
              </w:rPr>
            </w:pPr>
            <w:r>
              <w:rPr>
                <w:rFonts w:ascii="Times New Roman" w:cs="Times New Roman" w:eastAsia="Times New Roman" w:hAnsi="Times New Roman"/>
                <w:sz w:val="11"/>
                <w:szCs w:val="11"/>
                <w:color w:val="auto"/>
              </w:rPr>
              <w:t>Supplies</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08/16/2027</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1027 Byers Rd</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Miamisburg, OH 45342</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Douglas Products and Packaging Company, LLC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w w:val="99"/>
              </w:rPr>
              <w:t>Chemicals, Plastics and</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281"/>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13,662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(Douglas Sewer Intermediate, LLC)</w:t>
            </w:r>
          </w:p>
        </w:tc>
        <w:tc>
          <w:tcPr>
            <w:tcW w:w="1480" w:type="dxa"/>
            <w:vAlign w:val="bottom"/>
            <w:gridSpan w:val="2"/>
            <w:shd w:val="clear" w:color="auto" w:fill="CCEEFF"/>
          </w:tcPr>
          <w:p>
            <w:pPr>
              <w:jc w:val="center"/>
              <w:ind w:right="360"/>
              <w:spacing w:after="0" w:line="114" w:lineRule="exact"/>
              <w:rPr>
                <w:sz w:val="20"/>
                <w:szCs w:val="20"/>
                <w:color w:val="auto"/>
              </w:rPr>
            </w:pPr>
            <w:r>
              <w:rPr>
                <w:rFonts w:ascii="Times New Roman" w:cs="Times New Roman" w:eastAsia="Times New Roman" w:hAnsi="Times New Roman"/>
                <w:sz w:val="11"/>
                <w:szCs w:val="11"/>
                <w:color w:val="auto"/>
                <w:w w:val="98"/>
              </w:rPr>
              <w:t>Rubber</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10/19/2022</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(Plant Health Intermediate, Inc.)</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1550 E. Old 210 Highway</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Liberty, MO 64068</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Dr. Squatch, LLC</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Personal Products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5,429</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2355 Westwood Blvd. #1834</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L+600, 08/31/2027</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Los Angeles, CA 90064</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DRS Holdings III, Inc.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rPr>
              <w:t>Personal Products</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281"/>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16,518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225 State Street</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11/03/2025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Boston MA 02109</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w w:val="99"/>
              </w:rPr>
              <w:t>Containers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3,169</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7400 Industrial Dr.</w:t>
            </w:r>
          </w:p>
        </w:tc>
        <w:tc>
          <w:tcPr>
            <w:tcW w:w="1480" w:type="dxa"/>
            <w:vAlign w:val="bottom"/>
            <w:gridSpan w:val="2"/>
          </w:tcPr>
          <w:p>
            <w:pPr>
              <w:jc w:val="center"/>
              <w:ind w:right="340"/>
              <w:spacing w:after="0" w:line="114" w:lineRule="exact"/>
              <w:rPr>
                <w:sz w:val="20"/>
                <w:szCs w:val="20"/>
                <w:color w:val="auto"/>
              </w:rPr>
            </w:pPr>
            <w:r>
              <w:rPr>
                <w:rFonts w:ascii="Times New Roman" w:cs="Times New Roman" w:eastAsia="Times New Roman" w:hAnsi="Times New Roman"/>
                <w:sz w:val="11"/>
                <w:szCs w:val="11"/>
                <w:color w:val="auto"/>
              </w:rPr>
              <w:t>Packaging</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L+550, 06/30/2024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Forest Park, IL 60130</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ECL Entertainment, LLC</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w w:val="99"/>
              </w:rPr>
              <w:t>Hotels, Restaurants and</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shd w:val="clear" w:color="auto" w:fill="CCEEFF"/>
          </w:tcPr>
          <w:p>
            <w:pPr>
              <w:jc w:val="right"/>
              <w:ind w:right="281"/>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6,086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(Kentucky Racing Holdco, LLC(5))</w:t>
            </w:r>
          </w:p>
        </w:tc>
        <w:tc>
          <w:tcPr>
            <w:tcW w:w="1480" w:type="dxa"/>
            <w:vAlign w:val="bottom"/>
            <w:gridSpan w:val="2"/>
            <w:shd w:val="clear" w:color="auto" w:fill="CCEEFF"/>
          </w:tcPr>
          <w:p>
            <w:pPr>
              <w:jc w:val="center"/>
              <w:ind w:right="340"/>
              <w:spacing w:after="0" w:line="114" w:lineRule="exact"/>
              <w:rPr>
                <w:sz w:val="20"/>
                <w:szCs w:val="20"/>
                <w:color w:val="auto"/>
              </w:rPr>
            </w:pPr>
            <w:r>
              <w:rPr>
                <w:rFonts w:ascii="Times New Roman" w:cs="Times New Roman" w:eastAsia="Times New Roman" w:hAnsi="Times New Roman"/>
                <w:sz w:val="11"/>
                <w:szCs w:val="11"/>
                <w:color w:val="auto"/>
              </w:rPr>
              <w:t>Leisure</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L+750, 05/01/2028</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5629 Nashville Road</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9"/>
              </w:rPr>
              <w:t>Warrants</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Franklin, KY 42134</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ECM Industries, LLC</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rPr>
              <w:t>Electronic Equipment,</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1,104</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(ECM Investors, LLC (5))</w:t>
            </w:r>
          </w:p>
        </w:tc>
        <w:tc>
          <w:tcPr>
            <w:tcW w:w="1480" w:type="dxa"/>
            <w:vAlign w:val="bottom"/>
            <w:gridSpan w:val="2"/>
          </w:tcPr>
          <w:p>
            <w:pPr>
              <w:jc w:val="center"/>
              <w:ind w:right="340"/>
              <w:spacing w:after="0" w:line="114" w:lineRule="exact"/>
              <w:rPr>
                <w:sz w:val="20"/>
                <w:szCs w:val="20"/>
                <w:color w:val="auto"/>
              </w:rPr>
            </w:pPr>
            <w:r>
              <w:rPr>
                <w:rFonts w:ascii="Times New Roman" w:cs="Times New Roman" w:eastAsia="Times New Roman" w:hAnsi="Times New Roman"/>
                <w:sz w:val="11"/>
                <w:szCs w:val="11"/>
                <w:color w:val="auto"/>
              </w:rPr>
              <w:t>Instruments, and</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L+475, 12/23/2025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16250 W Woods Edge Rd</w:t>
            </w:r>
          </w:p>
        </w:tc>
        <w:tc>
          <w:tcPr>
            <w:tcW w:w="148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1"/>
                <w:szCs w:val="11"/>
                <w:color w:val="auto"/>
              </w:rPr>
              <w:t>Components</w:t>
            </w: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New Berlin, WI 53151</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eCommission Financial Services, Inc. (6)</w:t>
            </w:r>
          </w:p>
        </w:tc>
        <w:tc>
          <w:tcPr>
            <w:tcW w:w="1480" w:type="dxa"/>
            <w:vAlign w:val="bottom"/>
            <w:gridSpan w:val="2"/>
            <w:shd w:val="clear" w:color="auto" w:fill="CCEEFF"/>
          </w:tcPr>
          <w:p>
            <w:pPr>
              <w:jc w:val="center"/>
              <w:ind w:right="360"/>
              <w:spacing w:after="0" w:line="97" w:lineRule="exact"/>
              <w:rPr>
                <w:sz w:val="20"/>
                <w:szCs w:val="20"/>
                <w:color w:val="auto"/>
              </w:rPr>
            </w:pPr>
            <w:r>
              <w:rPr>
                <w:rFonts w:ascii="Times New Roman" w:cs="Times New Roman" w:eastAsia="Times New Roman" w:hAnsi="Times New Roman"/>
                <w:sz w:val="11"/>
                <w:szCs w:val="11"/>
                <w:color w:val="auto"/>
                <w:w w:val="99"/>
              </w:rPr>
              <w:t>Banking, Finance,</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121"/>
              <w:spacing w:after="0" w:line="97" w:lineRule="exact"/>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8,685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(eCommission Holding Corporation(6))</w:t>
            </w:r>
          </w:p>
        </w:tc>
        <w:tc>
          <w:tcPr>
            <w:tcW w:w="1480" w:type="dxa"/>
            <w:vAlign w:val="bottom"/>
            <w:gridSpan w:val="2"/>
            <w:shd w:val="clear" w:color="auto" w:fill="CCEEFF"/>
          </w:tcPr>
          <w:p>
            <w:pPr>
              <w:jc w:val="center"/>
              <w:ind w:right="340"/>
              <w:spacing w:after="0" w:line="114" w:lineRule="exact"/>
              <w:rPr>
                <w:sz w:val="20"/>
                <w:szCs w:val="20"/>
                <w:color w:val="auto"/>
              </w:rPr>
            </w:pPr>
            <w:r>
              <w:rPr>
                <w:rFonts w:ascii="Times New Roman" w:cs="Times New Roman" w:eastAsia="Times New Roman" w:hAnsi="Times New Roman"/>
                <w:sz w:val="11"/>
                <w:szCs w:val="11"/>
                <w:color w:val="auto"/>
                <w:w w:val="99"/>
              </w:rPr>
              <w:t>Insurance &amp; Real Estate</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L+500, 10/05/2023</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11612 Bee Caves Road, Building II,</w:t>
            </w:r>
          </w:p>
        </w:tc>
        <w:tc>
          <w:tcPr>
            <w:tcW w:w="1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Suite 200 Austin, TX, 78738</w:t>
            </w: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Efficient Collaborative Retail Marketing</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w w:val="99"/>
              </w:rPr>
              <w:t>Media: Diversified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6,936</w:t>
            </w: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Company, LLC</w:t>
            </w:r>
          </w:p>
        </w:tc>
        <w:tc>
          <w:tcPr>
            <w:tcW w:w="148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1"/>
                <w:szCs w:val="11"/>
                <w:color w:val="auto"/>
                <w:w w:val="99"/>
              </w:rPr>
              <w:t>Production</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L+675, 06/15/2024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2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27070 Miles Road</w:t>
            </w: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Solon, OH 44139</w:t>
            </w: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3" w:right="1440" w:bottom="1440" w:gutter="0" w:footer="0" w:header="0"/>
        </w:sectPr>
      </w:pPr>
    </w:p>
    <w:bookmarkStart w:id="50" w:name="page51"/>
    <w:bookmarkEnd w:id="50"/>
    <w:tbl>
      <w:tblPr>
        <w:tblLayout w:type="fixed"/>
        <w:tblInd w:w="280" w:type="dxa"/>
        <w:tblCellMar>
          <w:top w:w="0" w:type="dxa"/>
          <w:left w:w="0" w:type="dxa"/>
          <w:bottom w:w="0" w:type="dxa"/>
          <w:right w:w="0" w:type="dxa"/>
        </w:tblCellMar>
      </w:tblPr>
      <w:tr>
        <w:trPr>
          <w:trHeight w:val="126"/>
        </w:trPr>
        <w:tc>
          <w:tcPr>
            <w:tcW w:w="34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Type of Investment,</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3480" w:type="dxa"/>
            <w:vAlign w:val="bottom"/>
            <w:gridSpan w:val="3"/>
            <w:vMerge w:val="continue"/>
          </w:tcPr>
          <w:p>
            <w:pPr>
              <w:spacing w:after="0"/>
              <w:rPr>
                <w:sz w:val="9"/>
                <w:szCs w:val="9"/>
                <w:color w:val="auto"/>
              </w:rPr>
            </w:pPr>
          </w:p>
        </w:tc>
        <w:tc>
          <w:tcPr>
            <w:tcW w:w="16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80" w:type="dxa"/>
            <w:vAlign w:val="bottom"/>
            <w:gridSpan w:val="2"/>
            <w:vMerge w:val="continue"/>
          </w:tcPr>
          <w:p>
            <w:pPr>
              <w:spacing w:after="0"/>
              <w:rPr>
                <w:sz w:val="9"/>
                <w:szCs w:val="9"/>
                <w:color w:val="auto"/>
              </w:rPr>
            </w:pPr>
          </w:p>
        </w:tc>
        <w:tc>
          <w:tcPr>
            <w:tcW w:w="980" w:type="dxa"/>
            <w:vAlign w:val="bottom"/>
            <w:gridSpan w:val="2"/>
          </w:tcPr>
          <w:p>
            <w:pPr>
              <w:jc w:val="right"/>
              <w:ind w:right="380"/>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48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600" w:type="dxa"/>
            <w:vAlign w:val="bottom"/>
            <w:gridSpan w:val="2"/>
            <w:vMerge w:val="continue"/>
          </w:tcPr>
          <w:p>
            <w:pPr>
              <w:spacing w:after="0"/>
              <w:rPr>
                <w:sz w:val="12"/>
                <w:szCs w:val="12"/>
                <w:color w:val="auto"/>
              </w:rPr>
            </w:pPr>
          </w:p>
        </w:tc>
        <w:tc>
          <w:tcPr>
            <w:tcW w:w="168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980" w:type="dxa"/>
            <w:vAlign w:val="bottom"/>
            <w:gridSpan w:val="2"/>
          </w:tcPr>
          <w:p>
            <w:pPr>
              <w:jc w:val="right"/>
              <w:ind w:right="320"/>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7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Exigo Intermediate II, LLC</w:t>
            </w:r>
          </w:p>
        </w:tc>
        <w:tc>
          <w:tcPr>
            <w:tcW w:w="20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Software</w:t>
            </w:r>
          </w:p>
        </w:tc>
        <w:tc>
          <w:tcPr>
            <w:tcW w:w="48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First Lien Secured Debt(4),</w:t>
            </w:r>
          </w:p>
        </w:tc>
        <w:tc>
          <w:tcPr>
            <w:tcW w:w="20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ind w:right="6"/>
              <w:spacing w:after="0" w:line="74"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559</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(Exigo, LLC)</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L+575, 03/15/2027</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1256 Main Street, Suite 256</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Southlake, TX 76092</w:t>
            </w:r>
          </w:p>
        </w:tc>
        <w:tc>
          <w:tcPr>
            <w:tcW w:w="1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Express Wash Topco, LLC</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rPr>
              <w:t>Automobiles</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8"/>
              </w:rPr>
              <w:t>Common Equity</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5821 Fairview Road</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Charlotte, North Carolina 28209</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FedHC InvestCo LP(5)</w:t>
            </w:r>
          </w:p>
        </w:tc>
        <w:tc>
          <w:tcPr>
            <w:tcW w:w="1600" w:type="dxa"/>
            <w:vAlign w:val="bottom"/>
            <w:gridSpan w:val="2"/>
            <w:shd w:val="clear" w:color="auto" w:fill="CCEEFF"/>
          </w:tcPr>
          <w:p>
            <w:pPr>
              <w:jc w:val="center"/>
              <w:ind w:right="480"/>
              <w:spacing w:after="0" w:line="97" w:lineRule="exact"/>
              <w:rPr>
                <w:sz w:val="20"/>
                <w:szCs w:val="20"/>
                <w:color w:val="auto"/>
              </w:rPr>
            </w:pPr>
            <w:r>
              <w:rPr>
                <w:rFonts w:ascii="Times New Roman" w:cs="Times New Roman" w:eastAsia="Times New Roman" w:hAnsi="Times New Roman"/>
                <w:sz w:val="11"/>
                <w:szCs w:val="11"/>
                <w:color w:val="auto"/>
              </w:rPr>
              <w:t>Aerospace and Defense</w:t>
            </w:r>
          </w:p>
        </w:tc>
        <w:tc>
          <w:tcPr>
            <w:tcW w:w="168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Common Equity(4)</w:t>
            </w:r>
          </w:p>
        </w:tc>
        <w:tc>
          <w:tcPr>
            <w:tcW w:w="980" w:type="dxa"/>
            <w:vAlign w:val="bottom"/>
            <w:gridSpan w:val="2"/>
            <w:shd w:val="clear" w:color="auto" w:fill="CCEEFF"/>
          </w:tcPr>
          <w:p>
            <w:pPr>
              <w:jc w:val="right"/>
              <w:ind w:right="220"/>
              <w:spacing w:after="0" w:line="97" w:lineRule="exact"/>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2,142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3100 Clarendon Blvd</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Arlington, VA 22201</w:t>
            </w: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Findex Group Limited(6)</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rPr>
              <w:t>Diversified Financial</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6,430</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 O’Connell Street</w:t>
            </w:r>
          </w:p>
        </w:tc>
        <w:tc>
          <w:tcPr>
            <w:tcW w:w="1600" w:type="dxa"/>
            <w:vAlign w:val="bottom"/>
            <w:gridSpan w:val="2"/>
          </w:tcPr>
          <w:p>
            <w:pPr>
              <w:jc w:val="center"/>
              <w:ind w:right="46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8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L+450, 05/31/2024</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Sydney NSW 2000, Australia</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Gantech Acquisition Corp.</w:t>
            </w:r>
          </w:p>
        </w:tc>
        <w:tc>
          <w:tcPr>
            <w:tcW w:w="1600" w:type="dxa"/>
            <w:vAlign w:val="bottom"/>
            <w:gridSpan w:val="2"/>
            <w:shd w:val="clear" w:color="auto" w:fill="CCEEFF"/>
          </w:tcPr>
          <w:p>
            <w:pPr>
              <w:jc w:val="center"/>
              <w:ind w:right="460"/>
              <w:spacing w:after="0" w:line="97" w:lineRule="exact"/>
              <w:rPr>
                <w:sz w:val="20"/>
                <w:szCs w:val="20"/>
                <w:color w:val="auto"/>
              </w:rPr>
            </w:pPr>
            <w:r>
              <w:rPr>
                <w:rFonts w:ascii="Times New Roman" w:cs="Times New Roman" w:eastAsia="Times New Roman" w:hAnsi="Times New Roman"/>
                <w:sz w:val="11"/>
                <w:szCs w:val="11"/>
                <w:color w:val="auto"/>
                <w:w w:val="99"/>
              </w:rPr>
              <w:t>IT Services</w:t>
            </w:r>
          </w:p>
        </w:tc>
        <w:tc>
          <w:tcPr>
            <w:tcW w:w="168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80" w:type="dxa"/>
            <w:vAlign w:val="bottom"/>
            <w:gridSpan w:val="2"/>
            <w:shd w:val="clear" w:color="auto" w:fill="CCEEFF"/>
          </w:tcPr>
          <w:p>
            <w:pPr>
              <w:jc w:val="right"/>
              <w:ind w:right="220"/>
              <w:spacing w:after="0" w:line="97" w:lineRule="exact"/>
              <w:rPr>
                <w:sz w:val="20"/>
                <w:szCs w:val="20"/>
                <w:color w:val="auto"/>
              </w:rPr>
            </w:pPr>
            <w:r>
              <w:rPr>
                <w:rFonts w:ascii="Times New Roman" w:cs="Times New Roman" w:eastAsia="Times New Roman" w:hAnsi="Times New Roman"/>
                <w:sz w:val="11"/>
                <w:szCs w:val="11"/>
                <w:color w:val="auto"/>
              </w:rPr>
              <w:t>3.9%</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26,085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(GCOM InvestCo LP (5))</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1M L+625, 05/14/2026</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9175 Guilford Road, Suite 101</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Columbia, MD 21046</w:t>
            </w: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rPr>
              <w:t>Diversified Financial</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3,273</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4343 South 118</w:t>
            </w:r>
            <w:r>
              <w:rPr>
                <w:rFonts w:ascii="Times New Roman" w:cs="Times New Roman" w:eastAsia="Times New Roman" w:hAnsi="Times New Roman"/>
                <w:sz w:val="6"/>
                <w:szCs w:val="6"/>
                <w:color w:val="auto"/>
              </w:rPr>
              <w:t>th</w:t>
            </w:r>
            <w:r>
              <w:rPr>
                <w:rFonts w:ascii="Times New Roman" w:cs="Times New Roman" w:eastAsia="Times New Roman" w:hAnsi="Times New Roman"/>
                <w:sz w:val="11"/>
                <w:szCs w:val="11"/>
                <w:color w:val="auto"/>
              </w:rPr>
              <w:t xml:space="preserve"> East Ave Suite 220</w:t>
            </w:r>
          </w:p>
        </w:tc>
        <w:tc>
          <w:tcPr>
            <w:tcW w:w="1600" w:type="dxa"/>
            <w:vAlign w:val="bottom"/>
            <w:gridSpan w:val="2"/>
          </w:tcPr>
          <w:p>
            <w:pPr>
              <w:jc w:val="center"/>
              <w:ind w:right="46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8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L+600, 03/16/2026</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Tulsa, OK 74146</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Graffiti Buyer, Inc.</w:t>
            </w:r>
          </w:p>
        </w:tc>
        <w:tc>
          <w:tcPr>
            <w:tcW w:w="1600" w:type="dxa"/>
            <w:vAlign w:val="bottom"/>
            <w:gridSpan w:val="2"/>
            <w:shd w:val="clear" w:color="auto" w:fill="CCEEFF"/>
          </w:tcPr>
          <w:p>
            <w:pPr>
              <w:jc w:val="center"/>
              <w:ind w:right="460"/>
              <w:spacing w:after="0" w:line="97" w:lineRule="exact"/>
              <w:rPr>
                <w:sz w:val="20"/>
                <w:szCs w:val="20"/>
                <w:color w:val="auto"/>
              </w:rPr>
            </w:pPr>
            <w:r>
              <w:rPr>
                <w:rFonts w:ascii="Times New Roman" w:cs="Times New Roman" w:eastAsia="Times New Roman" w:hAnsi="Times New Roman"/>
                <w:sz w:val="11"/>
                <w:szCs w:val="11"/>
                <w:color w:val="auto"/>
                <w:w w:val="99"/>
              </w:rPr>
              <w:t>Trading Companies &amp;</w:t>
            </w:r>
          </w:p>
        </w:tc>
        <w:tc>
          <w:tcPr>
            <w:tcW w:w="168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80" w:type="dxa"/>
            <w:vAlign w:val="bottom"/>
            <w:gridSpan w:val="2"/>
            <w:shd w:val="clear" w:color="auto" w:fill="CCEEFF"/>
          </w:tcPr>
          <w:p>
            <w:pPr>
              <w:jc w:val="right"/>
              <w:ind w:right="38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359</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25195 Brest Road</w:t>
            </w:r>
          </w:p>
        </w:tc>
        <w:tc>
          <w:tcPr>
            <w:tcW w:w="1600" w:type="dxa"/>
            <w:vAlign w:val="bottom"/>
            <w:gridSpan w:val="2"/>
            <w:shd w:val="clear" w:color="auto" w:fill="CCEEFF"/>
          </w:tcPr>
          <w:p>
            <w:pPr>
              <w:jc w:val="center"/>
              <w:ind w:right="460"/>
              <w:spacing w:after="0" w:line="114" w:lineRule="exact"/>
              <w:rPr>
                <w:sz w:val="20"/>
                <w:szCs w:val="20"/>
                <w:color w:val="auto"/>
              </w:rPr>
            </w:pPr>
            <w:r>
              <w:rPr>
                <w:rFonts w:ascii="Times New Roman" w:cs="Times New Roman" w:eastAsia="Times New Roman" w:hAnsi="Times New Roman"/>
                <w:sz w:val="11"/>
                <w:szCs w:val="11"/>
                <w:color w:val="auto"/>
              </w:rPr>
              <w:t>Distributors</w:t>
            </w: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L+575, 08/10/2027</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Taylor, MI 48180</w:t>
            </w: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w w:val="98"/>
              </w:rPr>
              <w:t>Insurance</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5,104</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(Hancock Claims Consultants</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8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L+500, 12/31/2026</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Investors, LLC (5))</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8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6875 Shiloh Rd. East</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Alpharetta, GA 30005</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Holdco Sands Intermediate, LLC</w:t>
            </w:r>
          </w:p>
        </w:tc>
        <w:tc>
          <w:tcPr>
            <w:tcW w:w="1600" w:type="dxa"/>
            <w:vAlign w:val="bottom"/>
            <w:gridSpan w:val="2"/>
            <w:shd w:val="clear" w:color="auto" w:fill="CCEEFF"/>
          </w:tcPr>
          <w:p>
            <w:pPr>
              <w:jc w:val="center"/>
              <w:ind w:right="480"/>
              <w:spacing w:after="0" w:line="97" w:lineRule="exact"/>
              <w:rPr>
                <w:sz w:val="20"/>
                <w:szCs w:val="20"/>
                <w:color w:val="auto"/>
              </w:rPr>
            </w:pPr>
            <w:r>
              <w:rPr>
                <w:rFonts w:ascii="Times New Roman" w:cs="Times New Roman" w:eastAsia="Times New Roman" w:hAnsi="Times New Roman"/>
                <w:sz w:val="11"/>
                <w:szCs w:val="11"/>
                <w:color w:val="auto"/>
              </w:rPr>
              <w:t>Aerospace and Defense</w:t>
            </w:r>
          </w:p>
        </w:tc>
        <w:tc>
          <w:tcPr>
            <w:tcW w:w="168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80" w:type="dxa"/>
            <w:vAlign w:val="bottom"/>
            <w:gridSpan w:val="2"/>
            <w:shd w:val="clear" w:color="auto" w:fill="CCEEFF"/>
          </w:tcPr>
          <w:p>
            <w:pPr>
              <w:jc w:val="right"/>
              <w:ind w:right="220"/>
              <w:spacing w:after="0" w:line="97"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7,744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(OceanSound Discovery Equity, LP (5))</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L+600, 11/23/2028</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44150 Smartronix Way, STE 200</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Hollywood, MD 20636</w:t>
            </w: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HV Watterson Holdings, LLC</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8"/>
              </w:rPr>
              <w:t>Common Equity</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1821 Walden Office Square Unit 111</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Schaumburg, IL 60173</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HW Holdco, LLC</w:t>
            </w:r>
          </w:p>
        </w:tc>
        <w:tc>
          <w:tcPr>
            <w:tcW w:w="1600" w:type="dxa"/>
            <w:vAlign w:val="bottom"/>
            <w:gridSpan w:val="2"/>
            <w:shd w:val="clear" w:color="auto" w:fill="CCEEFF"/>
          </w:tcPr>
          <w:p>
            <w:pPr>
              <w:jc w:val="center"/>
              <w:ind w:right="480"/>
              <w:spacing w:after="0" w:line="97" w:lineRule="exact"/>
              <w:rPr>
                <w:sz w:val="20"/>
                <w:szCs w:val="20"/>
                <w:color w:val="auto"/>
              </w:rPr>
            </w:pPr>
            <w:r>
              <w:rPr>
                <w:rFonts w:ascii="Times New Roman" w:cs="Times New Roman" w:eastAsia="Times New Roman" w:hAnsi="Times New Roman"/>
                <w:sz w:val="11"/>
                <w:szCs w:val="11"/>
                <w:color w:val="auto"/>
                <w:w w:val="99"/>
              </w:rPr>
              <w:t>Media</w:t>
            </w:r>
          </w:p>
        </w:tc>
        <w:tc>
          <w:tcPr>
            <w:tcW w:w="168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80" w:type="dxa"/>
            <w:vAlign w:val="bottom"/>
            <w:gridSpan w:val="2"/>
            <w:shd w:val="clear" w:color="auto" w:fill="CCEEFF"/>
          </w:tcPr>
          <w:p>
            <w:pPr>
              <w:jc w:val="right"/>
              <w:ind w:right="38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8,329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4000 MacArthur, Suite 400</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1M L+500, 12/10/2024</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Newport Beach, CA 92660</w:t>
            </w: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Icon Partners V C, L.P.</w:t>
            </w: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Internet Software and</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Common Equity(4)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1,989</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315 Capitol St Suite 100</w:t>
            </w:r>
          </w:p>
        </w:tc>
        <w:tc>
          <w:tcPr>
            <w:tcW w:w="1600" w:type="dxa"/>
            <w:vAlign w:val="bottom"/>
            <w:gridSpan w:val="2"/>
          </w:tcPr>
          <w:p>
            <w:pPr>
              <w:jc w:val="center"/>
              <w:ind w:right="46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Houston, TX 77002</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IDC Infusion Services, Inc.</w:t>
            </w:r>
          </w:p>
        </w:tc>
        <w:tc>
          <w:tcPr>
            <w:tcW w:w="1600" w:type="dxa"/>
            <w:vAlign w:val="bottom"/>
            <w:gridSpan w:val="2"/>
            <w:shd w:val="clear" w:color="auto" w:fill="CCEEFF"/>
          </w:tcPr>
          <w:p>
            <w:pPr>
              <w:jc w:val="center"/>
              <w:ind w:right="460"/>
              <w:spacing w:after="0" w:line="97" w:lineRule="exact"/>
              <w:rPr>
                <w:sz w:val="20"/>
                <w:szCs w:val="20"/>
                <w:color w:val="auto"/>
              </w:rPr>
            </w:pPr>
            <w:r>
              <w:rPr>
                <w:rFonts w:ascii="Times New Roman" w:cs="Times New Roman" w:eastAsia="Times New Roman" w:hAnsi="Times New Roman"/>
                <w:sz w:val="11"/>
                <w:szCs w:val="11"/>
                <w:color w:val="auto"/>
                <w:w w:val="99"/>
              </w:rPr>
              <w:t>Healthcare Equipment</w:t>
            </w:r>
          </w:p>
        </w:tc>
        <w:tc>
          <w:tcPr>
            <w:tcW w:w="168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80" w:type="dxa"/>
            <w:vAlign w:val="bottom"/>
            <w:gridSpan w:val="2"/>
            <w:shd w:val="clear" w:color="auto" w:fill="CCEEFF"/>
          </w:tcPr>
          <w:p>
            <w:pPr>
              <w:jc w:val="right"/>
              <w:ind w:right="220"/>
              <w:spacing w:after="0" w:line="97" w:lineRule="exact"/>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6,175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(ITC Infusion Co-Invest, LP)</w:t>
            </w:r>
          </w:p>
        </w:tc>
        <w:tc>
          <w:tcPr>
            <w:tcW w:w="1600" w:type="dxa"/>
            <w:vAlign w:val="bottom"/>
            <w:gridSpan w:val="2"/>
            <w:shd w:val="clear" w:color="auto" w:fill="CCEEFF"/>
          </w:tcPr>
          <w:p>
            <w:pPr>
              <w:jc w:val="center"/>
              <w:ind w:right="460"/>
              <w:spacing w:after="0" w:line="114" w:lineRule="exact"/>
              <w:rPr>
                <w:sz w:val="20"/>
                <w:szCs w:val="20"/>
                <w:color w:val="auto"/>
              </w:rPr>
            </w:pPr>
            <w:r>
              <w:rPr>
                <w:rFonts w:ascii="Times New Roman" w:cs="Times New Roman" w:eastAsia="Times New Roman" w:hAnsi="Times New Roman"/>
                <w:sz w:val="11"/>
                <w:szCs w:val="11"/>
                <w:color w:val="auto"/>
              </w:rPr>
              <w:t>and Supplies</w:t>
            </w:r>
          </w:p>
        </w:tc>
        <w:tc>
          <w:tcPr>
            <w:tcW w:w="168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L+700, 12/30/2026</w:t>
            </w: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3609 Park East Drive</w:t>
            </w:r>
          </w:p>
        </w:tc>
        <w:tc>
          <w:tcPr>
            <w:tcW w:w="1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Beachwood, OH 44122</w:t>
            </w:r>
          </w:p>
        </w:tc>
        <w:tc>
          <w:tcPr>
            <w:tcW w:w="1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IG Investments Holdings, LLC</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4,424</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1224 Hammond Drive, Suite 1500</w:t>
            </w: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8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3M L+600, 09/22/2028</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Atlanta, GA 30346</w:t>
            </w: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52705</wp:posOffset>
            </wp:positionV>
            <wp:extent cx="7202805" cy="584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02805" cy="58420"/>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26"/>
        </w:trPr>
        <w:tc>
          <w:tcPr>
            <w:tcW w:w="3940" w:type="dxa"/>
            <w:vAlign w:val="bottom"/>
            <w:gridSpan w:val="3"/>
            <w:vMerge w:val="restart"/>
          </w:tcPr>
          <w:p>
            <w:pPr>
              <w:ind w:left="1420"/>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restart"/>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Type of Investment,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jc w:val="center"/>
              <w:ind w:right="181"/>
              <w:spacing w:after="0"/>
              <w:rPr>
                <w:sz w:val="20"/>
                <w:szCs w:val="20"/>
                <w:color w:val="auto"/>
              </w:rPr>
            </w:pPr>
            <w:r>
              <w:rPr>
                <w:rFonts w:ascii="Times New Roman" w:cs="Times New Roman" w:eastAsia="Times New Roman" w:hAnsi="Times New Roman"/>
                <w:sz w:val="11"/>
                <w:szCs w:val="11"/>
                <w:b w:val="1"/>
                <w:bCs w:val="1"/>
                <w:color w:val="auto"/>
                <w:w w:val="94"/>
              </w:rPr>
              <w:t>Voting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94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3"/>
          </w:tcPr>
          <w:p>
            <w:pPr>
              <w:jc w:val="center"/>
              <w:ind w:right="161"/>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940" w:type="dxa"/>
            <w:vAlign w:val="bottom"/>
            <w:gridSpan w:val="3"/>
          </w:tcPr>
          <w:p>
            <w:pPr>
              <w:ind w:left="1420"/>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left="45"/>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181"/>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40" w:type="dxa"/>
            <w:vAlign w:val="bottom"/>
          </w:tcPr>
          <w:p>
            <w:pPr>
              <w:spacing w:after="0"/>
              <w:rPr>
                <w:sz w:val="12"/>
                <w:szCs w:val="12"/>
                <w:color w:val="auto"/>
              </w:rPr>
            </w:pPr>
          </w:p>
        </w:tc>
        <w:tc>
          <w:tcPr>
            <w:tcW w:w="7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w w:val="98"/>
              </w:rPr>
              <w:t>(in thousands)</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420" w:type="dxa"/>
            <w:vAlign w:val="bottom"/>
          </w:tcPr>
          <w:p>
            <w:pPr>
              <w:spacing w:after="0"/>
              <w:rPr>
                <w:sz w:val="6"/>
                <w:szCs w:val="6"/>
                <w:color w:val="auto"/>
              </w:rPr>
            </w:pPr>
          </w:p>
        </w:tc>
        <w:tc>
          <w:tcPr>
            <w:tcW w:w="144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Imagine Acquisitionco, LLC</w:t>
            </w:r>
          </w:p>
        </w:tc>
        <w:tc>
          <w:tcPr>
            <w:tcW w:w="108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Software</w:t>
            </w: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auto"/>
            </w:tcBorders>
            <w:gridSpan w:val="2"/>
            <w:shd w:val="clear" w:color="auto" w:fill="CCEEFF"/>
          </w:tcPr>
          <w:p>
            <w:pPr>
              <w:jc w:val="center"/>
              <w:ind w:left="45"/>
              <w:spacing w:after="0" w:line="74" w:lineRule="exact"/>
              <w:rPr>
                <w:sz w:val="20"/>
                <w:szCs w:val="20"/>
                <w:color w:val="auto"/>
              </w:rPr>
            </w:pPr>
            <w:r>
              <w:rPr>
                <w:rFonts w:ascii="Times New Roman" w:cs="Times New Roman" w:eastAsia="Times New Roman" w:hAnsi="Times New Roman"/>
                <w:sz w:val="8"/>
                <w:szCs w:val="8"/>
                <w:color w:val="auto"/>
              </w:rPr>
              <w:t>First Lien Secured Debt(4),</w:t>
            </w:r>
          </w:p>
        </w:tc>
        <w:tc>
          <w:tcPr>
            <w:tcW w:w="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gridSpan w:val="2"/>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0.3</w:t>
            </w:r>
          </w:p>
        </w:tc>
        <w:tc>
          <w:tcPr>
            <w:tcW w:w="220" w:type="dxa"/>
            <w:vAlign w:val="bottom"/>
            <w:tcBorders>
              <w:top w:val="single" w:sz="8" w:color="CCEEFF"/>
            </w:tcBorders>
            <w:shd w:val="clear" w:color="auto" w:fill="CCEEFF"/>
          </w:tcPr>
          <w:p>
            <w:pPr>
              <w:jc w:val="right"/>
              <w:ind w:right="81"/>
              <w:spacing w:after="0" w:line="74" w:lineRule="exact"/>
              <w:rPr>
                <w:sz w:val="20"/>
                <w:szCs w:val="20"/>
                <w:color w:val="auto"/>
              </w:rPr>
            </w:pPr>
            <w:r>
              <w:rPr>
                <w:rFonts w:ascii="Times New Roman" w:cs="Times New Roman" w:eastAsia="Times New Roman" w:hAnsi="Times New Roman"/>
                <w:sz w:val="8"/>
                <w:szCs w:val="8"/>
                <w:color w:val="auto"/>
              </w:rPr>
              <w:t>%</w:t>
            </w: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tcBorders>
              <w:top w:val="single" w:sz="8" w:color="auto"/>
              <w:right w:val="single" w:sz="8" w:color="CCEEFF"/>
            </w:tcBorders>
            <w:gridSpan w:val="2"/>
            <w:shd w:val="clear" w:color="auto" w:fill="CCEEFF"/>
          </w:tcPr>
          <w:p>
            <w:pPr>
              <w:jc w:val="right"/>
              <w:ind w:right="40"/>
              <w:spacing w:after="0" w:line="74" w:lineRule="exact"/>
              <w:rPr>
                <w:sz w:val="20"/>
                <w:szCs w:val="20"/>
                <w:color w:val="auto"/>
              </w:rPr>
            </w:pPr>
            <w:r>
              <w:rPr>
                <w:rFonts w:ascii="Times New Roman" w:cs="Times New Roman" w:eastAsia="Times New Roman" w:hAnsi="Times New Roman"/>
                <w:sz w:val="8"/>
                <w:szCs w:val="8"/>
                <w:color w:val="auto"/>
              </w:rPr>
              <w:t>4,994</w:t>
            </w: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(Imagine Topco, LP)</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left="25"/>
              <w:spacing w:after="0" w:line="114" w:lineRule="exact"/>
              <w:rPr>
                <w:sz w:val="20"/>
                <w:szCs w:val="20"/>
                <w:color w:val="auto"/>
              </w:rPr>
            </w:pPr>
            <w:r>
              <w:rPr>
                <w:rFonts w:ascii="Times New Roman" w:cs="Times New Roman" w:eastAsia="Times New Roman" w:hAnsi="Times New Roman"/>
                <w:sz w:val="11"/>
                <w:szCs w:val="11"/>
                <w:color w:val="auto"/>
              </w:rPr>
              <w:t>3M L+550, 11/15/2027</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8757 Red Oak Blvd,</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left="45"/>
              <w:spacing w:after="0" w:line="114" w:lineRule="exact"/>
              <w:rPr>
                <w:sz w:val="20"/>
                <w:szCs w:val="20"/>
                <w:color w:val="auto"/>
              </w:rPr>
            </w:pPr>
            <w:r>
              <w:rPr>
                <w:rFonts w:ascii="Times New Roman" w:cs="Times New Roman" w:eastAsia="Times New Roman" w:hAnsi="Times New Roman"/>
                <w:sz w:val="11"/>
                <w:szCs w:val="11"/>
                <w:color w:val="auto"/>
              </w:rPr>
              <w:t>Preferred Equity</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420" w:type="dxa"/>
            <w:vAlign w:val="bottom"/>
          </w:tcPr>
          <w:p>
            <w:pPr>
              <w:spacing w:after="0"/>
              <w:rPr>
                <w:sz w:val="12"/>
                <w:szCs w:val="12"/>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Charlotte, NC 28217</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left="45"/>
              <w:spacing w:after="0"/>
              <w:rPr>
                <w:sz w:val="20"/>
                <w:szCs w:val="20"/>
                <w:color w:val="auto"/>
              </w:rPr>
            </w:pPr>
            <w:r>
              <w:rPr>
                <w:rFonts w:ascii="Times New Roman" w:cs="Times New Roman" w:eastAsia="Times New Roman" w:hAnsi="Times New Roman"/>
                <w:sz w:val="11"/>
                <w:szCs w:val="11"/>
                <w:color w:val="auto"/>
              </w:rPr>
              <w:t>Common Equity</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Healthcare Providers and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left="25"/>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gridSpan w:val="2"/>
          </w:tcPr>
          <w:p>
            <w:pPr>
              <w:jc w:val="right"/>
              <w:ind w:right="241"/>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14,804</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650 Madison Avenue, 21st Floor</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tcPr>
          <w:p>
            <w:pPr>
              <w:jc w:val="center"/>
              <w:ind w:left="25"/>
              <w:spacing w:after="0" w:line="114" w:lineRule="exact"/>
              <w:rPr>
                <w:sz w:val="20"/>
                <w:szCs w:val="20"/>
                <w:color w:val="auto"/>
              </w:rPr>
            </w:pPr>
            <w:r>
              <w:rPr>
                <w:rFonts w:ascii="Times New Roman" w:cs="Times New Roman" w:eastAsia="Times New Roman" w:hAnsi="Times New Roman"/>
                <w:sz w:val="11"/>
                <w:szCs w:val="11"/>
                <w:color w:val="auto"/>
              </w:rPr>
              <w:t>3M L+715, 12/07/2023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New York, NY 10022</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4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420" w:type="dxa"/>
            <w:vAlign w:val="bottom"/>
            <w:vMerge w:val="continue"/>
          </w:tcPr>
          <w:p>
            <w:pPr>
              <w:spacing w:after="0"/>
              <w:rPr>
                <w:sz w:val="8"/>
                <w:szCs w:val="8"/>
                <w:color w:val="auto"/>
              </w:rPr>
            </w:pPr>
          </w:p>
        </w:tc>
        <w:tc>
          <w:tcPr>
            <w:tcW w:w="25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Infolinks Media Buyco, LLC</w:t>
            </w: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jc w:val="center"/>
              <w:spacing w:after="0" w:line="97" w:lineRule="exact"/>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gridSpan w:val="2"/>
            <w:shd w:val="clear" w:color="auto" w:fill="CCEEFF"/>
          </w:tcPr>
          <w:p>
            <w:pPr>
              <w:jc w:val="center"/>
              <w:ind w:left="45"/>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100" w:type="dxa"/>
            <w:vAlign w:val="bottom"/>
            <w:gridSpan w:val="5"/>
            <w:shd w:val="clear" w:color="auto" w:fill="CCEEFF"/>
          </w:tcPr>
          <w:p>
            <w:pPr>
              <w:jc w:val="right"/>
              <w:ind w:right="81"/>
              <w:spacing w:after="0" w:line="97" w:lineRule="exact"/>
              <w:rPr>
                <w:sz w:val="20"/>
                <w:szCs w:val="20"/>
                <w:color w:val="auto"/>
              </w:rPr>
            </w:pPr>
            <w:r>
              <w:rPr>
                <w:rFonts w:ascii="Times New Roman" w:cs="Times New Roman" w:eastAsia="Times New Roman" w:hAnsi="Times New Roman"/>
                <w:sz w:val="11"/>
                <w:szCs w:val="11"/>
                <w:color w:val="auto"/>
              </w:rPr>
              <w:t>0.4%</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tcBorders>
              <w:right w:val="single" w:sz="8" w:color="CCEEFF"/>
            </w:tcBorders>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3,000</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(Tower Arch Infolinks Media, LP (5))</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left="25"/>
              <w:spacing w:after="0" w:line="114" w:lineRule="exact"/>
              <w:rPr>
                <w:sz w:val="20"/>
                <w:szCs w:val="20"/>
                <w:color w:val="auto"/>
              </w:rPr>
            </w:pPr>
            <w:r>
              <w:rPr>
                <w:rFonts w:ascii="Times New Roman" w:cs="Times New Roman" w:eastAsia="Times New Roman" w:hAnsi="Times New Roman"/>
                <w:sz w:val="11"/>
                <w:szCs w:val="11"/>
                <w:color w:val="auto"/>
              </w:rPr>
              <w:t>3M L+575, 11/01/2026</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45 North Broad Street</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left="45"/>
              <w:spacing w:after="0" w:line="114" w:lineRule="exact"/>
              <w:rPr>
                <w:sz w:val="20"/>
                <w:szCs w:val="20"/>
                <w:color w:val="auto"/>
              </w:rPr>
            </w:pPr>
            <w:r>
              <w:rPr>
                <w:rFonts w:ascii="Times New Roman" w:cs="Times New Roman" w:eastAsia="Times New Roman" w:hAnsi="Times New Roman"/>
                <w:sz w:val="11"/>
                <w:szCs w:val="11"/>
                <w:color w:val="auto"/>
              </w:rPr>
              <w:t>Common Equity(4)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Ridgewood, NJ 07450</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Consumer Services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left="45"/>
              <w:spacing w:after="0"/>
              <w:rPr>
                <w:sz w:val="20"/>
                <w:szCs w:val="20"/>
                <w:color w:val="auto"/>
              </w:rPr>
            </w:pPr>
            <w:r>
              <w:rPr>
                <w:rFonts w:ascii="Times New Roman" w:cs="Times New Roman" w:eastAsia="Times New Roman" w:hAnsi="Times New Roman"/>
                <w:sz w:val="11"/>
                <w:szCs w:val="11"/>
                <w:color w:val="auto"/>
              </w:rPr>
              <w:t>First Lien Secured Debt(4),</w:t>
            </w:r>
          </w:p>
        </w:tc>
        <w:tc>
          <w:tcPr>
            <w:tcW w:w="1100" w:type="dxa"/>
            <w:vAlign w:val="bottom"/>
            <w:gridSpan w:val="5"/>
          </w:tcPr>
          <w:p>
            <w:pPr>
              <w:jc w:val="right"/>
              <w:ind w:right="81"/>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15,378</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(IIN Group Holdings, LLC(5))</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tcPr>
          <w:p>
            <w:pPr>
              <w:jc w:val="center"/>
              <w:ind w:left="25"/>
              <w:spacing w:after="0" w:line="114" w:lineRule="exact"/>
              <w:rPr>
                <w:sz w:val="20"/>
                <w:szCs w:val="20"/>
                <w:color w:val="auto"/>
              </w:rPr>
            </w:pPr>
            <w:r>
              <w:rPr>
                <w:rFonts w:ascii="Times New Roman" w:cs="Times New Roman" w:eastAsia="Times New Roman" w:hAnsi="Times New Roman"/>
                <w:sz w:val="11"/>
                <w:szCs w:val="11"/>
                <w:color w:val="auto"/>
              </w:rPr>
              <w:t>3M L+450, 09/29/2023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245 5</w:t>
            </w:r>
            <w:r>
              <w:rPr>
                <w:rFonts w:ascii="Times New Roman" w:cs="Times New Roman" w:eastAsia="Times New Roman" w:hAnsi="Times New Roman"/>
                <w:sz w:val="6"/>
                <w:szCs w:val="6"/>
                <w:color w:val="auto"/>
              </w:rPr>
              <w:t>th</w:t>
            </w:r>
            <w:r>
              <w:rPr>
                <w:rFonts w:ascii="Times New Roman" w:cs="Times New Roman" w:eastAsia="Times New Roman" w:hAnsi="Times New Roman"/>
                <w:sz w:val="11"/>
                <w:szCs w:val="11"/>
                <w:color w:val="auto"/>
              </w:rPr>
              <w:t xml:space="preserve"> Avenue</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tcPr>
          <w:p>
            <w:pPr>
              <w:jc w:val="center"/>
              <w:ind w:left="45"/>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New York, New York 10016</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4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420" w:type="dxa"/>
            <w:vAlign w:val="bottom"/>
            <w:vMerge w:val="continue"/>
          </w:tcPr>
          <w:p>
            <w:pPr>
              <w:spacing w:after="0"/>
              <w:rPr>
                <w:sz w:val="8"/>
                <w:szCs w:val="8"/>
                <w:color w:val="auto"/>
              </w:rPr>
            </w:pPr>
          </w:p>
        </w:tc>
        <w:tc>
          <w:tcPr>
            <w:tcW w:w="25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Integrity Marketing Acquisition, LLC</w:t>
            </w: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jc w:val="center"/>
              <w:spacing w:after="0" w:line="97" w:lineRule="exact"/>
              <w:rPr>
                <w:sz w:val="20"/>
                <w:szCs w:val="20"/>
                <w:color w:val="auto"/>
              </w:rPr>
            </w:pPr>
            <w:r>
              <w:rPr>
                <w:rFonts w:ascii="Times New Roman" w:cs="Times New Roman" w:eastAsia="Times New Roman" w:hAnsi="Times New Roman"/>
                <w:sz w:val="11"/>
                <w:szCs w:val="11"/>
                <w:color w:val="auto"/>
                <w:w w:val="98"/>
              </w:rPr>
              <w:t>Insurance</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gridSpan w:val="2"/>
            <w:shd w:val="clear" w:color="auto" w:fill="CCEEFF"/>
          </w:tcPr>
          <w:p>
            <w:pPr>
              <w:jc w:val="center"/>
              <w:ind w:left="25"/>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41"/>
              <w:spacing w:after="0" w:line="97"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tcBorders>
              <w:right w:val="single" w:sz="8" w:color="CCEEFF"/>
            </w:tcBorders>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15,667</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1445 Ross Avenue, 22nd Floor</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left="45"/>
              <w:spacing w:after="0" w:line="114" w:lineRule="exact"/>
              <w:rPr>
                <w:sz w:val="20"/>
                <w:szCs w:val="20"/>
                <w:color w:val="auto"/>
              </w:rPr>
            </w:pPr>
            <w:r>
              <w:rPr>
                <w:rFonts w:ascii="Times New Roman" w:cs="Times New Roman" w:eastAsia="Times New Roman" w:hAnsi="Times New Roman"/>
                <w:sz w:val="11"/>
                <w:szCs w:val="11"/>
                <w:color w:val="auto"/>
              </w:rPr>
              <w:t>SOFR+550, 08/27/2025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Dallas, TX 75202</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ITC Rumba, LLC(5)</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and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left="45"/>
              <w:spacing w:after="0"/>
              <w:rPr>
                <w:sz w:val="20"/>
                <w:szCs w:val="20"/>
                <w:color w:val="auto"/>
              </w:rPr>
            </w:pPr>
            <w:r>
              <w:rPr>
                <w:rFonts w:ascii="Times New Roman" w:cs="Times New Roman" w:eastAsia="Times New Roman" w:hAnsi="Times New Roman"/>
                <w:sz w:val="11"/>
                <w:szCs w:val="11"/>
                <w:color w:val="auto"/>
              </w:rPr>
              <w:t>Common Equity</w:t>
            </w:r>
          </w:p>
        </w:tc>
        <w:tc>
          <w:tcPr>
            <w:tcW w:w="1100" w:type="dxa"/>
            <w:vAlign w:val="bottom"/>
            <w:gridSpan w:val="5"/>
          </w:tcPr>
          <w:p>
            <w:pPr>
              <w:jc w:val="right"/>
              <w:ind w:right="81"/>
              <w:spacing w:after="0"/>
              <w:rPr>
                <w:sz w:val="20"/>
                <w:szCs w:val="20"/>
                <w:color w:val="auto"/>
              </w:rPr>
            </w:pPr>
            <w:r>
              <w:rPr>
                <w:rFonts w:ascii="Times New Roman" w:cs="Times New Roman" w:eastAsia="Times New Roman" w:hAnsi="Times New Roman"/>
                <w:sz w:val="11"/>
                <w:szCs w:val="11"/>
                <w:color w:val="auto"/>
              </w:rPr>
              <w:t>0.3%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5,232</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9725 NW 117th Ave #200,</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color w:val="auto"/>
                <w:w w:val="99"/>
              </w:rPr>
              <w:t>Pharmaceuticals</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Miami, FL 33178</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4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420" w:type="dxa"/>
            <w:vAlign w:val="bottom"/>
            <w:vMerge w:val="continue"/>
          </w:tcPr>
          <w:p>
            <w:pPr>
              <w:spacing w:after="0"/>
              <w:rPr>
                <w:sz w:val="8"/>
                <w:szCs w:val="8"/>
                <w:color w:val="auto"/>
              </w:rPr>
            </w:pPr>
          </w:p>
        </w:tc>
        <w:tc>
          <w:tcPr>
            <w:tcW w:w="25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ITI Holdings, Inc.</w:t>
            </w: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jc w:val="center"/>
              <w:spacing w:after="0" w:line="97" w:lineRule="exact"/>
              <w:rPr>
                <w:sz w:val="20"/>
                <w:szCs w:val="20"/>
                <w:color w:val="auto"/>
              </w:rPr>
            </w:pPr>
            <w:r>
              <w:rPr>
                <w:rFonts w:ascii="Times New Roman" w:cs="Times New Roman" w:eastAsia="Times New Roman" w:hAnsi="Times New Roman"/>
                <w:sz w:val="11"/>
                <w:szCs w:val="11"/>
                <w:color w:val="auto"/>
                <w:w w:val="99"/>
              </w:rPr>
              <w:t>IT Services</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gridSpan w:val="2"/>
            <w:shd w:val="clear" w:color="auto" w:fill="CCEEFF"/>
          </w:tcPr>
          <w:p>
            <w:pPr>
              <w:jc w:val="center"/>
              <w:ind w:left="45"/>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41"/>
              <w:spacing w:after="0" w:line="97"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tcBorders>
              <w:right w:val="single" w:sz="8" w:color="CCEEFF"/>
            </w:tcBorders>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120</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2980 E. Coliseum Blvd.</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left="25"/>
              <w:spacing w:after="0" w:line="114" w:lineRule="exact"/>
              <w:rPr>
                <w:sz w:val="20"/>
                <w:szCs w:val="20"/>
                <w:color w:val="auto"/>
              </w:rPr>
            </w:pPr>
            <w:r>
              <w:rPr>
                <w:rFonts w:ascii="Times New Roman" w:cs="Times New Roman" w:eastAsia="Times New Roman" w:hAnsi="Times New Roman"/>
                <w:sz w:val="11"/>
                <w:szCs w:val="11"/>
                <w:color w:val="auto"/>
              </w:rPr>
              <w:t>3M L+550, 03/03/2028</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Fort Wayne, IN 46805</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Chemicals,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left="45"/>
              <w:spacing w:after="0"/>
              <w:rPr>
                <w:sz w:val="20"/>
                <w:szCs w:val="20"/>
                <w:color w:val="auto"/>
              </w:rPr>
            </w:pPr>
            <w:r>
              <w:rPr>
                <w:rFonts w:ascii="Times New Roman" w:cs="Times New Roman" w:eastAsia="Times New Roman" w:hAnsi="Times New Roman"/>
                <w:sz w:val="11"/>
                <w:szCs w:val="11"/>
                <w:color w:val="auto"/>
              </w:rPr>
              <w:t>First Lien Secured Debt(4),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gridSpan w:val="2"/>
          </w:tcPr>
          <w:p>
            <w:pPr>
              <w:jc w:val="right"/>
              <w:ind w:right="241"/>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3515 Massillion Road, Ste. 290</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color w:val="auto"/>
              </w:rPr>
              <w:t>Plastics and Rubber</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tcPr>
          <w:p>
            <w:pPr>
              <w:jc w:val="center"/>
              <w:ind w:left="45"/>
              <w:spacing w:after="0" w:line="114" w:lineRule="exact"/>
              <w:rPr>
                <w:sz w:val="20"/>
                <w:szCs w:val="20"/>
                <w:color w:val="auto"/>
              </w:rPr>
            </w:pPr>
            <w:r>
              <w:rPr>
                <w:rFonts w:ascii="Times New Roman" w:cs="Times New Roman" w:eastAsia="Times New Roman" w:hAnsi="Times New Roman"/>
                <w:sz w:val="11"/>
                <w:szCs w:val="11"/>
                <w:color w:val="auto"/>
                <w:w w:val="98"/>
              </w:rPr>
              <w:t>—, 12/20/2023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Uniontown, OH 44685</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4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420" w:type="dxa"/>
            <w:vAlign w:val="bottom"/>
            <w:vMerge w:val="continue"/>
          </w:tcPr>
          <w:p>
            <w:pPr>
              <w:spacing w:after="0"/>
              <w:rPr>
                <w:sz w:val="8"/>
                <w:szCs w:val="8"/>
                <w:color w:val="auto"/>
              </w:rPr>
            </w:pPr>
          </w:p>
        </w:tc>
        <w:tc>
          <w:tcPr>
            <w:tcW w:w="25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Kinetic Purchaser, LLC</w:t>
            </w: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jc w:val="center"/>
              <w:spacing w:after="0" w:line="97" w:lineRule="exact"/>
              <w:rPr>
                <w:sz w:val="20"/>
                <w:szCs w:val="20"/>
                <w:color w:val="auto"/>
              </w:rPr>
            </w:pPr>
            <w:r>
              <w:rPr>
                <w:rFonts w:ascii="Times New Roman" w:cs="Times New Roman" w:eastAsia="Times New Roman" w:hAnsi="Times New Roman"/>
                <w:sz w:val="11"/>
                <w:szCs w:val="11"/>
                <w:color w:val="auto"/>
              </w:rPr>
              <w:t>Personal Products</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gridSpan w:val="2"/>
            <w:shd w:val="clear" w:color="auto" w:fill="CCEEFF"/>
          </w:tcPr>
          <w:p>
            <w:pPr>
              <w:jc w:val="center"/>
              <w:ind w:left="45"/>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41"/>
              <w:spacing w:after="0" w:line="97"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tcBorders>
              <w:right w:val="single" w:sz="8" w:color="CCEEFF"/>
            </w:tcBorders>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22,903</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12552 S. 125 West</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left="25"/>
              <w:spacing w:after="0" w:line="114" w:lineRule="exact"/>
              <w:rPr>
                <w:sz w:val="20"/>
                <w:szCs w:val="20"/>
                <w:color w:val="auto"/>
              </w:rPr>
            </w:pPr>
            <w:r>
              <w:rPr>
                <w:rFonts w:ascii="Times New Roman" w:cs="Times New Roman" w:eastAsia="Times New Roman" w:hAnsi="Times New Roman"/>
                <w:sz w:val="11"/>
                <w:szCs w:val="11"/>
                <w:color w:val="auto"/>
              </w:rPr>
              <w:t>3M L+600, 11/10/2027</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Draper, UT 84020</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left="45"/>
              <w:spacing w:after="0"/>
              <w:rPr>
                <w:sz w:val="20"/>
                <w:szCs w:val="20"/>
                <w:color w:val="auto"/>
              </w:rPr>
            </w:pPr>
            <w:r>
              <w:rPr>
                <w:rFonts w:ascii="Times New Roman" w:cs="Times New Roman" w:eastAsia="Times New Roman" w:hAnsi="Times New Roman"/>
                <w:sz w:val="11"/>
                <w:szCs w:val="11"/>
                <w:color w:val="auto"/>
              </w:rPr>
              <w:t>Common Equity</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Lash OpCo, LLC</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Personal Products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left="45"/>
              <w:spacing w:after="0"/>
              <w:rPr>
                <w:sz w:val="20"/>
                <w:szCs w:val="20"/>
                <w:color w:val="auto"/>
              </w:rPr>
            </w:pPr>
            <w:r>
              <w:rPr>
                <w:rFonts w:ascii="Times New Roman" w:cs="Times New Roman" w:eastAsia="Times New Roman" w:hAnsi="Times New Roman"/>
                <w:sz w:val="11"/>
                <w:szCs w:val="11"/>
                <w:color w:val="auto"/>
              </w:rPr>
              <w:t>First Lien Secured Debt(4),</w:t>
            </w:r>
          </w:p>
        </w:tc>
        <w:tc>
          <w:tcPr>
            <w:tcW w:w="1100" w:type="dxa"/>
            <w:vAlign w:val="bottom"/>
            <w:gridSpan w:val="5"/>
          </w:tcPr>
          <w:p>
            <w:pPr>
              <w:jc w:val="right"/>
              <w:ind w:right="81"/>
              <w:spacing w:after="0"/>
              <w:rPr>
                <w:sz w:val="20"/>
                <w:szCs w:val="20"/>
                <w:color w:val="auto"/>
              </w:rPr>
            </w:pPr>
            <w:r>
              <w:rPr>
                <w:rFonts w:ascii="Times New Roman" w:cs="Times New Roman" w:eastAsia="Times New Roman" w:hAnsi="Times New Roman"/>
                <w:sz w:val="11"/>
                <w:szCs w:val="11"/>
                <w:color w:val="auto"/>
              </w:rPr>
              <w:t>1.3%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17,891</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(Gauge Lash Coinvest LLC)</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tcPr>
          <w:p>
            <w:pPr>
              <w:jc w:val="center"/>
              <w:ind w:left="25"/>
              <w:spacing w:after="0" w:line="114" w:lineRule="exact"/>
              <w:rPr>
                <w:sz w:val="20"/>
                <w:szCs w:val="20"/>
                <w:color w:val="auto"/>
              </w:rPr>
            </w:pPr>
            <w:r>
              <w:rPr>
                <w:rFonts w:ascii="Times New Roman" w:cs="Times New Roman" w:eastAsia="Times New Roman" w:hAnsi="Times New Roman"/>
                <w:sz w:val="11"/>
                <w:szCs w:val="11"/>
                <w:color w:val="auto"/>
              </w:rPr>
              <w:t>1M L+700, 02/18/2027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1256 Main Street, Suite 256</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tcPr>
          <w:p>
            <w:pPr>
              <w:jc w:val="center"/>
              <w:ind w:left="45"/>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Southlake, TX 76092</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4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420" w:type="dxa"/>
            <w:vAlign w:val="bottom"/>
            <w:vMerge w:val="continue"/>
          </w:tcPr>
          <w:p>
            <w:pPr>
              <w:spacing w:after="0"/>
              <w:rPr>
                <w:sz w:val="8"/>
                <w:szCs w:val="8"/>
                <w:color w:val="auto"/>
              </w:rPr>
            </w:pPr>
          </w:p>
        </w:tc>
        <w:tc>
          <w:tcPr>
            <w:tcW w:w="25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LAV Gear Holdings, Inc.</w:t>
            </w: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jc w:val="center"/>
              <w:spacing w:after="0" w:line="97" w:lineRule="exact"/>
              <w:rPr>
                <w:sz w:val="20"/>
                <w:szCs w:val="20"/>
                <w:color w:val="auto"/>
              </w:rPr>
            </w:pPr>
            <w:r>
              <w:rPr>
                <w:rFonts w:ascii="Times New Roman" w:cs="Times New Roman" w:eastAsia="Times New Roman" w:hAnsi="Times New Roman"/>
                <w:sz w:val="11"/>
                <w:szCs w:val="11"/>
                <w:color w:val="auto"/>
                <w:w w:val="98"/>
              </w:rPr>
              <w:t>Capital Equipment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gridSpan w:val="2"/>
            <w:shd w:val="clear" w:color="auto" w:fill="CCEEFF"/>
          </w:tcPr>
          <w:p>
            <w:pPr>
              <w:jc w:val="center"/>
              <w:ind w:left="45"/>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41"/>
              <w:spacing w:after="0" w:line="97"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tcBorders>
              <w:right w:val="single" w:sz="8" w:color="CCEEFF"/>
            </w:tcBorders>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11,027</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3165 W Sunset Rd,</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left="45"/>
              <w:spacing w:after="0" w:line="114" w:lineRule="exact"/>
              <w:rPr>
                <w:sz w:val="20"/>
                <w:szCs w:val="20"/>
                <w:color w:val="auto"/>
              </w:rPr>
            </w:pPr>
            <w:r>
              <w:rPr>
                <w:rFonts w:ascii="Times New Roman" w:cs="Times New Roman" w:eastAsia="Times New Roman" w:hAnsi="Times New Roman"/>
                <w:sz w:val="11"/>
                <w:szCs w:val="11"/>
                <w:color w:val="auto"/>
              </w:rPr>
              <w:t>1M L+750 (PIK 5.50%),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Las Vegas, NV 89118</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jc w:val="center"/>
              <w:ind w:left="585"/>
              <w:spacing w:after="0"/>
              <w:rPr>
                <w:sz w:val="20"/>
                <w:szCs w:val="20"/>
                <w:color w:val="auto"/>
              </w:rPr>
            </w:pPr>
            <w:r>
              <w:rPr>
                <w:rFonts w:ascii="Times New Roman" w:cs="Times New Roman" w:eastAsia="Times New Roman" w:hAnsi="Times New Roman"/>
                <w:sz w:val="11"/>
                <w:szCs w:val="11"/>
                <w:color w:val="auto"/>
                <w:w w:val="99"/>
              </w:rPr>
              <w:t>10/31/2024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Ledge Lounger, Inc.</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Leisure Products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left="45"/>
              <w:spacing w:after="0"/>
              <w:rPr>
                <w:sz w:val="20"/>
                <w:szCs w:val="20"/>
                <w:color w:val="auto"/>
              </w:rPr>
            </w:pPr>
            <w:r>
              <w:rPr>
                <w:rFonts w:ascii="Times New Roman" w:cs="Times New Roman" w:eastAsia="Times New Roman" w:hAnsi="Times New Roman"/>
                <w:sz w:val="11"/>
                <w:szCs w:val="11"/>
                <w:color w:val="auto"/>
              </w:rPr>
              <w:t>First Lien Secured Debt(4),</w:t>
            </w:r>
          </w:p>
        </w:tc>
        <w:tc>
          <w:tcPr>
            <w:tcW w:w="1100" w:type="dxa"/>
            <w:vAlign w:val="bottom"/>
            <w:gridSpan w:val="5"/>
          </w:tcPr>
          <w:p>
            <w:pPr>
              <w:jc w:val="right"/>
              <w:ind w:right="81"/>
              <w:spacing w:after="0"/>
              <w:rPr>
                <w:sz w:val="20"/>
                <w:szCs w:val="20"/>
                <w:color w:val="auto"/>
              </w:rPr>
            </w:pPr>
            <w:r>
              <w:rPr>
                <w:rFonts w:ascii="Times New Roman" w:cs="Times New Roman" w:eastAsia="Times New Roman" w:hAnsi="Times New Roman"/>
                <w:sz w:val="11"/>
                <w:szCs w:val="11"/>
                <w:color w:val="auto"/>
              </w:rPr>
              <w:t>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4,052</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(SP L2 Holdings, LLC)</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tcPr>
          <w:p>
            <w:pPr>
              <w:jc w:val="center"/>
              <w:ind w:left="25"/>
              <w:spacing w:after="0" w:line="114" w:lineRule="exact"/>
              <w:rPr>
                <w:sz w:val="20"/>
                <w:szCs w:val="20"/>
                <w:color w:val="auto"/>
              </w:rPr>
            </w:pPr>
            <w:r>
              <w:rPr>
                <w:rFonts w:ascii="Times New Roman" w:cs="Times New Roman" w:eastAsia="Times New Roman" w:hAnsi="Times New Roman"/>
                <w:sz w:val="11"/>
                <w:szCs w:val="11"/>
                <w:color w:val="auto"/>
              </w:rPr>
              <w:t>3M L+625, 11/09/2026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616 Cane Island Pkwy Suite 200</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tcPr>
          <w:p>
            <w:pPr>
              <w:jc w:val="center"/>
              <w:ind w:left="45"/>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Katy, TX 77494</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420" w:type="dxa"/>
            <w:vAlign w:val="bottom"/>
            <w:vMerge w:val="restart"/>
          </w:tcPr>
          <w:p>
            <w:pPr>
              <w:spacing w:after="0"/>
              <w:rPr>
                <w:sz w:val="7"/>
                <w:szCs w:val="7"/>
                <w:color w:val="auto"/>
              </w:rPr>
            </w:pPr>
          </w:p>
        </w:tc>
        <w:tc>
          <w:tcPr>
            <w:tcW w:w="1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420" w:type="dxa"/>
            <w:vAlign w:val="bottom"/>
            <w:vMerge w:val="continue"/>
          </w:tcPr>
          <w:p>
            <w:pPr>
              <w:spacing w:after="0"/>
              <w:rPr>
                <w:sz w:val="8"/>
                <w:szCs w:val="8"/>
                <w:color w:val="auto"/>
              </w:rPr>
            </w:pPr>
          </w:p>
        </w:tc>
        <w:tc>
          <w:tcPr>
            <w:tcW w:w="25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Lightspeed Buyer Inc.</w:t>
            </w: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jc w:val="center"/>
              <w:spacing w:after="0" w:line="97" w:lineRule="exact"/>
              <w:rPr>
                <w:sz w:val="20"/>
                <w:szCs w:val="20"/>
                <w:color w:val="auto"/>
              </w:rPr>
            </w:pPr>
            <w:r>
              <w:rPr>
                <w:rFonts w:ascii="Times New Roman" w:cs="Times New Roman" w:eastAsia="Times New Roman" w:hAnsi="Times New Roman"/>
                <w:sz w:val="11"/>
                <w:szCs w:val="11"/>
                <w:color w:val="auto"/>
                <w:w w:val="99"/>
              </w:rPr>
              <w:t>Healthcare Technology</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gridSpan w:val="2"/>
            <w:shd w:val="clear" w:color="auto" w:fill="CCEEFF"/>
          </w:tcPr>
          <w:p>
            <w:pPr>
              <w:jc w:val="center"/>
              <w:ind w:left="45"/>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100" w:type="dxa"/>
            <w:vAlign w:val="bottom"/>
            <w:gridSpan w:val="5"/>
            <w:shd w:val="clear" w:color="auto" w:fill="CCEEFF"/>
          </w:tcPr>
          <w:p>
            <w:pPr>
              <w:jc w:val="right"/>
              <w:ind w:right="81"/>
              <w:spacing w:after="0" w:line="97" w:lineRule="exact"/>
              <w:rPr>
                <w:sz w:val="20"/>
                <w:szCs w:val="20"/>
                <w:color w:val="auto"/>
              </w:rPr>
            </w:pPr>
            <w:r>
              <w:rPr>
                <w:rFonts w:ascii="Times New Roman" w:cs="Times New Roman" w:eastAsia="Times New Roman" w:hAnsi="Times New Roman"/>
                <w:sz w:val="11"/>
                <w:szCs w:val="11"/>
                <w:color w:val="auto"/>
              </w:rPr>
              <w:t>0.2%</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tcBorders>
              <w:right w:val="single" w:sz="8" w:color="CCEEFF"/>
            </w:tcBorders>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25,367</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(Lightspeed Investment Holdco LLC)</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left="25"/>
              <w:spacing w:after="0" w:line="114" w:lineRule="exact"/>
              <w:rPr>
                <w:sz w:val="20"/>
                <w:szCs w:val="20"/>
                <w:color w:val="auto"/>
              </w:rPr>
            </w:pPr>
            <w:r>
              <w:rPr>
                <w:rFonts w:ascii="Times New Roman" w:cs="Times New Roman" w:eastAsia="Times New Roman" w:hAnsi="Times New Roman"/>
                <w:sz w:val="11"/>
                <w:szCs w:val="11"/>
                <w:color w:val="auto"/>
              </w:rPr>
              <w:t>1M L+575, 02/03/2026</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1457 East 40th Street</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left="45"/>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Cleveland, OH 44103</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Lucky Bucks, LLC</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Hotels, Restaurants and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left="25"/>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gridSpan w:val="2"/>
          </w:tcPr>
          <w:p>
            <w:pPr>
              <w:jc w:val="right"/>
              <w:ind w:right="241"/>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3,183</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5820 Live Oak Parkway #300</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color w:val="auto"/>
              </w:rPr>
              <w:t>Leisure</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tcPr>
          <w:p>
            <w:pPr>
              <w:jc w:val="center"/>
              <w:ind w:left="25"/>
              <w:spacing w:after="0" w:line="114" w:lineRule="exact"/>
              <w:rPr>
                <w:sz w:val="20"/>
                <w:szCs w:val="20"/>
                <w:color w:val="auto"/>
              </w:rPr>
            </w:pPr>
            <w:r>
              <w:rPr>
                <w:rFonts w:ascii="Times New Roman" w:cs="Times New Roman" w:eastAsia="Times New Roman" w:hAnsi="Times New Roman"/>
                <w:sz w:val="11"/>
                <w:szCs w:val="11"/>
                <w:color w:val="auto"/>
              </w:rPr>
              <w:t>3M L+550, 07/20/2027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Norcross, GA 30093</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20" w:type="dxa"/>
            <w:vAlign w:val="bottom"/>
            <w:gridSpan w:val="3"/>
          </w:tcPr>
          <w:p>
            <w:pPr>
              <w:jc w:val="right"/>
              <w:ind w:right="486"/>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gridSpan w:val="2"/>
          </w:tcPr>
          <w:p>
            <w:pPr>
              <w:spacing w:after="0"/>
              <w:rPr>
                <w:sz w:val="7"/>
                <w:szCs w:val="7"/>
                <w:color w:val="auto"/>
              </w:rPr>
            </w:pPr>
          </w:p>
        </w:tc>
        <w:tc>
          <w:tcPr>
            <w:tcW w:w="440" w:type="dxa"/>
            <w:vAlign w:val="bottom"/>
            <w:tcBorders>
              <w:bottom w:val="single" w:sz="8" w:color="9A9A9A"/>
            </w:tcBorders>
            <w:gridSpan w:val="2"/>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142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gridSpan w:val="2"/>
          </w:tcPr>
          <w:p>
            <w:pPr>
              <w:spacing w:after="0" w:line="20" w:lineRule="exact"/>
              <w:rPr>
                <w:sz w:val="1"/>
                <w:szCs w:val="1"/>
                <w:color w:val="auto"/>
              </w:rPr>
            </w:pPr>
          </w:p>
        </w:tc>
        <w:tc>
          <w:tcPr>
            <w:tcW w:w="440" w:type="dxa"/>
            <w:vAlign w:val="bottom"/>
            <w:tcBorders>
              <w:bottom w:val="single" w:sz="8" w:color="EEEEEE"/>
            </w:tcBorders>
            <w:gridSpan w:val="2"/>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940" w:type="dxa"/>
            <w:vAlign w:val="bottom"/>
            <w:gridSpan w:val="3"/>
            <w:vMerge w:val="restart"/>
          </w:tcPr>
          <w:p>
            <w:pPr>
              <w:ind w:left="1420"/>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Type of Investment,</w:t>
            </w:r>
          </w:p>
        </w:tc>
        <w:tc>
          <w:tcPr>
            <w:tcW w:w="80" w:type="dxa"/>
            <w:vAlign w:val="bottom"/>
          </w:tcPr>
          <w:p>
            <w:pPr>
              <w:spacing w:after="0"/>
              <w:rPr>
                <w:sz w:val="14"/>
                <w:szCs w:val="14"/>
                <w:color w:val="auto"/>
              </w:rPr>
            </w:pPr>
          </w:p>
        </w:tc>
        <w:tc>
          <w:tcPr>
            <w:tcW w:w="1020" w:type="dxa"/>
            <w:vAlign w:val="bottom"/>
            <w:gridSpan w:val="4"/>
          </w:tcPr>
          <w:p>
            <w:pPr>
              <w:jc w:val="right"/>
              <w:ind w:right="561"/>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40" w:type="dxa"/>
            <w:vAlign w:val="bottom"/>
          </w:tcPr>
          <w:p>
            <w:pPr>
              <w:spacing w:after="0"/>
              <w:rPr>
                <w:sz w:val="14"/>
                <w:szCs w:val="14"/>
                <w:color w:val="auto"/>
              </w:rPr>
            </w:pPr>
          </w:p>
        </w:tc>
        <w:tc>
          <w:tcPr>
            <w:tcW w:w="7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940" w:type="dxa"/>
            <w:vAlign w:val="bottom"/>
            <w:gridSpan w:val="3"/>
            <w:vMerge w:val="continue"/>
          </w:tcPr>
          <w:p>
            <w:pPr>
              <w:spacing w:after="0"/>
              <w:rPr>
                <w:sz w:val="9"/>
                <w:szCs w:val="9"/>
                <w:color w:val="auto"/>
              </w:rPr>
            </w:pPr>
          </w:p>
        </w:tc>
        <w:tc>
          <w:tcPr>
            <w:tcW w:w="2320" w:type="dxa"/>
            <w:vAlign w:val="bottom"/>
            <w:gridSpan w:val="3"/>
            <w:vMerge w:val="restart"/>
          </w:tcPr>
          <w:p>
            <w:pPr>
              <w:jc w:val="center"/>
              <w:ind w:right="1186"/>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100" w:type="dxa"/>
            <w:vAlign w:val="bottom"/>
            <w:gridSpan w:val="5"/>
          </w:tcPr>
          <w:p>
            <w:pPr>
              <w:jc w:val="right"/>
              <w:ind w:right="461"/>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40" w:type="dxa"/>
            <w:vAlign w:val="bottom"/>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940" w:type="dxa"/>
            <w:vAlign w:val="bottom"/>
            <w:gridSpan w:val="3"/>
          </w:tcPr>
          <w:p>
            <w:pPr>
              <w:ind w:left="1420"/>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2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tcPr>
          <w:p>
            <w:pPr>
              <w:jc w:val="center"/>
              <w:ind w:right="20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1100" w:type="dxa"/>
            <w:vAlign w:val="bottom"/>
            <w:gridSpan w:val="5"/>
          </w:tcPr>
          <w:p>
            <w:pPr>
              <w:jc w:val="right"/>
              <w:ind w:right="401"/>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760" w:type="dxa"/>
            <w:vAlign w:val="bottom"/>
            <w:gridSpan w:val="4"/>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420" w:type="dxa"/>
            <w:vAlign w:val="bottom"/>
          </w:tcPr>
          <w:p>
            <w:pPr>
              <w:spacing w:after="0"/>
              <w:rPr>
                <w:sz w:val="6"/>
                <w:szCs w:val="6"/>
                <w:color w:val="auto"/>
              </w:rPr>
            </w:pPr>
          </w:p>
        </w:tc>
        <w:tc>
          <w:tcPr>
            <w:tcW w:w="144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MailSouth, Inc.</w:t>
            </w:r>
          </w:p>
        </w:tc>
        <w:tc>
          <w:tcPr>
            <w:tcW w:w="108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Media: Advertising,</w:t>
            </w:r>
          </w:p>
        </w:tc>
        <w:tc>
          <w:tcPr>
            <w:tcW w:w="1220" w:type="dxa"/>
            <w:vAlign w:val="bottom"/>
            <w:tcBorders>
              <w:top w:val="single" w:sz="8" w:color="CCEEFF"/>
            </w:tcBorders>
            <w:gridSpan w:val="2"/>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40" w:type="dxa"/>
            <w:vAlign w:val="bottom"/>
            <w:tcBorders>
              <w:top w:val="single" w:sz="8" w:color="auto"/>
            </w:tcBorders>
            <w:gridSpan w:val="2"/>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Second Lien Secured Debt,</w:t>
            </w:r>
          </w:p>
        </w:tc>
        <w:tc>
          <w:tcPr>
            <w:tcW w:w="18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gridSpan w:val="3"/>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4.0</w:t>
            </w:r>
          </w:p>
        </w:tc>
        <w:tc>
          <w:tcPr>
            <w:tcW w:w="440" w:type="dxa"/>
            <w:vAlign w:val="bottom"/>
            <w:tcBorders>
              <w:top w:val="single" w:sz="8" w:color="CCEEFF"/>
            </w:tcBorders>
            <w:gridSpan w:val="2"/>
            <w:shd w:val="clear" w:color="auto" w:fill="CCEEFF"/>
          </w:tcPr>
          <w:p>
            <w:pPr>
              <w:jc w:val="right"/>
              <w:ind w:right="181"/>
              <w:spacing w:after="0" w:line="74" w:lineRule="exact"/>
              <w:rPr>
                <w:sz w:val="20"/>
                <w:szCs w:val="20"/>
                <w:color w:val="auto"/>
              </w:rPr>
            </w:pPr>
            <w:r>
              <w:rPr>
                <w:rFonts w:ascii="Times New Roman" w:cs="Times New Roman" w:eastAsia="Times New Roman" w:hAnsi="Times New Roman"/>
                <w:sz w:val="8"/>
                <w:szCs w:val="8"/>
                <w:color w:val="auto"/>
              </w:rPr>
              <w:t>%(3)</w:t>
            </w:r>
          </w:p>
        </w:tc>
        <w:tc>
          <w:tcPr>
            <w:tcW w:w="120" w:type="dxa"/>
            <w:vAlign w:val="bottom"/>
            <w:tcBorders>
              <w:top w:val="single" w:sz="8" w:color="auto"/>
            </w:tcBorders>
            <w:gridSpan w:val="2"/>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560" w:type="dxa"/>
            <w:vAlign w:val="bottom"/>
            <w:tcBorders>
              <w:top w:val="single" w:sz="8" w:color="auto"/>
            </w:tcBorders>
            <w:shd w:val="clear" w:color="auto" w:fill="CCEEFF"/>
          </w:tcPr>
          <w:p>
            <w:pPr>
              <w:jc w:val="right"/>
              <w:ind w:right="6"/>
              <w:spacing w:after="0" w:line="74"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(MSpark, LLC)</w:t>
            </w:r>
          </w:p>
        </w:tc>
        <w:tc>
          <w:tcPr>
            <w:tcW w:w="2320" w:type="dxa"/>
            <w:vAlign w:val="bottom"/>
            <w:gridSpan w:val="3"/>
            <w:shd w:val="clear" w:color="auto" w:fill="CCEEFF"/>
          </w:tcPr>
          <w:p>
            <w:pPr>
              <w:jc w:val="center"/>
              <w:ind w:right="1186"/>
              <w:spacing w:after="0" w:line="114" w:lineRule="exact"/>
              <w:rPr>
                <w:sz w:val="20"/>
                <w:szCs w:val="20"/>
                <w:color w:val="auto"/>
              </w:rPr>
            </w:pPr>
            <w:r>
              <w:rPr>
                <w:rFonts w:ascii="Times New Roman" w:cs="Times New Roman" w:eastAsia="Times New Roman" w:hAnsi="Times New Roman"/>
                <w:sz w:val="11"/>
                <w:szCs w:val="11"/>
                <w:color w:val="auto"/>
              </w:rPr>
              <w:t>Printing and Publishing</w:t>
            </w:r>
          </w:p>
        </w:tc>
        <w:tc>
          <w:tcPr>
            <w:tcW w:w="140" w:type="dxa"/>
            <w:vAlign w:val="bottom"/>
            <w:shd w:val="clear" w:color="auto" w:fill="CCEEFF"/>
          </w:tcPr>
          <w:p>
            <w:pPr>
              <w:spacing w:after="0"/>
              <w:rPr>
                <w:sz w:val="9"/>
                <w:szCs w:val="9"/>
                <w:color w:val="auto"/>
              </w:rPr>
            </w:pPr>
          </w:p>
        </w:tc>
        <w:tc>
          <w:tcPr>
            <w:tcW w:w="1620" w:type="dxa"/>
            <w:vAlign w:val="bottom"/>
            <w:gridSpan w:val="3"/>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9"/>
              </w:rPr>
              <w:t>—(PIK 15.0%), 04/23/2025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5901 Highway 52 East</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Helena, AL 35080</w:t>
            </w: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MAG DS Corp.</w:t>
            </w:r>
          </w:p>
        </w:tc>
        <w:tc>
          <w:tcPr>
            <w:tcW w:w="2320" w:type="dxa"/>
            <w:vAlign w:val="bottom"/>
            <w:gridSpan w:val="3"/>
          </w:tcPr>
          <w:p>
            <w:pPr>
              <w:jc w:val="center"/>
              <w:ind w:right="1186"/>
              <w:spacing w:after="0"/>
              <w:rPr>
                <w:sz w:val="20"/>
                <w:szCs w:val="20"/>
                <w:color w:val="auto"/>
              </w:rPr>
            </w:pPr>
            <w:r>
              <w:rPr>
                <w:rFonts w:ascii="Times New Roman" w:cs="Times New Roman" w:eastAsia="Times New Roman" w:hAnsi="Times New Roman"/>
                <w:sz w:val="11"/>
                <w:szCs w:val="11"/>
                <w:color w:val="auto"/>
              </w:rPr>
              <w:t>Aerospace and Defense</w:t>
            </w:r>
          </w:p>
        </w:tc>
        <w:tc>
          <w:tcPr>
            <w:tcW w:w="140" w:type="dxa"/>
            <w:vAlign w:val="bottom"/>
          </w:tcPr>
          <w:p>
            <w:pPr>
              <w:spacing w:after="0"/>
              <w:rPr>
                <w:sz w:val="15"/>
                <w:szCs w:val="15"/>
                <w:color w:val="auto"/>
              </w:rPr>
            </w:pPr>
          </w:p>
        </w:tc>
        <w:tc>
          <w:tcPr>
            <w:tcW w:w="162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center"/>
              <w:ind w:right="181"/>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3,379</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12730 Fair Lakes Cir Suite 600</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3"/>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1M L+550, 04/01/2027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Fairfax, VA 22033</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420" w:type="dxa"/>
            <w:vAlign w:val="bottom"/>
            <w:vMerge w:val="restart"/>
          </w:tcPr>
          <w:p>
            <w:pPr>
              <w:spacing w:after="0"/>
              <w:rPr>
                <w:sz w:val="7"/>
                <w:szCs w:val="7"/>
                <w:color w:val="auto"/>
              </w:rPr>
            </w:pPr>
          </w:p>
        </w:tc>
        <w:tc>
          <w:tcPr>
            <w:tcW w:w="2520" w:type="dxa"/>
            <w:vAlign w:val="bottom"/>
            <w:gridSpan w:val="2"/>
          </w:tcPr>
          <w:p>
            <w:pPr>
              <w:spacing w:after="0"/>
              <w:rPr>
                <w:sz w:val="7"/>
                <w:szCs w:val="7"/>
                <w:color w:val="auto"/>
              </w:rPr>
            </w:pPr>
          </w:p>
        </w:tc>
        <w:tc>
          <w:tcPr>
            <w:tcW w:w="1100" w:type="dxa"/>
            <w:vAlign w:val="bottom"/>
          </w:tcPr>
          <w:p>
            <w:pPr>
              <w:spacing w:after="0"/>
              <w:rPr>
                <w:sz w:val="7"/>
                <w:szCs w:val="7"/>
                <w:color w:val="auto"/>
              </w:rPr>
            </w:pPr>
          </w:p>
        </w:tc>
        <w:tc>
          <w:tcPr>
            <w:tcW w:w="122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420" w:type="dxa"/>
            <w:vAlign w:val="bottom"/>
            <w:vMerge w:val="continue"/>
          </w:tcPr>
          <w:p>
            <w:pPr>
              <w:spacing w:after="0"/>
              <w:rPr>
                <w:sz w:val="8"/>
                <w:szCs w:val="8"/>
                <w:color w:val="auto"/>
              </w:rPr>
            </w:pPr>
          </w:p>
        </w:tc>
        <w:tc>
          <w:tcPr>
            <w:tcW w:w="25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Mars Acquisition Holdings Corp.</w:t>
            </w:r>
          </w:p>
        </w:tc>
        <w:tc>
          <w:tcPr>
            <w:tcW w:w="2320" w:type="dxa"/>
            <w:vAlign w:val="bottom"/>
            <w:gridSpan w:val="3"/>
            <w:shd w:val="clear" w:color="auto" w:fill="CCEEFF"/>
          </w:tcPr>
          <w:p>
            <w:pPr>
              <w:jc w:val="center"/>
              <w:ind w:right="1186"/>
              <w:spacing w:after="0" w:line="97" w:lineRule="exact"/>
              <w:rPr>
                <w:sz w:val="20"/>
                <w:szCs w:val="20"/>
                <w:color w:val="auto"/>
              </w:rPr>
            </w:pPr>
            <w:r>
              <w:rPr>
                <w:rFonts w:ascii="Times New Roman" w:cs="Times New Roman" w:eastAsia="Times New Roman" w:hAnsi="Times New Roman"/>
                <w:sz w:val="11"/>
                <w:szCs w:val="11"/>
                <w:color w:val="auto"/>
                <w:w w:val="99"/>
              </w:rPr>
              <w:t>Media</w:t>
            </w:r>
          </w:p>
        </w:tc>
        <w:tc>
          <w:tcPr>
            <w:tcW w:w="140" w:type="dxa"/>
            <w:vAlign w:val="bottom"/>
            <w:shd w:val="clear" w:color="auto" w:fill="CCEEFF"/>
          </w:tcPr>
          <w:p>
            <w:pPr>
              <w:spacing w:after="0"/>
              <w:rPr>
                <w:sz w:val="8"/>
                <w:szCs w:val="8"/>
                <w:color w:val="auto"/>
              </w:rPr>
            </w:pPr>
          </w:p>
        </w:tc>
        <w:tc>
          <w:tcPr>
            <w:tcW w:w="1620" w:type="dxa"/>
            <w:vAlign w:val="bottom"/>
            <w:gridSpan w:val="3"/>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gridSpan w:val="3"/>
            <w:shd w:val="clear" w:color="auto" w:fill="CCEEFF"/>
          </w:tcPr>
          <w:p>
            <w:pPr>
              <w:jc w:val="center"/>
              <w:ind w:right="181"/>
              <w:spacing w:after="0" w:line="97" w:lineRule="exact"/>
              <w:rPr>
                <w:sz w:val="20"/>
                <w:szCs w:val="20"/>
                <w:color w:val="auto"/>
              </w:rPr>
            </w:pPr>
            <w:r>
              <w:rPr>
                <w:rFonts w:ascii="Times New Roman" w:cs="Times New Roman" w:eastAsia="Times New Roman" w:hAnsi="Times New Roman"/>
                <w:sz w:val="11"/>
                <w:szCs w:val="11"/>
                <w:color w:val="auto"/>
                <w:w w:val="90"/>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tcBorders>
              <w:right w:val="single" w:sz="8" w:color="CCEEFF"/>
            </w:tcBorders>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7,244</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(Mars Intermediate Holdings II, Inc.)</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20" w:type="dxa"/>
            <w:vAlign w:val="bottom"/>
            <w:gridSpan w:val="3"/>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L+550, 05/14/2026</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25200 Telegraph Rd., 5th Floor</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rPr>
              <w:t>Preferred Equity</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Southfield, MI 48033</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1"/>
                <w:szCs w:val="11"/>
                <w:color w:val="auto"/>
              </w:rPr>
              <w:t>Common Equity</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MBS Holdings, Inc.</w:t>
            </w:r>
          </w:p>
        </w:tc>
        <w:tc>
          <w:tcPr>
            <w:tcW w:w="2320" w:type="dxa"/>
            <w:vAlign w:val="bottom"/>
            <w:gridSpan w:val="3"/>
          </w:tcPr>
          <w:p>
            <w:pPr>
              <w:jc w:val="center"/>
              <w:ind w:right="1186"/>
              <w:spacing w:after="0"/>
              <w:rPr>
                <w:sz w:val="20"/>
                <w:szCs w:val="20"/>
                <w:color w:val="auto"/>
              </w:rPr>
            </w:pPr>
            <w:r>
              <w:rPr>
                <w:rFonts w:ascii="Times New Roman" w:cs="Times New Roman" w:eastAsia="Times New Roman" w:hAnsi="Times New Roman"/>
                <w:sz w:val="11"/>
                <w:szCs w:val="11"/>
                <w:color w:val="auto"/>
              </w:rPr>
              <w:t>Internet Software and</w:t>
            </w:r>
          </w:p>
        </w:tc>
        <w:tc>
          <w:tcPr>
            <w:tcW w:w="140" w:type="dxa"/>
            <w:vAlign w:val="bottom"/>
          </w:tcPr>
          <w:p>
            <w:pPr>
              <w:spacing w:after="0"/>
              <w:rPr>
                <w:sz w:val="15"/>
                <w:szCs w:val="15"/>
                <w:color w:val="auto"/>
              </w:rPr>
            </w:pPr>
          </w:p>
        </w:tc>
        <w:tc>
          <w:tcPr>
            <w:tcW w:w="162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center"/>
              <w:ind w:right="181"/>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(12)</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880 Montclair Road Suite 400</w:t>
            </w:r>
          </w:p>
        </w:tc>
        <w:tc>
          <w:tcPr>
            <w:tcW w:w="2320" w:type="dxa"/>
            <w:vAlign w:val="bottom"/>
            <w:gridSpan w:val="3"/>
          </w:tcPr>
          <w:p>
            <w:pPr>
              <w:jc w:val="center"/>
              <w:ind w:right="1186"/>
              <w:spacing w:after="0" w:line="114" w:lineRule="exact"/>
              <w:rPr>
                <w:sz w:val="20"/>
                <w:szCs w:val="20"/>
                <w:color w:val="auto"/>
              </w:rPr>
            </w:pPr>
            <w:r>
              <w:rPr>
                <w:rFonts w:ascii="Times New Roman" w:cs="Times New Roman" w:eastAsia="Times New Roman" w:hAnsi="Times New Roman"/>
                <w:sz w:val="11"/>
                <w:szCs w:val="11"/>
                <w:color w:val="auto"/>
                <w:w w:val="96"/>
              </w:rPr>
              <w:t>Services</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w w:val="98"/>
              </w:rPr>
              <w:t>—, 04/16/2027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Birmingham, AL 35213</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420" w:type="dxa"/>
            <w:vAlign w:val="bottom"/>
            <w:vMerge w:val="restart"/>
          </w:tcPr>
          <w:p>
            <w:pPr>
              <w:spacing w:after="0"/>
              <w:rPr>
                <w:sz w:val="7"/>
                <w:szCs w:val="7"/>
                <w:color w:val="auto"/>
              </w:rPr>
            </w:pPr>
          </w:p>
        </w:tc>
        <w:tc>
          <w:tcPr>
            <w:tcW w:w="2520" w:type="dxa"/>
            <w:vAlign w:val="bottom"/>
            <w:gridSpan w:val="2"/>
          </w:tcPr>
          <w:p>
            <w:pPr>
              <w:spacing w:after="0"/>
              <w:rPr>
                <w:sz w:val="7"/>
                <w:szCs w:val="7"/>
                <w:color w:val="auto"/>
              </w:rPr>
            </w:pPr>
          </w:p>
        </w:tc>
        <w:tc>
          <w:tcPr>
            <w:tcW w:w="1100" w:type="dxa"/>
            <w:vAlign w:val="bottom"/>
          </w:tcPr>
          <w:p>
            <w:pPr>
              <w:spacing w:after="0"/>
              <w:rPr>
                <w:sz w:val="7"/>
                <w:szCs w:val="7"/>
                <w:color w:val="auto"/>
              </w:rPr>
            </w:pPr>
          </w:p>
        </w:tc>
        <w:tc>
          <w:tcPr>
            <w:tcW w:w="122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gridSpan w:val="3"/>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420" w:type="dxa"/>
            <w:vAlign w:val="bottom"/>
            <w:vMerge w:val="continue"/>
          </w:tcPr>
          <w:p>
            <w:pPr>
              <w:spacing w:after="0"/>
              <w:rPr>
                <w:sz w:val="8"/>
                <w:szCs w:val="8"/>
                <w:color w:val="auto"/>
              </w:rPr>
            </w:pPr>
          </w:p>
        </w:tc>
        <w:tc>
          <w:tcPr>
            <w:tcW w:w="25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MDI Buyer, Inc.</w:t>
            </w:r>
          </w:p>
        </w:tc>
        <w:tc>
          <w:tcPr>
            <w:tcW w:w="2320" w:type="dxa"/>
            <w:vAlign w:val="bottom"/>
            <w:gridSpan w:val="3"/>
            <w:shd w:val="clear" w:color="auto" w:fill="CCEEFF"/>
          </w:tcPr>
          <w:p>
            <w:pPr>
              <w:jc w:val="center"/>
              <w:ind w:right="1166"/>
              <w:spacing w:after="0" w:line="97" w:lineRule="exact"/>
              <w:rPr>
                <w:sz w:val="20"/>
                <w:szCs w:val="20"/>
                <w:color w:val="auto"/>
              </w:rPr>
            </w:pPr>
            <w:r>
              <w:rPr>
                <w:rFonts w:ascii="Times New Roman" w:cs="Times New Roman" w:eastAsia="Times New Roman" w:hAnsi="Times New Roman"/>
                <w:sz w:val="11"/>
                <w:szCs w:val="11"/>
                <w:color w:val="auto"/>
              </w:rPr>
              <w:t>Commodity Chemicals</w:t>
            </w:r>
          </w:p>
        </w:tc>
        <w:tc>
          <w:tcPr>
            <w:tcW w:w="140" w:type="dxa"/>
            <w:vAlign w:val="bottom"/>
            <w:shd w:val="clear" w:color="auto" w:fill="CCEEFF"/>
          </w:tcPr>
          <w:p>
            <w:pPr>
              <w:spacing w:after="0"/>
              <w:rPr>
                <w:sz w:val="8"/>
                <w:szCs w:val="8"/>
                <w:color w:val="auto"/>
              </w:rPr>
            </w:pPr>
          </w:p>
        </w:tc>
        <w:tc>
          <w:tcPr>
            <w:tcW w:w="1620" w:type="dxa"/>
            <w:vAlign w:val="bottom"/>
            <w:gridSpan w:val="3"/>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880" w:type="dxa"/>
            <w:vAlign w:val="bottom"/>
            <w:gridSpan w:val="4"/>
            <w:shd w:val="clear" w:color="auto" w:fill="CCEEFF"/>
          </w:tcPr>
          <w:p>
            <w:pPr>
              <w:jc w:val="right"/>
              <w:ind w:right="67"/>
              <w:spacing w:after="0" w:line="97" w:lineRule="exact"/>
              <w:rPr>
                <w:sz w:val="20"/>
                <w:szCs w:val="20"/>
                <w:color w:val="auto"/>
              </w:rPr>
            </w:pPr>
            <w:r>
              <w:rPr>
                <w:rFonts w:ascii="Times New Roman" w:cs="Times New Roman" w:eastAsia="Times New Roman" w:hAnsi="Times New Roman"/>
                <w:sz w:val="11"/>
                <w:szCs w:val="11"/>
                <w:color w:val="auto"/>
              </w:rPr>
              <w:t>0.6%</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tcBorders>
              <w:right w:val="single" w:sz="8" w:color="CCEEFF"/>
            </w:tcBorders>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643</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(MDI Aggregator, LP)</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w w:val="98"/>
              </w:rPr>
              <w:t>—, 07/25/2028</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740 W Knox Road</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Tempe, AZ 85284</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Meadowlark Acquirer, LLC</w:t>
            </w:r>
          </w:p>
        </w:tc>
        <w:tc>
          <w:tcPr>
            <w:tcW w:w="2320" w:type="dxa"/>
            <w:vAlign w:val="bottom"/>
            <w:gridSpan w:val="3"/>
          </w:tcPr>
          <w:p>
            <w:pPr>
              <w:jc w:val="center"/>
              <w:ind w:right="1186"/>
              <w:spacing w:after="0"/>
              <w:rPr>
                <w:sz w:val="20"/>
                <w:szCs w:val="20"/>
                <w:color w:val="auto"/>
              </w:rPr>
            </w:pPr>
            <w:r>
              <w:rPr>
                <w:rFonts w:ascii="Times New Roman" w:cs="Times New Roman" w:eastAsia="Times New Roman" w:hAnsi="Times New Roman"/>
                <w:sz w:val="11"/>
                <w:szCs w:val="11"/>
                <w:color w:val="auto"/>
              </w:rPr>
              <w:t>Professional Services</w:t>
            </w:r>
          </w:p>
        </w:tc>
        <w:tc>
          <w:tcPr>
            <w:tcW w:w="140" w:type="dxa"/>
            <w:vAlign w:val="bottom"/>
          </w:tcPr>
          <w:p>
            <w:pPr>
              <w:spacing w:after="0"/>
              <w:rPr>
                <w:sz w:val="15"/>
                <w:szCs w:val="15"/>
                <w:color w:val="auto"/>
              </w:rPr>
            </w:pPr>
          </w:p>
        </w:tc>
        <w:tc>
          <w:tcPr>
            <w:tcW w:w="162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Debt(4),</w:t>
            </w:r>
          </w:p>
        </w:tc>
        <w:tc>
          <w:tcPr>
            <w:tcW w:w="1100" w:type="dxa"/>
            <w:vAlign w:val="bottom"/>
            <w:gridSpan w:val="5"/>
          </w:tcPr>
          <w:p>
            <w:pPr>
              <w:jc w:val="right"/>
              <w:ind w:right="181"/>
              <w:spacing w:after="0"/>
              <w:rPr>
                <w:sz w:val="20"/>
                <w:szCs w:val="20"/>
                <w:color w:val="auto"/>
              </w:rPr>
            </w:pPr>
            <w:r>
              <w:rPr>
                <w:rFonts w:ascii="Times New Roman" w:cs="Times New Roman" w:eastAsia="Times New Roman" w:hAnsi="Times New Roman"/>
                <w:sz w:val="11"/>
                <w:szCs w:val="11"/>
                <w:color w:val="auto"/>
              </w:rPr>
              <w:t>0.8%(3)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2,190</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(Meadowlark Title, LLC)</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3"/>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L+550, 12/10/2027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888 Boylston, Ste. 1600,</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2"/>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Boston, MA, 02199</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420" w:type="dxa"/>
            <w:vAlign w:val="bottom"/>
            <w:vMerge w:val="restart"/>
          </w:tcPr>
          <w:p>
            <w:pPr>
              <w:spacing w:after="0"/>
              <w:rPr>
                <w:sz w:val="7"/>
                <w:szCs w:val="7"/>
                <w:color w:val="auto"/>
              </w:rPr>
            </w:pPr>
          </w:p>
        </w:tc>
        <w:tc>
          <w:tcPr>
            <w:tcW w:w="2520" w:type="dxa"/>
            <w:vAlign w:val="bottom"/>
            <w:gridSpan w:val="2"/>
          </w:tcPr>
          <w:p>
            <w:pPr>
              <w:spacing w:after="0"/>
              <w:rPr>
                <w:sz w:val="7"/>
                <w:szCs w:val="7"/>
                <w:color w:val="auto"/>
              </w:rPr>
            </w:pPr>
          </w:p>
        </w:tc>
        <w:tc>
          <w:tcPr>
            <w:tcW w:w="1100" w:type="dxa"/>
            <w:vAlign w:val="bottom"/>
          </w:tcPr>
          <w:p>
            <w:pPr>
              <w:spacing w:after="0"/>
              <w:rPr>
                <w:sz w:val="7"/>
                <w:szCs w:val="7"/>
                <w:color w:val="auto"/>
              </w:rPr>
            </w:pPr>
          </w:p>
        </w:tc>
        <w:tc>
          <w:tcPr>
            <w:tcW w:w="122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420" w:type="dxa"/>
            <w:vAlign w:val="bottom"/>
            <w:vMerge w:val="continue"/>
          </w:tcPr>
          <w:p>
            <w:pPr>
              <w:spacing w:after="0"/>
              <w:rPr>
                <w:sz w:val="8"/>
                <w:szCs w:val="8"/>
                <w:color w:val="auto"/>
              </w:rPr>
            </w:pPr>
          </w:p>
        </w:tc>
        <w:tc>
          <w:tcPr>
            <w:tcW w:w="25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Mission Critical Electronics, Inc.</w:t>
            </w:r>
          </w:p>
        </w:tc>
        <w:tc>
          <w:tcPr>
            <w:tcW w:w="2320" w:type="dxa"/>
            <w:vAlign w:val="bottom"/>
            <w:gridSpan w:val="3"/>
            <w:shd w:val="clear" w:color="auto" w:fill="CCEEFF"/>
          </w:tcPr>
          <w:p>
            <w:pPr>
              <w:jc w:val="center"/>
              <w:ind w:right="1186"/>
              <w:spacing w:after="0" w:line="97" w:lineRule="exact"/>
              <w:rPr>
                <w:sz w:val="20"/>
                <w:szCs w:val="20"/>
                <w:color w:val="auto"/>
              </w:rPr>
            </w:pPr>
            <w:r>
              <w:rPr>
                <w:rFonts w:ascii="Times New Roman" w:cs="Times New Roman" w:eastAsia="Times New Roman" w:hAnsi="Times New Roman"/>
                <w:sz w:val="11"/>
                <w:szCs w:val="11"/>
                <w:color w:val="auto"/>
              </w:rPr>
              <w:t>Capital Equipment</w:t>
            </w:r>
          </w:p>
        </w:tc>
        <w:tc>
          <w:tcPr>
            <w:tcW w:w="140" w:type="dxa"/>
            <w:vAlign w:val="bottom"/>
            <w:shd w:val="clear" w:color="auto" w:fill="CCEEFF"/>
          </w:tcPr>
          <w:p>
            <w:pPr>
              <w:spacing w:after="0"/>
              <w:rPr>
                <w:sz w:val="8"/>
                <w:szCs w:val="8"/>
                <w:color w:val="auto"/>
              </w:rPr>
            </w:pPr>
          </w:p>
        </w:tc>
        <w:tc>
          <w:tcPr>
            <w:tcW w:w="1620" w:type="dxa"/>
            <w:vAlign w:val="bottom"/>
            <w:gridSpan w:val="3"/>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gridSpan w:val="3"/>
            <w:shd w:val="clear" w:color="auto" w:fill="CCEEFF"/>
          </w:tcPr>
          <w:p>
            <w:pPr>
              <w:jc w:val="center"/>
              <w:ind w:right="181"/>
              <w:spacing w:after="0" w:line="97" w:lineRule="exact"/>
              <w:rPr>
                <w:sz w:val="20"/>
                <w:szCs w:val="20"/>
                <w:color w:val="auto"/>
              </w:rPr>
            </w:pPr>
            <w:r>
              <w:rPr>
                <w:rFonts w:ascii="Times New Roman" w:cs="Times New Roman" w:eastAsia="Times New Roman" w:hAnsi="Times New Roman"/>
                <w:sz w:val="11"/>
                <w:szCs w:val="11"/>
                <w:color w:val="auto"/>
                <w:w w:val="90"/>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tcBorders>
              <w:right w:val="single" w:sz="8" w:color="CCEEFF"/>
            </w:tcBorders>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3,922</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15272 Newsboy Circle</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20" w:type="dxa"/>
            <w:vAlign w:val="bottom"/>
            <w:gridSpan w:val="3"/>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SOFR+500, 03/28/2024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Huntington, CA 92649</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2320" w:type="dxa"/>
            <w:vAlign w:val="bottom"/>
            <w:gridSpan w:val="3"/>
          </w:tcPr>
          <w:p>
            <w:pPr>
              <w:jc w:val="center"/>
              <w:ind w:right="1186"/>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5"/>
                <w:szCs w:val="15"/>
                <w:color w:val="auto"/>
              </w:rPr>
            </w:pPr>
          </w:p>
        </w:tc>
        <w:tc>
          <w:tcPr>
            <w:tcW w:w="162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Debt(4),</w:t>
            </w:r>
          </w:p>
        </w:tc>
        <w:tc>
          <w:tcPr>
            <w:tcW w:w="880" w:type="dxa"/>
            <w:vAlign w:val="bottom"/>
            <w:gridSpan w:val="4"/>
          </w:tcPr>
          <w:p>
            <w:pPr>
              <w:jc w:val="right"/>
              <w:ind w:right="67"/>
              <w:spacing w:after="0"/>
              <w:rPr>
                <w:sz w:val="20"/>
                <w:szCs w:val="20"/>
                <w:color w:val="auto"/>
              </w:rPr>
            </w:pPr>
            <w:r>
              <w:rPr>
                <w:rFonts w:ascii="Times New Roman" w:cs="Times New Roman" w:eastAsia="Times New Roman" w:hAnsi="Times New Roman"/>
                <w:sz w:val="11"/>
                <w:szCs w:val="11"/>
                <w:color w:val="auto"/>
              </w:rPr>
              <w:t>2.1%</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1,897</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12 Turnberry Ln</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gridSpan w:val="3"/>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L+500, 09/28/2027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Sandy Hook, CT 06482</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Common Equity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420" w:type="dxa"/>
            <w:vAlign w:val="bottom"/>
            <w:vMerge w:val="restart"/>
          </w:tcPr>
          <w:p>
            <w:pPr>
              <w:spacing w:after="0"/>
              <w:rPr>
                <w:sz w:val="7"/>
                <w:szCs w:val="7"/>
                <w:color w:val="auto"/>
              </w:rPr>
            </w:pPr>
          </w:p>
        </w:tc>
        <w:tc>
          <w:tcPr>
            <w:tcW w:w="2520" w:type="dxa"/>
            <w:vAlign w:val="bottom"/>
            <w:gridSpan w:val="2"/>
          </w:tcPr>
          <w:p>
            <w:pPr>
              <w:spacing w:after="0"/>
              <w:rPr>
                <w:sz w:val="7"/>
                <w:szCs w:val="7"/>
                <w:color w:val="auto"/>
              </w:rPr>
            </w:pPr>
          </w:p>
        </w:tc>
        <w:tc>
          <w:tcPr>
            <w:tcW w:w="1100" w:type="dxa"/>
            <w:vAlign w:val="bottom"/>
          </w:tcPr>
          <w:p>
            <w:pPr>
              <w:spacing w:after="0"/>
              <w:rPr>
                <w:sz w:val="7"/>
                <w:szCs w:val="7"/>
                <w:color w:val="auto"/>
              </w:rPr>
            </w:pPr>
          </w:p>
        </w:tc>
        <w:tc>
          <w:tcPr>
            <w:tcW w:w="122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420" w:type="dxa"/>
            <w:vAlign w:val="bottom"/>
            <w:vMerge w:val="continue"/>
          </w:tcPr>
          <w:p>
            <w:pPr>
              <w:spacing w:after="0"/>
              <w:rPr>
                <w:sz w:val="8"/>
                <w:szCs w:val="8"/>
                <w:color w:val="auto"/>
              </w:rPr>
            </w:pPr>
          </w:p>
        </w:tc>
        <w:tc>
          <w:tcPr>
            <w:tcW w:w="25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NBH Group LLC</w:t>
            </w:r>
          </w:p>
        </w:tc>
        <w:tc>
          <w:tcPr>
            <w:tcW w:w="2320" w:type="dxa"/>
            <w:vAlign w:val="bottom"/>
            <w:gridSpan w:val="3"/>
            <w:shd w:val="clear" w:color="auto" w:fill="CCEEFF"/>
          </w:tcPr>
          <w:p>
            <w:pPr>
              <w:jc w:val="center"/>
              <w:ind w:right="1186"/>
              <w:spacing w:after="0" w:line="97" w:lineRule="exact"/>
              <w:rPr>
                <w:sz w:val="20"/>
                <w:szCs w:val="20"/>
                <w:color w:val="auto"/>
              </w:rPr>
            </w:pPr>
            <w:r>
              <w:rPr>
                <w:rFonts w:ascii="Times New Roman" w:cs="Times New Roman" w:eastAsia="Times New Roman" w:hAnsi="Times New Roman"/>
                <w:sz w:val="11"/>
                <w:szCs w:val="11"/>
                <w:color w:val="auto"/>
              </w:rPr>
              <w:t>Healthcare Equipment</w:t>
            </w:r>
          </w:p>
        </w:tc>
        <w:tc>
          <w:tcPr>
            <w:tcW w:w="140" w:type="dxa"/>
            <w:vAlign w:val="bottom"/>
            <w:shd w:val="clear" w:color="auto" w:fill="CCEEFF"/>
          </w:tcPr>
          <w:p>
            <w:pPr>
              <w:spacing w:after="0"/>
              <w:rPr>
                <w:sz w:val="8"/>
                <w:szCs w:val="8"/>
                <w:color w:val="auto"/>
              </w:rPr>
            </w:pPr>
          </w:p>
        </w:tc>
        <w:tc>
          <w:tcPr>
            <w:tcW w:w="1620" w:type="dxa"/>
            <w:vAlign w:val="bottom"/>
            <w:gridSpan w:val="3"/>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gridSpan w:val="3"/>
            <w:shd w:val="clear" w:color="auto" w:fill="CCEEFF"/>
          </w:tcPr>
          <w:p>
            <w:pPr>
              <w:jc w:val="center"/>
              <w:ind w:right="181"/>
              <w:spacing w:after="0" w:line="97" w:lineRule="exact"/>
              <w:rPr>
                <w:sz w:val="20"/>
                <w:szCs w:val="20"/>
                <w:color w:val="auto"/>
              </w:rPr>
            </w:pPr>
            <w:r>
              <w:rPr>
                <w:rFonts w:ascii="Times New Roman" w:cs="Times New Roman" w:eastAsia="Times New Roman" w:hAnsi="Times New Roman"/>
                <w:sz w:val="11"/>
                <w:szCs w:val="11"/>
                <w:color w:val="auto"/>
                <w:w w:val="90"/>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tcBorders>
              <w:right w:val="single" w:sz="8" w:color="CCEEFF"/>
            </w:tcBorders>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3035 S Maryland Pkwy #110</w:t>
            </w:r>
          </w:p>
        </w:tc>
        <w:tc>
          <w:tcPr>
            <w:tcW w:w="2320" w:type="dxa"/>
            <w:vAlign w:val="bottom"/>
            <w:gridSpan w:val="3"/>
            <w:shd w:val="clear" w:color="auto" w:fill="CCEEFF"/>
          </w:tcPr>
          <w:p>
            <w:pPr>
              <w:jc w:val="center"/>
              <w:ind w:right="1186"/>
              <w:spacing w:after="0" w:line="114" w:lineRule="exact"/>
              <w:rPr>
                <w:sz w:val="20"/>
                <w:szCs w:val="20"/>
                <w:color w:val="auto"/>
              </w:rPr>
            </w:pPr>
            <w:r>
              <w:rPr>
                <w:rFonts w:ascii="Times New Roman" w:cs="Times New Roman" w:eastAsia="Times New Roman" w:hAnsi="Times New Roman"/>
                <w:sz w:val="11"/>
                <w:szCs w:val="11"/>
                <w:color w:val="auto"/>
                <w:w w:val="98"/>
              </w:rPr>
              <w:t>and Supplies</w:t>
            </w: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w w:val="98"/>
              </w:rPr>
              <w:t>—, 08/19/2026</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Las Vegas, NV 89109</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OHCP V BC COI, L.P.(5)</w:t>
            </w:r>
          </w:p>
        </w:tc>
        <w:tc>
          <w:tcPr>
            <w:tcW w:w="2320" w:type="dxa"/>
            <w:vAlign w:val="bottom"/>
            <w:gridSpan w:val="3"/>
          </w:tcPr>
          <w:p>
            <w:pPr>
              <w:jc w:val="center"/>
              <w:ind w:right="1186"/>
              <w:spacing w:after="0"/>
              <w:rPr>
                <w:sz w:val="20"/>
                <w:szCs w:val="20"/>
                <w:color w:val="auto"/>
              </w:rPr>
            </w:pPr>
            <w:r>
              <w:rPr>
                <w:rFonts w:ascii="Times New Roman" w:cs="Times New Roman" w:eastAsia="Times New Roman" w:hAnsi="Times New Roman"/>
                <w:sz w:val="11"/>
                <w:szCs w:val="11"/>
                <w:color w:val="auto"/>
                <w:w w:val="98"/>
              </w:rPr>
              <w:t>Distributors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Common Equity(4)</w:t>
            </w:r>
          </w:p>
        </w:tc>
        <w:tc>
          <w:tcPr>
            <w:tcW w:w="80" w:type="dxa"/>
            <w:vAlign w:val="bottom"/>
          </w:tcPr>
          <w:p>
            <w:pPr>
              <w:spacing w:after="0"/>
              <w:rPr>
                <w:sz w:val="15"/>
                <w:szCs w:val="15"/>
                <w:color w:val="auto"/>
              </w:rPr>
            </w:pPr>
          </w:p>
        </w:tc>
        <w:tc>
          <w:tcPr>
            <w:tcW w:w="1020" w:type="dxa"/>
            <w:vAlign w:val="bottom"/>
            <w:gridSpan w:val="4"/>
          </w:tcPr>
          <w:p>
            <w:pPr>
              <w:jc w:val="right"/>
              <w:ind w:right="561"/>
              <w:spacing w:after="0"/>
              <w:rPr>
                <w:sz w:val="20"/>
                <w:szCs w:val="20"/>
                <w:color w:val="auto"/>
              </w:rPr>
            </w:pPr>
            <w:r>
              <w:rPr>
                <w:rFonts w:ascii="Times New Roman" w:cs="Times New Roman" w:eastAsia="Times New Roman" w:hAnsi="Times New Roman"/>
                <w:sz w:val="11"/>
                <w:szCs w:val="11"/>
                <w:color w:val="auto"/>
              </w:rPr>
              <w:t>— (7)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563</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525 West Monroe Street</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Chicago, IL 60661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420" w:type="dxa"/>
            <w:vAlign w:val="bottom"/>
            <w:vMerge w:val="restart"/>
          </w:tcPr>
          <w:p>
            <w:pPr>
              <w:spacing w:after="0"/>
              <w:rPr>
                <w:sz w:val="7"/>
                <w:szCs w:val="7"/>
                <w:color w:val="auto"/>
              </w:rPr>
            </w:pPr>
          </w:p>
        </w:tc>
        <w:tc>
          <w:tcPr>
            <w:tcW w:w="2520" w:type="dxa"/>
            <w:vAlign w:val="bottom"/>
            <w:gridSpan w:val="2"/>
          </w:tcPr>
          <w:p>
            <w:pPr>
              <w:spacing w:after="0"/>
              <w:rPr>
                <w:sz w:val="7"/>
                <w:szCs w:val="7"/>
                <w:color w:val="auto"/>
              </w:rPr>
            </w:pPr>
          </w:p>
        </w:tc>
        <w:tc>
          <w:tcPr>
            <w:tcW w:w="1100" w:type="dxa"/>
            <w:vAlign w:val="bottom"/>
          </w:tcPr>
          <w:p>
            <w:pPr>
              <w:spacing w:after="0"/>
              <w:rPr>
                <w:sz w:val="7"/>
                <w:szCs w:val="7"/>
                <w:color w:val="auto"/>
              </w:rPr>
            </w:pPr>
          </w:p>
        </w:tc>
        <w:tc>
          <w:tcPr>
            <w:tcW w:w="122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gridSpan w:val="3"/>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420" w:type="dxa"/>
            <w:vAlign w:val="bottom"/>
            <w:vMerge w:val="continue"/>
          </w:tcPr>
          <w:p>
            <w:pPr>
              <w:spacing w:after="0"/>
              <w:rPr>
                <w:sz w:val="8"/>
                <w:szCs w:val="8"/>
                <w:color w:val="auto"/>
              </w:rPr>
            </w:pPr>
          </w:p>
        </w:tc>
        <w:tc>
          <w:tcPr>
            <w:tcW w:w="25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OIS Management Services, LLC</w:t>
            </w:r>
          </w:p>
        </w:tc>
        <w:tc>
          <w:tcPr>
            <w:tcW w:w="2320" w:type="dxa"/>
            <w:vAlign w:val="bottom"/>
            <w:gridSpan w:val="3"/>
            <w:shd w:val="clear" w:color="auto" w:fill="CCEEFF"/>
          </w:tcPr>
          <w:p>
            <w:pPr>
              <w:jc w:val="center"/>
              <w:ind w:right="1186"/>
              <w:spacing w:after="0" w:line="97" w:lineRule="exact"/>
              <w:rPr>
                <w:sz w:val="20"/>
                <w:szCs w:val="20"/>
                <w:color w:val="auto"/>
              </w:rPr>
            </w:pPr>
            <w:r>
              <w:rPr>
                <w:rFonts w:ascii="Times New Roman" w:cs="Times New Roman" w:eastAsia="Times New Roman" w:hAnsi="Times New Roman"/>
                <w:sz w:val="11"/>
                <w:szCs w:val="11"/>
                <w:color w:val="auto"/>
              </w:rPr>
              <w:t>Healthcare Equipment</w:t>
            </w:r>
          </w:p>
        </w:tc>
        <w:tc>
          <w:tcPr>
            <w:tcW w:w="140" w:type="dxa"/>
            <w:vAlign w:val="bottom"/>
            <w:shd w:val="clear" w:color="auto" w:fill="CCEEFF"/>
          </w:tcPr>
          <w:p>
            <w:pPr>
              <w:spacing w:after="0"/>
              <w:rPr>
                <w:sz w:val="8"/>
                <w:szCs w:val="8"/>
                <w:color w:val="auto"/>
              </w:rPr>
            </w:pPr>
          </w:p>
        </w:tc>
        <w:tc>
          <w:tcPr>
            <w:tcW w:w="1620" w:type="dxa"/>
            <w:vAlign w:val="bottom"/>
            <w:gridSpan w:val="3"/>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880" w:type="dxa"/>
            <w:vAlign w:val="bottom"/>
            <w:gridSpan w:val="4"/>
            <w:shd w:val="clear" w:color="auto" w:fill="CCEEFF"/>
          </w:tcPr>
          <w:p>
            <w:pPr>
              <w:jc w:val="right"/>
              <w:ind w:right="67"/>
              <w:spacing w:after="0" w:line="97" w:lineRule="exact"/>
              <w:rPr>
                <w:sz w:val="20"/>
                <w:szCs w:val="20"/>
                <w:color w:val="auto"/>
              </w:rPr>
            </w:pPr>
            <w:r>
              <w:rPr>
                <w:rFonts w:ascii="Times New Roman" w:cs="Times New Roman" w:eastAsia="Times New Roman" w:hAnsi="Times New Roman"/>
                <w:sz w:val="11"/>
                <w:szCs w:val="11"/>
                <w:color w:val="auto"/>
              </w:rPr>
              <w:t>0.1%</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tcBorders>
              <w:right w:val="single" w:sz="8" w:color="CCEEFF"/>
            </w:tcBorders>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2,206</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(Oral Surgery (ITC) Holdings,</w:t>
            </w:r>
          </w:p>
        </w:tc>
        <w:tc>
          <w:tcPr>
            <w:tcW w:w="2320" w:type="dxa"/>
            <w:vAlign w:val="bottom"/>
            <w:gridSpan w:val="3"/>
            <w:shd w:val="clear" w:color="auto" w:fill="CCEEFF"/>
          </w:tcPr>
          <w:p>
            <w:pPr>
              <w:jc w:val="center"/>
              <w:ind w:right="1186"/>
              <w:spacing w:after="0" w:line="114" w:lineRule="exact"/>
              <w:rPr>
                <w:sz w:val="20"/>
                <w:szCs w:val="20"/>
                <w:color w:val="auto"/>
              </w:rPr>
            </w:pPr>
            <w:r>
              <w:rPr>
                <w:rFonts w:ascii="Times New Roman" w:cs="Times New Roman" w:eastAsia="Times New Roman" w:hAnsi="Times New Roman"/>
                <w:sz w:val="11"/>
                <w:szCs w:val="11"/>
                <w:color w:val="auto"/>
                <w:w w:val="98"/>
              </w:rPr>
              <w:t>and Supplies</w:t>
            </w:r>
          </w:p>
        </w:tc>
        <w:tc>
          <w:tcPr>
            <w:tcW w:w="140" w:type="dxa"/>
            <w:vAlign w:val="bottom"/>
            <w:shd w:val="clear" w:color="auto" w:fill="CCEEFF"/>
          </w:tcPr>
          <w:p>
            <w:pPr>
              <w:spacing w:after="0"/>
              <w:rPr>
                <w:sz w:val="9"/>
                <w:szCs w:val="9"/>
                <w:color w:val="auto"/>
              </w:rPr>
            </w:pPr>
          </w:p>
        </w:tc>
        <w:tc>
          <w:tcPr>
            <w:tcW w:w="1620" w:type="dxa"/>
            <w:vAlign w:val="bottom"/>
            <w:gridSpan w:val="3"/>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SOFR+575, 07/09/2026</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LLC (5))</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2600 S 56th Street A</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Lincoln, NE 68506</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One Stop Mailing, LLC</w:t>
            </w:r>
          </w:p>
        </w:tc>
        <w:tc>
          <w:tcPr>
            <w:tcW w:w="2320" w:type="dxa"/>
            <w:vAlign w:val="bottom"/>
            <w:gridSpan w:val="3"/>
          </w:tcPr>
          <w:p>
            <w:pPr>
              <w:jc w:val="center"/>
              <w:ind w:right="1186"/>
              <w:spacing w:after="0"/>
              <w:rPr>
                <w:sz w:val="20"/>
                <w:szCs w:val="20"/>
                <w:color w:val="auto"/>
              </w:rPr>
            </w:pPr>
            <w:r>
              <w:rPr>
                <w:rFonts w:ascii="Times New Roman" w:cs="Times New Roman" w:eastAsia="Times New Roman" w:hAnsi="Times New Roman"/>
                <w:sz w:val="11"/>
                <w:szCs w:val="11"/>
                <w:color w:val="auto"/>
              </w:rPr>
              <w:t>Air Freight and</w:t>
            </w:r>
          </w:p>
        </w:tc>
        <w:tc>
          <w:tcPr>
            <w:tcW w:w="140" w:type="dxa"/>
            <w:vAlign w:val="bottom"/>
          </w:tcPr>
          <w:p>
            <w:pPr>
              <w:spacing w:after="0"/>
              <w:rPr>
                <w:sz w:val="15"/>
                <w:szCs w:val="15"/>
                <w:color w:val="auto"/>
              </w:rPr>
            </w:pPr>
          </w:p>
        </w:tc>
        <w:tc>
          <w:tcPr>
            <w:tcW w:w="162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tcPr>
          <w:p>
            <w:pPr>
              <w:jc w:val="right"/>
              <w:ind w:right="401"/>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8,496</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ind w:left="1420"/>
              <w:spacing w:after="0" w:line="114" w:lineRule="exact"/>
              <w:rPr>
                <w:sz w:val="20"/>
                <w:szCs w:val="20"/>
                <w:color w:val="auto"/>
              </w:rPr>
            </w:pPr>
            <w:r>
              <w:rPr>
                <w:rFonts w:ascii="Times New Roman" w:cs="Times New Roman" w:eastAsia="Times New Roman" w:hAnsi="Times New Roman"/>
                <w:sz w:val="11"/>
                <w:szCs w:val="11"/>
                <w:color w:val="auto"/>
              </w:rPr>
              <w:t>601 Regency Drive</w:t>
            </w:r>
          </w:p>
        </w:tc>
        <w:tc>
          <w:tcPr>
            <w:tcW w:w="2320" w:type="dxa"/>
            <w:vAlign w:val="bottom"/>
            <w:gridSpan w:val="3"/>
          </w:tcPr>
          <w:p>
            <w:pPr>
              <w:jc w:val="center"/>
              <w:ind w:right="1186"/>
              <w:spacing w:after="0" w:line="114" w:lineRule="exact"/>
              <w:rPr>
                <w:sz w:val="20"/>
                <w:szCs w:val="20"/>
                <w:color w:val="auto"/>
              </w:rPr>
            </w:pPr>
            <w:r>
              <w:rPr>
                <w:rFonts w:ascii="Times New Roman" w:cs="Times New Roman" w:eastAsia="Times New Roman" w:hAnsi="Times New Roman"/>
                <w:sz w:val="11"/>
                <w:szCs w:val="11"/>
                <w:color w:val="auto"/>
                <w:w w:val="99"/>
              </w:rPr>
              <w:t>Logistics</w:t>
            </w:r>
          </w:p>
        </w:tc>
        <w:tc>
          <w:tcPr>
            <w:tcW w:w="140" w:type="dxa"/>
            <w:vAlign w:val="bottom"/>
          </w:tcPr>
          <w:p>
            <w:pPr>
              <w:spacing w:after="0"/>
              <w:rPr>
                <w:sz w:val="9"/>
                <w:szCs w:val="9"/>
                <w:color w:val="auto"/>
              </w:rPr>
            </w:pPr>
          </w:p>
        </w:tc>
        <w:tc>
          <w:tcPr>
            <w:tcW w:w="1620" w:type="dxa"/>
            <w:vAlign w:val="bottom"/>
            <w:gridSpan w:val="3"/>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L+625, 05/07/2027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940" w:type="dxa"/>
            <w:vAlign w:val="bottom"/>
            <w:gridSpan w:val="3"/>
          </w:tcPr>
          <w:p>
            <w:pPr>
              <w:ind w:left="1420"/>
              <w:spacing w:after="0"/>
              <w:rPr>
                <w:sz w:val="20"/>
                <w:szCs w:val="20"/>
                <w:color w:val="auto"/>
              </w:rPr>
            </w:pPr>
            <w:r>
              <w:rPr>
                <w:rFonts w:ascii="Times New Roman" w:cs="Times New Roman" w:eastAsia="Times New Roman" w:hAnsi="Times New Roman"/>
                <w:sz w:val="11"/>
                <w:szCs w:val="11"/>
                <w:color w:val="auto"/>
              </w:rPr>
              <w:t>Glendale Heights, IL 60139</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420" w:type="dxa"/>
            <w:vAlign w:val="bottom"/>
            <w:vMerge w:val="restart"/>
          </w:tcPr>
          <w:p>
            <w:pPr>
              <w:spacing w:after="0"/>
              <w:rPr>
                <w:sz w:val="7"/>
                <w:szCs w:val="7"/>
                <w:color w:val="auto"/>
              </w:rPr>
            </w:pPr>
          </w:p>
        </w:tc>
        <w:tc>
          <w:tcPr>
            <w:tcW w:w="2520" w:type="dxa"/>
            <w:vAlign w:val="bottom"/>
            <w:gridSpan w:val="2"/>
          </w:tcPr>
          <w:p>
            <w:pPr>
              <w:spacing w:after="0"/>
              <w:rPr>
                <w:sz w:val="7"/>
                <w:szCs w:val="7"/>
                <w:color w:val="auto"/>
              </w:rPr>
            </w:pPr>
          </w:p>
        </w:tc>
        <w:tc>
          <w:tcPr>
            <w:tcW w:w="1100" w:type="dxa"/>
            <w:vAlign w:val="bottom"/>
          </w:tcPr>
          <w:p>
            <w:pPr>
              <w:spacing w:after="0"/>
              <w:rPr>
                <w:sz w:val="7"/>
                <w:szCs w:val="7"/>
                <w:color w:val="auto"/>
              </w:rPr>
            </w:pPr>
          </w:p>
        </w:tc>
        <w:tc>
          <w:tcPr>
            <w:tcW w:w="122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gridSpan w:val="3"/>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420" w:type="dxa"/>
            <w:vAlign w:val="bottom"/>
            <w:vMerge w:val="continue"/>
          </w:tcPr>
          <w:p>
            <w:pPr>
              <w:spacing w:after="0"/>
              <w:rPr>
                <w:sz w:val="8"/>
                <w:szCs w:val="8"/>
                <w:color w:val="auto"/>
              </w:rPr>
            </w:pPr>
          </w:p>
        </w:tc>
        <w:tc>
          <w:tcPr>
            <w:tcW w:w="25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ORL Acquisition, Inc.</w:t>
            </w:r>
          </w:p>
        </w:tc>
        <w:tc>
          <w:tcPr>
            <w:tcW w:w="2320" w:type="dxa"/>
            <w:vAlign w:val="bottom"/>
            <w:gridSpan w:val="3"/>
            <w:shd w:val="clear" w:color="auto" w:fill="CCEEFF"/>
          </w:tcPr>
          <w:p>
            <w:pPr>
              <w:jc w:val="center"/>
              <w:ind w:right="1186"/>
              <w:spacing w:after="0" w:line="97" w:lineRule="exact"/>
              <w:rPr>
                <w:sz w:val="20"/>
                <w:szCs w:val="20"/>
                <w:color w:val="auto"/>
              </w:rPr>
            </w:pPr>
            <w:r>
              <w:rPr>
                <w:rFonts w:ascii="Times New Roman" w:cs="Times New Roman" w:eastAsia="Times New Roman" w:hAnsi="Times New Roman"/>
                <w:sz w:val="11"/>
                <w:szCs w:val="11"/>
                <w:color w:val="auto"/>
              </w:rPr>
              <w:t>Consumer Finance</w:t>
            </w:r>
          </w:p>
        </w:tc>
        <w:tc>
          <w:tcPr>
            <w:tcW w:w="140" w:type="dxa"/>
            <w:vAlign w:val="bottom"/>
            <w:shd w:val="clear" w:color="auto" w:fill="CCEEFF"/>
          </w:tcPr>
          <w:p>
            <w:pPr>
              <w:spacing w:after="0"/>
              <w:rPr>
                <w:sz w:val="8"/>
                <w:szCs w:val="8"/>
                <w:color w:val="auto"/>
              </w:rPr>
            </w:pPr>
          </w:p>
        </w:tc>
        <w:tc>
          <w:tcPr>
            <w:tcW w:w="1620" w:type="dxa"/>
            <w:vAlign w:val="bottom"/>
            <w:gridSpan w:val="3"/>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880" w:type="dxa"/>
            <w:vAlign w:val="bottom"/>
            <w:gridSpan w:val="4"/>
            <w:shd w:val="clear" w:color="auto" w:fill="CCEEFF"/>
          </w:tcPr>
          <w:p>
            <w:pPr>
              <w:jc w:val="right"/>
              <w:ind w:right="67"/>
              <w:spacing w:after="0" w:line="97" w:lineRule="exact"/>
              <w:rPr>
                <w:sz w:val="20"/>
                <w:szCs w:val="20"/>
                <w:color w:val="auto"/>
              </w:rPr>
            </w:pPr>
            <w:r>
              <w:rPr>
                <w:rFonts w:ascii="Times New Roman" w:cs="Times New Roman" w:eastAsia="Times New Roman" w:hAnsi="Times New Roman"/>
                <w:sz w:val="11"/>
                <w:szCs w:val="11"/>
                <w:color w:val="auto"/>
              </w:rPr>
              <w:t>0.3%</w:t>
            </w: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tcBorders>
              <w:right w:val="single" w:sz="8" w:color="CCEEFF"/>
            </w:tcBorders>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1"/>
                <w:szCs w:val="11"/>
                <w:color w:val="auto"/>
              </w:rPr>
              <w:t>7,600</w:t>
            </w: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(ORL Holdco, Inc.)</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20" w:type="dxa"/>
            <w:vAlign w:val="bottom"/>
            <w:gridSpan w:val="3"/>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L+525, 09/03/2027</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25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5555 N Beach St #4100,</w:t>
            </w: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rPr>
              <w:t>Preferred Equity</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Fort Worth, TX 76137</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1"/>
                <w:szCs w:val="11"/>
                <w:color w:val="auto"/>
              </w:rPr>
              <w:t>Common Equity</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-4364355</wp:posOffset>
            </wp:positionV>
            <wp:extent cx="31750" cy="584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1750" cy="584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-4364355</wp:posOffset>
            </wp:positionV>
            <wp:extent cx="31750" cy="584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1750" cy="58420"/>
                    </a:xfrm>
                    <a:prstGeom prst="rect">
                      <a:avLst/>
                    </a:prstGeom>
                    <a:noFill/>
                  </pic:spPr>
                </pic:pic>
              </a:graphicData>
            </a:graphic>
          </wp:anchor>
        </w:drawing>
      </w:r>
    </w:p>
    <w:p>
      <w:pPr>
        <w:sectPr>
          <w:pgSz w:w="11900" w:h="16838" w:orient="portrait"/>
          <w:cols w:equalWidth="0" w:num="1">
            <w:col w:w="11300"/>
          </w:cols>
          <w:pgMar w:left="300" w:top="108" w:right="29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300"/>
          </w:cols>
          <w:pgMar w:left="300" w:top="108" w:right="299" w:bottom="1440" w:gutter="0" w:footer="0" w:header="0"/>
          <w:type w:val="continuous"/>
        </w:sectPr>
      </w:pPr>
    </w:p>
    <w:bookmarkStart w:id="52" w:name="page53"/>
    <w:bookmarkEnd w:id="52"/>
    <w:tbl>
      <w:tblPr>
        <w:tblLayout w:type="fixed"/>
        <w:tblInd w:w="280" w:type="dxa"/>
        <w:tblCellMar>
          <w:top w:w="0" w:type="dxa"/>
          <w:left w:w="0" w:type="dxa"/>
          <w:bottom w:w="0" w:type="dxa"/>
          <w:right w:w="0" w:type="dxa"/>
        </w:tblCellMar>
      </w:tblPr>
      <w:tr>
        <w:trPr>
          <w:trHeight w:val="126"/>
        </w:trPr>
        <w:tc>
          <w:tcPr>
            <w:tcW w:w="34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Type of Investment,</w:t>
            </w: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3480" w:type="dxa"/>
            <w:vAlign w:val="bottom"/>
            <w:gridSpan w:val="3"/>
            <w:vMerge w:val="continue"/>
          </w:tcPr>
          <w:p>
            <w:pPr>
              <w:spacing w:after="0"/>
              <w:rPr>
                <w:sz w:val="9"/>
                <w:szCs w:val="9"/>
                <w:color w:val="auto"/>
              </w:rPr>
            </w:pPr>
          </w:p>
        </w:tc>
        <w:tc>
          <w:tcPr>
            <w:tcW w:w="15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60" w:type="dxa"/>
            <w:vAlign w:val="bottom"/>
            <w:gridSpan w:val="2"/>
            <w:vMerge w:val="continue"/>
          </w:tcPr>
          <w:p>
            <w:pPr>
              <w:spacing w:after="0"/>
              <w:rPr>
                <w:sz w:val="9"/>
                <w:szCs w:val="9"/>
                <w:color w:val="auto"/>
              </w:rPr>
            </w:pPr>
          </w:p>
        </w:tc>
        <w:tc>
          <w:tcPr>
            <w:tcW w:w="1060" w:type="dxa"/>
            <w:vAlign w:val="bottom"/>
            <w:gridSpan w:val="2"/>
          </w:tcPr>
          <w:p>
            <w:pPr>
              <w:jc w:val="right"/>
              <w:ind w:right="480"/>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48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540" w:type="dxa"/>
            <w:vAlign w:val="bottom"/>
            <w:gridSpan w:val="2"/>
            <w:vMerge w:val="continue"/>
          </w:tcPr>
          <w:p>
            <w:pPr>
              <w:spacing w:after="0"/>
              <w:rPr>
                <w:sz w:val="12"/>
                <w:szCs w:val="12"/>
                <w:color w:val="auto"/>
              </w:rPr>
            </w:pPr>
          </w:p>
        </w:tc>
        <w:tc>
          <w:tcPr>
            <w:tcW w:w="16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1060" w:type="dxa"/>
            <w:vAlign w:val="bottom"/>
            <w:gridSpan w:val="2"/>
          </w:tcPr>
          <w:p>
            <w:pPr>
              <w:jc w:val="right"/>
              <w:ind w:right="420"/>
              <w:spacing w:after="0" w:line="125" w:lineRule="exact"/>
              <w:rPr>
                <w:sz w:val="20"/>
                <w:szCs w:val="20"/>
                <w:color w:val="auto"/>
              </w:rPr>
            </w:pPr>
            <w:r>
              <w:rPr>
                <w:rFonts w:ascii="Times New Roman" w:cs="Times New Roman" w:eastAsia="Times New Roman" w:hAnsi="Times New Roman"/>
                <w:sz w:val="11"/>
                <w:szCs w:val="11"/>
                <w:b w:val="1"/>
                <w:bCs w:val="1"/>
                <w:color w:val="auto"/>
                <w:w w:val="95"/>
              </w:rPr>
              <w:t>Ownership(2)</w:t>
            </w:r>
          </w:p>
        </w:tc>
        <w:tc>
          <w:tcPr>
            <w:tcW w:w="7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Output Services Group, Inc.</w:t>
            </w:r>
          </w:p>
        </w:tc>
        <w:tc>
          <w:tcPr>
            <w:tcW w:w="20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Business Services</w:t>
            </w:r>
          </w:p>
        </w:tc>
        <w:tc>
          <w:tcPr>
            <w:tcW w:w="42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First Lien Secured Debt,</w:t>
            </w:r>
          </w:p>
        </w:tc>
        <w:tc>
          <w:tcPr>
            <w:tcW w:w="2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ind w:left="480"/>
              <w:spacing w:after="0" w:line="74"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3,704</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775 Washington Ave</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1M L+675, 03/27/2024</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Carlstadt, NJ 07072</w:t>
            </w:r>
          </w:p>
        </w:tc>
        <w:tc>
          <w:tcPr>
            <w:tcW w:w="1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Owl Acquisition, LLC</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Professional Services</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w:t>
            </w: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3,890</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47 Old Webster Road</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L+575, 02/04/2028</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Oxford, MA 01540</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Ox Two, LLC</w:t>
            </w:r>
          </w:p>
        </w:tc>
        <w:tc>
          <w:tcPr>
            <w:tcW w:w="1540" w:type="dxa"/>
            <w:vAlign w:val="bottom"/>
            <w:gridSpan w:val="2"/>
            <w:shd w:val="clear" w:color="auto" w:fill="CCEEFF"/>
          </w:tcPr>
          <w:p>
            <w:pPr>
              <w:jc w:val="center"/>
              <w:ind w:right="420"/>
              <w:spacing w:after="0" w:line="97" w:lineRule="exact"/>
              <w:rPr>
                <w:sz w:val="20"/>
                <w:szCs w:val="20"/>
                <w:color w:val="auto"/>
              </w:rPr>
            </w:pPr>
            <w:r>
              <w:rPr>
                <w:rFonts w:ascii="Times New Roman" w:cs="Times New Roman" w:eastAsia="Times New Roman" w:hAnsi="Times New Roman"/>
                <w:sz w:val="11"/>
                <w:szCs w:val="11"/>
                <w:color w:val="auto"/>
              </w:rPr>
              <w:t>Construction and</w:t>
            </w:r>
          </w:p>
        </w:tc>
        <w:tc>
          <w:tcPr>
            <w:tcW w:w="166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060" w:type="dxa"/>
            <w:vAlign w:val="bottom"/>
            <w:gridSpan w:val="2"/>
            <w:shd w:val="clear" w:color="auto" w:fill="CCEEFF"/>
          </w:tcPr>
          <w:p>
            <w:pPr>
              <w:ind w:left="48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27,673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22260 Haggerty Road #365</w:t>
            </w:r>
          </w:p>
        </w:tc>
        <w:tc>
          <w:tcPr>
            <w:tcW w:w="1540" w:type="dxa"/>
            <w:vAlign w:val="bottom"/>
            <w:gridSpan w:val="2"/>
            <w:shd w:val="clear" w:color="auto" w:fill="CCEEFF"/>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rPr>
              <w:t>Building</w:t>
            </w: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1M L+700, 05/18/2026</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Northville, MI 48167</w:t>
            </w:r>
          </w:p>
        </w:tc>
        <w:tc>
          <w:tcPr>
            <w:tcW w:w="1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PennantPark-TSO Senior Loan Fund, LP</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Common Equity</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4.99%(3)</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9,892</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1691 Michigan Avenue</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Miami, FL 33139</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PL Acquisitionco, LLC</w:t>
            </w:r>
          </w:p>
        </w:tc>
        <w:tc>
          <w:tcPr>
            <w:tcW w:w="1540" w:type="dxa"/>
            <w:vAlign w:val="bottom"/>
            <w:gridSpan w:val="2"/>
            <w:shd w:val="clear" w:color="auto" w:fill="CCEEFF"/>
          </w:tcPr>
          <w:p>
            <w:pPr>
              <w:jc w:val="center"/>
              <w:ind w:right="420"/>
              <w:spacing w:after="0" w:line="97" w:lineRule="exact"/>
              <w:rPr>
                <w:sz w:val="20"/>
                <w:szCs w:val="20"/>
                <w:color w:val="auto"/>
              </w:rPr>
            </w:pPr>
            <w:r>
              <w:rPr>
                <w:rFonts w:ascii="Times New Roman" w:cs="Times New Roman" w:eastAsia="Times New Roman" w:hAnsi="Times New Roman"/>
                <w:sz w:val="11"/>
                <w:szCs w:val="11"/>
                <w:color w:val="auto"/>
              </w:rPr>
              <w:t>Textiles, Apparel and</w:t>
            </w:r>
          </w:p>
        </w:tc>
        <w:tc>
          <w:tcPr>
            <w:tcW w:w="166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06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0.4%</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6,814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(Pink Lily Holdco, LLC)</w:t>
            </w:r>
          </w:p>
        </w:tc>
        <w:tc>
          <w:tcPr>
            <w:tcW w:w="1540" w:type="dxa"/>
            <w:vAlign w:val="bottom"/>
            <w:gridSpan w:val="2"/>
            <w:shd w:val="clear" w:color="auto" w:fill="CCEEFF"/>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rPr>
              <w:t>Luxury Goods</w:t>
            </w: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L+650, 11/09/2027</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323 Mitch McConnell Way</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Bowling Green KY 42101</w:t>
            </w:r>
          </w:p>
        </w:tc>
        <w:tc>
          <w:tcPr>
            <w:tcW w:w="1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PlayPower, Inc.</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Leisure Products</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w:t>
            </w: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3,078</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13310 James E. Casey Ave.</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1M L+550, 05/08/2026</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Englewood, CO 80112</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PRA Events, Inc.</w:t>
            </w:r>
          </w:p>
        </w:tc>
        <w:tc>
          <w:tcPr>
            <w:tcW w:w="1540" w:type="dxa"/>
            <w:vAlign w:val="bottom"/>
            <w:gridSpan w:val="2"/>
            <w:shd w:val="clear" w:color="auto" w:fill="CCEEFF"/>
          </w:tcPr>
          <w:p>
            <w:pPr>
              <w:jc w:val="center"/>
              <w:ind w:right="420"/>
              <w:spacing w:after="0" w:line="97" w:lineRule="exact"/>
              <w:rPr>
                <w:sz w:val="20"/>
                <w:szCs w:val="20"/>
                <w:color w:val="auto"/>
              </w:rPr>
            </w:pPr>
            <w:r>
              <w:rPr>
                <w:rFonts w:ascii="Times New Roman" w:cs="Times New Roman" w:eastAsia="Times New Roman" w:hAnsi="Times New Roman"/>
                <w:sz w:val="11"/>
                <w:szCs w:val="11"/>
                <w:color w:val="auto"/>
              </w:rPr>
              <w:t>Business Services</w:t>
            </w:r>
          </w:p>
        </w:tc>
        <w:tc>
          <w:tcPr>
            <w:tcW w:w="166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w:t>
            </w:r>
          </w:p>
        </w:tc>
        <w:tc>
          <w:tcPr>
            <w:tcW w:w="106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4,974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(CI (Allied) Investment Holdings, LLC(5))</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1M L+1,050 (PIK 10.5%),</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One North LaSalle Street</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60" w:type="dxa"/>
            <w:vAlign w:val="bottom"/>
            <w:shd w:val="clear" w:color="auto" w:fill="CCEEFF"/>
          </w:tcPr>
          <w:p>
            <w:pPr>
              <w:jc w:val="center"/>
              <w:spacing w:after="0" w:line="114" w:lineRule="exact"/>
              <w:rPr>
                <w:sz w:val="20"/>
                <w:szCs w:val="20"/>
                <w:color w:val="auto"/>
              </w:rPr>
            </w:pPr>
            <w:r>
              <w:rPr>
                <w:rFonts w:ascii="Times New Roman" w:cs="Times New Roman" w:eastAsia="Times New Roman" w:hAnsi="Times New Roman"/>
                <w:sz w:val="11"/>
                <w:szCs w:val="11"/>
                <w:color w:val="auto"/>
                <w:w w:val="99"/>
              </w:rPr>
              <w:t>08/07/2025</w:t>
            </w: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Chicago, IL 60602</w:t>
            </w:r>
          </w:p>
        </w:tc>
        <w:tc>
          <w:tcPr>
            <w:tcW w:w="1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color w:val="auto"/>
              </w:rPr>
              <w:t>Common Equity</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Pragmatic Institute, LLC</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Professional Services</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Debt(4),</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0.5%</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8910 East Raintree Drive</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L+575, 07/06/2028</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Scottsdale, AZ 85620</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Common Equity</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Quantic Electronics, LLC</w:t>
            </w:r>
          </w:p>
        </w:tc>
        <w:tc>
          <w:tcPr>
            <w:tcW w:w="1540" w:type="dxa"/>
            <w:vAlign w:val="bottom"/>
            <w:gridSpan w:val="2"/>
            <w:shd w:val="clear" w:color="auto" w:fill="CCEEFF"/>
          </w:tcPr>
          <w:p>
            <w:pPr>
              <w:jc w:val="center"/>
              <w:ind w:right="420"/>
              <w:spacing w:after="0" w:line="97" w:lineRule="exact"/>
              <w:rPr>
                <w:sz w:val="20"/>
                <w:szCs w:val="20"/>
                <w:color w:val="auto"/>
              </w:rPr>
            </w:pPr>
            <w:r>
              <w:rPr>
                <w:rFonts w:ascii="Times New Roman" w:cs="Times New Roman" w:eastAsia="Times New Roman" w:hAnsi="Times New Roman"/>
                <w:sz w:val="11"/>
                <w:szCs w:val="11"/>
                <w:color w:val="auto"/>
              </w:rPr>
              <w:t>Electronic Equipment,</w:t>
            </w:r>
          </w:p>
        </w:tc>
        <w:tc>
          <w:tcPr>
            <w:tcW w:w="166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060" w:type="dxa"/>
            <w:vAlign w:val="bottom"/>
            <w:gridSpan w:val="2"/>
            <w:shd w:val="clear" w:color="auto" w:fill="CCEEFF"/>
          </w:tcPr>
          <w:p>
            <w:pPr>
              <w:ind w:left="48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4,867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Four Embarcadero Center, Suite 3460</w:t>
            </w:r>
          </w:p>
        </w:tc>
        <w:tc>
          <w:tcPr>
            <w:tcW w:w="1540" w:type="dxa"/>
            <w:vAlign w:val="bottom"/>
            <w:gridSpan w:val="2"/>
            <w:shd w:val="clear" w:color="auto" w:fill="CCEEFF"/>
          </w:tcPr>
          <w:p>
            <w:pPr>
              <w:jc w:val="center"/>
              <w:ind w:right="400"/>
              <w:spacing w:after="0" w:line="114" w:lineRule="exact"/>
              <w:rPr>
                <w:sz w:val="20"/>
                <w:szCs w:val="20"/>
                <w:color w:val="auto"/>
              </w:rPr>
            </w:pPr>
            <w:r>
              <w:rPr>
                <w:rFonts w:ascii="Times New Roman" w:cs="Times New Roman" w:eastAsia="Times New Roman" w:hAnsi="Times New Roman"/>
                <w:sz w:val="11"/>
                <w:szCs w:val="11"/>
                <w:color w:val="auto"/>
              </w:rPr>
              <w:t>Instruments, and</w:t>
            </w: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1M L+600, 11/19/2026</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San Francisco, CA 94111</w:t>
            </w:r>
          </w:p>
        </w:tc>
        <w:tc>
          <w:tcPr>
            <w:tcW w:w="15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1"/>
                <w:szCs w:val="11"/>
                <w:color w:val="auto"/>
              </w:rPr>
              <w:t>Components</w:t>
            </w: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QuantiTech LLC</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Aerospace and Defense</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Second Lien Secured Debt,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(QuantiTech Investco LP(5))</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20"/>
              <w:spacing w:after="0" w:line="114" w:lineRule="exact"/>
              <w:rPr>
                <w:sz w:val="20"/>
                <w:szCs w:val="20"/>
                <w:color w:val="auto"/>
              </w:rPr>
            </w:pPr>
            <w:r>
              <w:rPr>
                <w:rFonts w:ascii="Times New Roman" w:cs="Times New Roman" w:eastAsia="Times New Roman" w:hAnsi="Times New Roman"/>
                <w:sz w:val="11"/>
                <w:szCs w:val="11"/>
                <w:color w:val="auto"/>
              </w:rPr>
              <w:t>3M L+1,000, 02/04/2027</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(QuantiTech InvestCo II LP(5))</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Common Equity(4)</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360A-360D Quality Circle, Suite</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4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100/430</w:t>
            </w:r>
          </w:p>
        </w:tc>
        <w:tc>
          <w:tcPr>
            <w:tcW w:w="2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Huntsville, AL 35806</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Questex, LLC</w:t>
            </w:r>
          </w:p>
        </w:tc>
        <w:tc>
          <w:tcPr>
            <w:tcW w:w="1540" w:type="dxa"/>
            <w:vAlign w:val="bottom"/>
            <w:gridSpan w:val="2"/>
            <w:shd w:val="clear" w:color="auto" w:fill="CCEEFF"/>
          </w:tcPr>
          <w:p>
            <w:pPr>
              <w:jc w:val="center"/>
              <w:ind w:right="400"/>
              <w:spacing w:after="0" w:line="97" w:lineRule="exact"/>
              <w:rPr>
                <w:sz w:val="20"/>
                <w:szCs w:val="20"/>
                <w:color w:val="auto"/>
              </w:rPr>
            </w:pPr>
            <w:r>
              <w:rPr>
                <w:rFonts w:ascii="Times New Roman" w:cs="Times New Roman" w:eastAsia="Times New Roman" w:hAnsi="Times New Roman"/>
                <w:sz w:val="11"/>
                <w:szCs w:val="11"/>
                <w:color w:val="auto"/>
                <w:w w:val="99"/>
              </w:rPr>
              <w:t>Media: Diversified and</w:t>
            </w:r>
          </w:p>
        </w:tc>
        <w:tc>
          <w:tcPr>
            <w:tcW w:w="166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060" w:type="dxa"/>
            <w:vAlign w:val="bottom"/>
            <w:gridSpan w:val="2"/>
            <w:shd w:val="clear" w:color="auto" w:fill="CCEEFF"/>
          </w:tcPr>
          <w:p>
            <w:pPr>
              <w:ind w:left="48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7,032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275 Grove Street, Suite 2-130</w:t>
            </w:r>
          </w:p>
        </w:tc>
        <w:tc>
          <w:tcPr>
            <w:tcW w:w="1540" w:type="dxa"/>
            <w:vAlign w:val="bottom"/>
            <w:gridSpan w:val="2"/>
            <w:shd w:val="clear" w:color="auto" w:fill="CCEEFF"/>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w w:val="99"/>
              </w:rPr>
              <w:t>Production</w:t>
            </w: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L+500, 09/07/2024</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Newton, MA 02466</w:t>
            </w:r>
          </w:p>
        </w:tc>
        <w:tc>
          <w:tcPr>
            <w:tcW w:w="1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Rancho Health MSO, Inc.</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Healthcare Equipment</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Debt(4),</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2.05%</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2,130</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(RFMG Parent, LP)</w:t>
            </w:r>
          </w:p>
        </w:tc>
        <w:tc>
          <w:tcPr>
            <w:tcW w:w="1540" w:type="dxa"/>
            <w:vAlign w:val="bottom"/>
            <w:gridSpan w:val="2"/>
          </w:tcPr>
          <w:p>
            <w:pPr>
              <w:jc w:val="center"/>
              <w:ind w:right="420"/>
              <w:spacing w:after="0" w:line="114" w:lineRule="exact"/>
              <w:rPr>
                <w:sz w:val="20"/>
                <w:szCs w:val="20"/>
                <w:color w:val="auto"/>
              </w:rPr>
            </w:pPr>
            <w:r>
              <w:rPr>
                <w:rFonts w:ascii="Times New Roman" w:cs="Times New Roman" w:eastAsia="Times New Roman" w:hAnsi="Times New Roman"/>
                <w:sz w:val="11"/>
                <w:szCs w:val="11"/>
                <w:color w:val="auto"/>
                <w:w w:val="98"/>
              </w:rPr>
              <w:t>and Supplies</w:t>
            </w:r>
          </w:p>
        </w:tc>
        <w:tc>
          <w:tcPr>
            <w:tcW w:w="166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L+550, 12/18/2025</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31720 Temecula Pkwy Suite 100</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Temecula, CA 92592</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46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Recteq, LLC</w:t>
            </w:r>
          </w:p>
        </w:tc>
        <w:tc>
          <w:tcPr>
            <w:tcW w:w="1540" w:type="dxa"/>
            <w:vAlign w:val="bottom"/>
            <w:gridSpan w:val="2"/>
            <w:shd w:val="clear" w:color="auto" w:fill="CCEEFF"/>
          </w:tcPr>
          <w:p>
            <w:pPr>
              <w:jc w:val="center"/>
              <w:ind w:right="420"/>
              <w:spacing w:after="0" w:line="97" w:lineRule="exact"/>
              <w:rPr>
                <w:sz w:val="20"/>
                <w:szCs w:val="20"/>
                <w:color w:val="auto"/>
              </w:rPr>
            </w:pPr>
            <w:r>
              <w:rPr>
                <w:rFonts w:ascii="Times New Roman" w:cs="Times New Roman" w:eastAsia="Times New Roman" w:hAnsi="Times New Roman"/>
                <w:sz w:val="11"/>
                <w:szCs w:val="11"/>
                <w:color w:val="auto"/>
              </w:rPr>
              <w:t>Leisure Products</w:t>
            </w:r>
          </w:p>
        </w:tc>
        <w:tc>
          <w:tcPr>
            <w:tcW w:w="1660" w:type="dxa"/>
            <w:vAlign w:val="bottom"/>
            <w:gridSpan w:val="2"/>
            <w:shd w:val="clear" w:color="auto" w:fill="CCEEFF"/>
          </w:tcPr>
          <w:p>
            <w:pPr>
              <w:jc w:val="center"/>
              <w:ind w:right="20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106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0.6%</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2,020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(NEPRT Parent Holdings, LLC (5))</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L+600, 01/29/2026</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1061 Triad Ct., Ste. 3</w:t>
            </w:r>
          </w:p>
        </w:tc>
        <w:tc>
          <w:tcPr>
            <w:tcW w:w="1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60" w:type="dxa"/>
            <w:vAlign w:val="bottom"/>
            <w:gridSpan w:val="2"/>
            <w:shd w:val="clear" w:color="auto" w:fill="CCEEFF"/>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Marietta, GA 30062</w:t>
            </w:r>
          </w:p>
        </w:tc>
        <w:tc>
          <w:tcPr>
            <w:tcW w:w="1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Research Now Group, Inc. and Dynata, LLC</w:t>
            </w: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color w:val="auto"/>
              </w:rPr>
              <w:t>Business Services</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First Lien Secured Debt,</w:t>
            </w:r>
          </w:p>
        </w:tc>
        <w:tc>
          <w:tcPr>
            <w:tcW w:w="10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15,406</w:t>
            </w:r>
          </w:p>
        </w:tc>
        <w:tc>
          <w:tcPr>
            <w:tcW w:w="0" w:type="dxa"/>
            <w:vAlign w:val="bottom"/>
          </w:tcPr>
          <w:p>
            <w:pPr>
              <w:spacing w:after="0"/>
              <w:rPr>
                <w:sz w:val="1"/>
                <w:szCs w:val="1"/>
                <w:color w:val="auto"/>
              </w:rPr>
            </w:pPr>
          </w:p>
        </w:tc>
      </w:tr>
      <w:tr>
        <w:trPr>
          <w:trHeight w:val="114"/>
        </w:trPr>
        <w:tc>
          <w:tcPr>
            <w:tcW w:w="348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5800 Tennyson Parkway, Suite 600</w:t>
            </w: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6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color w:val="auto"/>
                <w:w w:val="98"/>
              </w:rPr>
              <w:t>3M L+550, 12/20/2024</w:t>
            </w: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4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Plano, TX 75024</w:t>
            </w: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3" w:right="1440" w:bottom="1440" w:gutter="0" w:footer="0" w:header="0"/>
        </w:sectPr>
      </w:pPr>
    </w:p>
    <w:bookmarkStart w:id="53" w:name="page54"/>
    <w:bookmarkEnd w:id="53"/>
    <w:tbl>
      <w:tblPr>
        <w:tblLayout w:type="fixed"/>
        <w:tblInd w:w="280" w:type="dxa"/>
        <w:tblCellMar>
          <w:top w:w="0" w:type="dxa"/>
          <w:left w:w="0" w:type="dxa"/>
          <w:bottom w:w="0" w:type="dxa"/>
          <w:right w:w="0" w:type="dxa"/>
        </w:tblCellMar>
      </w:tblPr>
      <w:tr>
        <w:trPr>
          <w:trHeight w:val="126"/>
        </w:trPr>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Type of Investment,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3760" w:type="dxa"/>
            <w:vAlign w:val="bottom"/>
            <w:gridSpan w:val="3"/>
            <w:vMerge w:val="continue"/>
          </w:tcPr>
          <w:p>
            <w:pPr>
              <w:spacing w:after="0"/>
              <w:rPr>
                <w:sz w:val="9"/>
                <w:szCs w:val="9"/>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20" w:type="dxa"/>
            <w:vAlign w:val="bottom"/>
            <w:gridSpan w:val="2"/>
            <w:vMerge w:val="continue"/>
          </w:tcPr>
          <w:p>
            <w:pPr>
              <w:spacing w:after="0"/>
              <w:rPr>
                <w:sz w:val="9"/>
                <w:szCs w:val="9"/>
                <w:color w:val="auto"/>
              </w:rPr>
            </w:pPr>
          </w:p>
        </w:tc>
        <w:tc>
          <w:tcPr>
            <w:tcW w:w="920" w:type="dxa"/>
            <w:vAlign w:val="bottom"/>
            <w:gridSpan w:val="2"/>
          </w:tcPr>
          <w:p>
            <w:pPr>
              <w:jc w:val="right"/>
              <w:ind w:right="320"/>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76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44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920" w:type="dxa"/>
            <w:vAlign w:val="bottom"/>
            <w:gridSpan w:val="2"/>
          </w:tcPr>
          <w:p>
            <w:pPr>
              <w:jc w:val="right"/>
              <w:ind w:right="260"/>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7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42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Riverpoint Medical, LLC</w:t>
            </w:r>
          </w:p>
        </w:tc>
        <w:tc>
          <w:tcPr>
            <w:tcW w:w="23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Healthcare Equipment</w:t>
            </w:r>
          </w:p>
        </w:tc>
        <w:tc>
          <w:tcPr>
            <w:tcW w:w="32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auto"/>
            </w:tcBorders>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First Lien Secured Debt(4),</w:t>
            </w:r>
          </w:p>
        </w:tc>
        <w:tc>
          <w:tcPr>
            <w:tcW w:w="140" w:type="dxa"/>
            <w:vAlign w:val="bottom"/>
            <w:tcBorders>
              <w:top w:val="single" w:sz="8" w:color="CCEEFF"/>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ind w:right="6"/>
              <w:spacing w:after="0" w:line="74"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tcBorders>
              <w:top w:val="single" w:sz="8" w:color="auto"/>
            </w:tcBorders>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7,758</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825 NE 25th Avenue</w:t>
            </w:r>
          </w:p>
        </w:tc>
        <w:tc>
          <w:tcPr>
            <w:tcW w:w="1440" w:type="dxa"/>
            <w:vAlign w:val="bottom"/>
            <w:gridSpan w:val="2"/>
            <w:shd w:val="clear" w:color="auto" w:fill="CCEEFF"/>
          </w:tcPr>
          <w:p>
            <w:pPr>
              <w:jc w:val="center"/>
              <w:ind w:right="300"/>
              <w:spacing w:after="0" w:line="114" w:lineRule="exact"/>
              <w:rPr>
                <w:sz w:val="20"/>
                <w:szCs w:val="20"/>
                <w:color w:val="auto"/>
              </w:rPr>
            </w:pPr>
            <w:r>
              <w:rPr>
                <w:rFonts w:ascii="Times New Roman" w:cs="Times New Roman" w:eastAsia="Times New Roman" w:hAnsi="Times New Roman"/>
                <w:sz w:val="11"/>
                <w:szCs w:val="11"/>
                <w:color w:val="auto"/>
              </w:rPr>
              <w:t>and Supplies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06/20/2025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Portland, OR 97232</w:t>
            </w: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Riverside Assessments, LLC</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15,049</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One Pierce Pl, Suite 900W</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L+625, 03/10/2025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Itasca, IL 60143</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Sales Benchmark Index LLC</w:t>
            </w:r>
          </w:p>
        </w:tc>
        <w:tc>
          <w:tcPr>
            <w:tcW w:w="1440" w:type="dxa"/>
            <w:vAlign w:val="bottom"/>
            <w:gridSpan w:val="2"/>
            <w:shd w:val="clear" w:color="auto" w:fill="CCEEFF"/>
          </w:tcPr>
          <w:p>
            <w:pPr>
              <w:jc w:val="center"/>
              <w:ind w:right="300"/>
              <w:spacing w:after="0" w:line="97"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0.4%</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7,655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(SBI Holdings Investments LLC(5))</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L+600, 01/03/2025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2021 McKinney Avenue Suite 550</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Dallas, TX 75201</w:t>
            </w: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Sargent &amp; Greenleaf Inc.</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w w:val="98"/>
              </w:rPr>
              <w:t>Electronic Equipment,</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4,489</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One Security Drive</w:t>
            </w:r>
          </w:p>
        </w:tc>
        <w:tc>
          <w:tcPr>
            <w:tcW w:w="144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1"/>
                <w:szCs w:val="11"/>
                <w:color w:val="auto"/>
              </w:rPr>
              <w:t>Instruments, and</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L+550, 12/20/2024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Nicholasville, KY 40356</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Components</w:t>
            </w: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Schlesinger Global, Inc.</w:t>
            </w:r>
          </w:p>
        </w:tc>
        <w:tc>
          <w:tcPr>
            <w:tcW w:w="1440" w:type="dxa"/>
            <w:vAlign w:val="bottom"/>
            <w:gridSpan w:val="2"/>
            <w:shd w:val="clear" w:color="auto" w:fill="CCEEFF"/>
          </w:tcPr>
          <w:p>
            <w:pPr>
              <w:jc w:val="center"/>
              <w:ind w:right="300"/>
              <w:spacing w:after="0" w:line="97"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16,131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(Gauge Schlesinger Coinvest, LLC)</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SOFR+700, 07/14/2025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101 Wood Avenue South, Suite 501</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Iselin, NJ 08830</w:t>
            </w: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Seaway Buyer, LLC</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Chemicals, Plastics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7,132</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(Seaway Topco, LP)</w:t>
            </w:r>
          </w:p>
        </w:tc>
        <w:tc>
          <w:tcPr>
            <w:tcW w:w="144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1"/>
                <w:szCs w:val="11"/>
                <w:color w:val="auto"/>
              </w:rPr>
              <w:t>Rubber</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06/13/2029</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6006 Siesta Lane</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Port Richey, FL 34668</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Sigma Defense Systems, LLC</w:t>
            </w:r>
          </w:p>
        </w:tc>
        <w:tc>
          <w:tcPr>
            <w:tcW w:w="1440" w:type="dxa"/>
            <w:vAlign w:val="bottom"/>
            <w:gridSpan w:val="2"/>
            <w:shd w:val="clear" w:color="auto" w:fill="CCEEFF"/>
          </w:tcPr>
          <w:p>
            <w:pPr>
              <w:jc w:val="center"/>
              <w:ind w:right="300"/>
              <w:spacing w:after="0" w:line="97" w:lineRule="exact"/>
              <w:rPr>
                <w:sz w:val="20"/>
                <w:szCs w:val="20"/>
                <w:color w:val="auto"/>
              </w:rPr>
            </w:pPr>
            <w:r>
              <w:rPr>
                <w:rFonts w:ascii="Times New Roman" w:cs="Times New Roman" w:eastAsia="Times New Roman" w:hAnsi="Times New Roman"/>
                <w:sz w:val="11"/>
                <w:szCs w:val="11"/>
                <w:color w:val="auto"/>
                <w:w w:val="99"/>
              </w:rPr>
              <w:t>IT Services</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12,948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(Delta InvestCo LP (5))</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L+850, 12/18/2025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1812 Macon Rd, Perry, GA 31069</w:t>
            </w: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Common Equity(4)</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Commercial Services &amp;</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3.9%</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11,941</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(Signature CR Intermediate Holdco, Inc.)</w:t>
            </w:r>
          </w:p>
        </w:tc>
        <w:tc>
          <w:tcPr>
            <w:tcW w:w="144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1"/>
                <w:szCs w:val="11"/>
                <w:color w:val="auto"/>
              </w:rPr>
              <w:t>Supplies</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L+650, 05/03/2024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1201 Lakeside Parkway, Suite 150</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Preferred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Flower Mound, TX 75028</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Smile Brands Inc.</w:t>
            </w:r>
          </w:p>
        </w:tc>
        <w:tc>
          <w:tcPr>
            <w:tcW w:w="1440" w:type="dxa"/>
            <w:vAlign w:val="bottom"/>
            <w:gridSpan w:val="2"/>
            <w:shd w:val="clear" w:color="auto" w:fill="CCEEFF"/>
          </w:tcPr>
          <w:p>
            <w:pPr>
              <w:jc w:val="center"/>
              <w:ind w:right="300"/>
              <w:spacing w:after="0" w:line="97" w:lineRule="exact"/>
              <w:rPr>
                <w:sz w:val="20"/>
                <w:szCs w:val="20"/>
                <w:color w:val="auto"/>
              </w:rPr>
            </w:pPr>
            <w:r>
              <w:rPr>
                <w:rFonts w:ascii="Times New Roman" w:cs="Times New Roman" w:eastAsia="Times New Roman" w:hAnsi="Times New Roman"/>
                <w:sz w:val="11"/>
                <w:szCs w:val="11"/>
                <w:color w:val="auto"/>
                <w:w w:val="99"/>
              </w:rPr>
              <w:t>Healthcare and</w:t>
            </w:r>
          </w:p>
        </w:tc>
        <w:tc>
          <w:tcPr>
            <w:tcW w:w="1620" w:type="dxa"/>
            <w:vAlign w:val="bottom"/>
            <w:gridSpan w:val="2"/>
            <w:shd w:val="clear" w:color="auto" w:fill="CCEEFF"/>
          </w:tcPr>
          <w:p>
            <w:pPr>
              <w:jc w:val="center"/>
              <w:ind w:right="120"/>
              <w:spacing w:after="0" w:line="97" w:lineRule="exact"/>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2,309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100 Spectrum Center Drive, Suite 100</w:t>
            </w:r>
          </w:p>
        </w:tc>
        <w:tc>
          <w:tcPr>
            <w:tcW w:w="1440" w:type="dxa"/>
            <w:vAlign w:val="bottom"/>
            <w:gridSpan w:val="2"/>
            <w:shd w:val="clear" w:color="auto" w:fill="CCEEFF"/>
          </w:tcPr>
          <w:p>
            <w:pPr>
              <w:jc w:val="center"/>
              <w:ind w:right="320"/>
              <w:spacing w:after="0" w:line="114" w:lineRule="exact"/>
              <w:rPr>
                <w:sz w:val="20"/>
                <w:szCs w:val="20"/>
                <w:color w:val="auto"/>
              </w:rPr>
            </w:pPr>
            <w:r>
              <w:rPr>
                <w:rFonts w:ascii="Times New Roman" w:cs="Times New Roman" w:eastAsia="Times New Roman" w:hAnsi="Times New Roman"/>
                <w:sz w:val="11"/>
                <w:szCs w:val="11"/>
                <w:color w:val="auto"/>
                <w:w w:val="99"/>
              </w:rPr>
              <w:t>Pharmaceuticals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L+450, 10/14/2025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Irvine, CA 92618</w:t>
            </w: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Solutionreach, Inc.</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w w:val="99"/>
              </w:rPr>
              <w:t>Healthcare Technology</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5,562</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2600 N. Ashton Blvd.</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01/17/2024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Lehi, UT 84043</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Spear Education, LLC</w:t>
            </w:r>
          </w:p>
        </w:tc>
        <w:tc>
          <w:tcPr>
            <w:tcW w:w="1440" w:type="dxa"/>
            <w:vAlign w:val="bottom"/>
            <w:gridSpan w:val="2"/>
            <w:shd w:val="clear" w:color="auto" w:fill="CCEEFF"/>
          </w:tcPr>
          <w:p>
            <w:pPr>
              <w:jc w:val="center"/>
              <w:ind w:right="300"/>
              <w:spacing w:after="0" w:line="97"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14,747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7201 E Princess Boulevard</w:t>
            </w:r>
          </w:p>
        </w:tc>
        <w:tc>
          <w:tcPr>
            <w:tcW w:w="1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02/26/2025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Scottsdale, AZ 85255</w:t>
            </w: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Spendmend Holdings LLC</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w w:val="99"/>
              </w:rPr>
              <w:t>Healthcare Technology</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First Lien Secured Debt(4),</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3,421</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(North Haven Saints Equity Holdings, LP)</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SOFR+575, 03/01/2028,</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2680 Horizon Dr SE,</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color w:val="auto"/>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Grand Rapids, MI 49546</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4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STV Group Incorporated</w:t>
            </w:r>
          </w:p>
        </w:tc>
        <w:tc>
          <w:tcPr>
            <w:tcW w:w="1440" w:type="dxa"/>
            <w:vAlign w:val="bottom"/>
            <w:gridSpan w:val="2"/>
            <w:shd w:val="clear" w:color="auto" w:fill="CCEEFF"/>
          </w:tcPr>
          <w:p>
            <w:pPr>
              <w:jc w:val="center"/>
              <w:ind w:right="300"/>
              <w:spacing w:after="0" w:line="97" w:lineRule="exact"/>
              <w:rPr>
                <w:sz w:val="20"/>
                <w:szCs w:val="20"/>
                <w:color w:val="auto"/>
              </w:rPr>
            </w:pPr>
            <w:r>
              <w:rPr>
                <w:rFonts w:ascii="Times New Roman" w:cs="Times New Roman" w:eastAsia="Times New Roman" w:hAnsi="Times New Roman"/>
                <w:sz w:val="11"/>
                <w:szCs w:val="11"/>
                <w:color w:val="auto"/>
              </w:rPr>
              <w:t>Construction &amp;</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4,704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4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225 Park Avenue South</w:t>
            </w:r>
          </w:p>
        </w:tc>
        <w:tc>
          <w:tcPr>
            <w:tcW w:w="1440" w:type="dxa"/>
            <w:vAlign w:val="bottom"/>
            <w:gridSpan w:val="2"/>
            <w:shd w:val="clear" w:color="auto" w:fill="CCEEFF"/>
          </w:tcPr>
          <w:p>
            <w:pPr>
              <w:jc w:val="center"/>
              <w:ind w:right="300"/>
              <w:spacing w:after="0" w:line="114" w:lineRule="exact"/>
              <w:rPr>
                <w:sz w:val="20"/>
                <w:szCs w:val="20"/>
                <w:color w:val="auto"/>
              </w:rPr>
            </w:pPr>
            <w:r>
              <w:rPr>
                <w:rFonts w:ascii="Times New Roman" w:cs="Times New Roman" w:eastAsia="Times New Roman" w:hAnsi="Times New Roman"/>
                <w:sz w:val="11"/>
                <w:szCs w:val="11"/>
                <w:color w:val="auto"/>
              </w:rPr>
              <w:t>Engineering</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L+525, 12/11/2026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New York, NY 10003</w:t>
            </w: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Common Equity</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2,143</w:t>
            </w:r>
          </w:p>
        </w:tc>
        <w:tc>
          <w:tcPr>
            <w:tcW w:w="0" w:type="dxa"/>
            <w:vAlign w:val="bottom"/>
          </w:tcPr>
          <w:p>
            <w:pPr>
              <w:spacing w:after="0"/>
              <w:rPr>
                <w:sz w:val="1"/>
                <w:szCs w:val="1"/>
                <w:color w:val="auto"/>
              </w:rPr>
            </w:pPr>
          </w:p>
        </w:tc>
      </w:tr>
      <w:tr>
        <w:trPr>
          <w:trHeight w:val="114"/>
        </w:trPr>
        <w:tc>
          <w:tcPr>
            <w:tcW w:w="376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215 Spadina Avenue, Suite 200</w:t>
            </w: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Toronto, ON MST 2C7</w:t>
            </w: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3" w:right="1440" w:bottom="1440" w:gutter="0" w:footer="0" w:header="0"/>
        </w:sectPr>
      </w:pPr>
    </w:p>
    <w:bookmarkStart w:id="54" w:name="page55"/>
    <w:bookmarkEnd w:id="54"/>
    <w:tbl>
      <w:tblPr>
        <w:tblLayout w:type="fixed"/>
        <w:tblInd w:w="280" w:type="dxa"/>
        <w:tblCellMar>
          <w:top w:w="0" w:type="dxa"/>
          <w:left w:w="0" w:type="dxa"/>
          <w:bottom w:w="0" w:type="dxa"/>
          <w:right w:w="0" w:type="dxa"/>
        </w:tblCellMar>
      </w:tblPr>
      <w:tr>
        <w:trPr>
          <w:trHeight w:val="126"/>
        </w:trPr>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w:t>
            </w: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Type of Investment,</w:t>
            </w: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3740" w:type="dxa"/>
            <w:vAlign w:val="bottom"/>
            <w:gridSpan w:val="3"/>
            <w:vMerge w:val="continue"/>
          </w:tcPr>
          <w:p>
            <w:pPr>
              <w:spacing w:after="0"/>
              <w:rPr>
                <w:sz w:val="9"/>
                <w:szCs w:val="9"/>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20" w:type="dxa"/>
            <w:vAlign w:val="bottom"/>
            <w:gridSpan w:val="2"/>
            <w:vMerge w:val="continue"/>
          </w:tcPr>
          <w:p>
            <w:pPr>
              <w:spacing w:after="0"/>
              <w:rPr>
                <w:sz w:val="9"/>
                <w:szCs w:val="9"/>
                <w:color w:val="auto"/>
              </w:rPr>
            </w:pPr>
          </w:p>
        </w:tc>
        <w:tc>
          <w:tcPr>
            <w:tcW w:w="920" w:type="dxa"/>
            <w:vAlign w:val="bottom"/>
            <w:gridSpan w:val="2"/>
          </w:tcPr>
          <w:p>
            <w:pPr>
              <w:jc w:val="right"/>
              <w:ind w:right="320"/>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740" w:type="dxa"/>
            <w:vAlign w:val="bottom"/>
            <w:gridSpan w:val="3"/>
          </w:tcPr>
          <w:p>
            <w:pPr>
              <w:spacing w:after="0" w:line="125" w:lineRule="exact"/>
              <w:rPr>
                <w:sz w:val="20"/>
                <w:szCs w:val="20"/>
                <w:color w:val="auto"/>
              </w:rPr>
            </w:pPr>
            <w:r>
              <w:rPr>
                <w:rFonts w:ascii="Times New Roman" w:cs="Times New Roman" w:eastAsia="Times New Roman" w:hAnsi="Times New Roman"/>
                <w:sz w:val="11"/>
                <w:szCs w:val="11"/>
                <w:b w:val="1"/>
                <w:bCs w:val="1"/>
                <w:color w:val="auto"/>
              </w:rPr>
              <w:t>Address of Portfolio Company</w:t>
            </w:r>
          </w:p>
        </w:tc>
        <w:tc>
          <w:tcPr>
            <w:tcW w:w="1460" w:type="dxa"/>
            <w:vAlign w:val="bottom"/>
            <w:gridSpan w:val="2"/>
            <w:vMerge w:val="continue"/>
          </w:tcPr>
          <w:p>
            <w:pPr>
              <w:spacing w:after="0"/>
              <w:rPr>
                <w:sz w:val="10"/>
                <w:szCs w:val="10"/>
                <w:color w:val="auto"/>
              </w:rPr>
            </w:pPr>
          </w:p>
        </w:tc>
        <w:tc>
          <w:tcPr>
            <w:tcW w:w="162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920" w:type="dxa"/>
            <w:vAlign w:val="bottom"/>
            <w:gridSpan w:val="2"/>
          </w:tcPr>
          <w:p>
            <w:pPr>
              <w:jc w:val="right"/>
              <w:ind w:right="260"/>
              <w:spacing w:after="0" w:line="125"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7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3720" w:type="dxa"/>
            <w:vAlign w:val="bottom"/>
            <w:gridSpan w:val="2"/>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System Planning and Analysis, Inc.</w:t>
            </w:r>
          </w:p>
        </w:tc>
        <w:tc>
          <w:tcPr>
            <w:tcW w:w="1140" w:type="dxa"/>
            <w:vAlign w:val="bottom"/>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Aerospace and Defense</w:t>
            </w:r>
          </w:p>
        </w:tc>
        <w:tc>
          <w:tcPr>
            <w:tcW w:w="320" w:type="dxa"/>
            <w:vAlign w:val="bottom"/>
            <w:shd w:val="clear" w:color="auto" w:fill="CCEEFF"/>
          </w:tcPr>
          <w:p>
            <w:pPr>
              <w:spacing w:after="0"/>
              <w:rPr>
                <w:sz w:val="6"/>
                <w:szCs w:val="6"/>
                <w:color w:val="auto"/>
              </w:rPr>
            </w:pPr>
          </w:p>
        </w:tc>
        <w:tc>
          <w:tcPr>
            <w:tcW w:w="1480" w:type="dxa"/>
            <w:vAlign w:val="bottom"/>
            <w:shd w:val="clear" w:color="auto" w:fill="CCEEFF"/>
          </w:tcPr>
          <w:p>
            <w:pPr>
              <w:jc w:val="center"/>
              <w:spacing w:after="0" w:line="74" w:lineRule="exact"/>
              <w:rPr>
                <w:sz w:val="20"/>
                <w:szCs w:val="20"/>
                <w:color w:val="auto"/>
              </w:rPr>
            </w:pPr>
            <w:r>
              <w:rPr>
                <w:rFonts w:ascii="Times New Roman" w:cs="Times New Roman" w:eastAsia="Times New Roman" w:hAnsi="Times New Roman"/>
                <w:sz w:val="8"/>
                <w:szCs w:val="8"/>
                <w:color w:val="auto"/>
              </w:rPr>
              <w:t>First Lien Secured Debt(4),</w:t>
            </w:r>
          </w:p>
        </w:tc>
        <w:tc>
          <w:tcPr>
            <w:tcW w:w="140" w:type="dxa"/>
            <w:vAlign w:val="bottom"/>
            <w:shd w:val="clear" w:color="auto" w:fill="CCEEFF"/>
          </w:tcPr>
          <w:p>
            <w:pPr>
              <w:spacing w:after="0"/>
              <w:rPr>
                <w:sz w:val="6"/>
                <w:szCs w:val="6"/>
                <w:color w:val="auto"/>
              </w:rPr>
            </w:pPr>
          </w:p>
        </w:tc>
        <w:tc>
          <w:tcPr>
            <w:tcW w:w="660" w:type="dxa"/>
            <w:vAlign w:val="bottom"/>
            <w:shd w:val="clear" w:color="auto" w:fill="CCEEFF"/>
          </w:tcPr>
          <w:p>
            <w:pPr>
              <w:jc w:val="right"/>
              <w:ind w:right="6"/>
              <w:spacing w:after="0" w:line="74"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shd w:val="clear" w:color="auto" w:fill="CCEEFF"/>
          </w:tcPr>
          <w:p>
            <w:pPr>
              <w:spacing w:after="0"/>
              <w:rPr>
                <w:sz w:val="6"/>
                <w:szCs w:val="6"/>
                <w:color w:val="auto"/>
              </w:rPr>
            </w:pPr>
          </w:p>
        </w:tc>
        <w:tc>
          <w:tcPr>
            <w:tcW w:w="80" w:type="dxa"/>
            <w:vAlign w:val="bottom"/>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18,180</w:t>
            </w: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(f/k/a Management Consulting &amp; Research, LLC)</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SOFR+600, 08/16/2027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1220 12</w:t>
            </w:r>
            <w:r>
              <w:rPr>
                <w:rFonts w:ascii="Times New Roman" w:cs="Times New Roman" w:eastAsia="Times New Roman" w:hAnsi="Times New Roman"/>
                <w:sz w:val="6"/>
                <w:szCs w:val="6"/>
                <w:color w:val="auto"/>
              </w:rPr>
              <w:t>th</w:t>
            </w:r>
            <w:r>
              <w:rPr>
                <w:rFonts w:ascii="Times New Roman" w:cs="Times New Roman" w:eastAsia="Times New Roman" w:hAnsi="Times New Roman"/>
                <w:sz w:val="11"/>
                <w:szCs w:val="11"/>
                <w:color w:val="auto"/>
              </w:rPr>
              <w:t xml:space="preserve"> Street SE</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Washington DC, 20003</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TAC LifePort Holdings, LLC (5)</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Aerospace and Defense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Common Equity</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1610 Heritage St</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Woodland, WA 98674</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Teneo Holdings LLC</w:t>
            </w:r>
          </w:p>
        </w:tc>
        <w:tc>
          <w:tcPr>
            <w:tcW w:w="1460" w:type="dxa"/>
            <w:vAlign w:val="bottom"/>
            <w:gridSpan w:val="2"/>
            <w:shd w:val="clear" w:color="auto" w:fill="CCEEFF"/>
          </w:tcPr>
          <w:p>
            <w:pPr>
              <w:jc w:val="center"/>
              <w:ind w:right="320"/>
              <w:spacing w:after="0" w:line="97" w:lineRule="exact"/>
              <w:rPr>
                <w:sz w:val="20"/>
                <w:szCs w:val="20"/>
                <w:color w:val="auto"/>
              </w:rPr>
            </w:pPr>
            <w:r>
              <w:rPr>
                <w:rFonts w:ascii="Times New Roman" w:cs="Times New Roman" w:eastAsia="Times New Roman" w:hAnsi="Times New Roman"/>
                <w:sz w:val="11"/>
                <w:szCs w:val="11"/>
                <w:color w:val="auto"/>
              </w:rPr>
              <w:t>Diversified Financial</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5,455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280 Park Avenue, 4</w:t>
            </w:r>
            <w:r>
              <w:rPr>
                <w:rFonts w:ascii="Times New Roman" w:cs="Times New Roman" w:eastAsia="Times New Roman" w:hAnsi="Times New Roman"/>
                <w:sz w:val="6"/>
                <w:szCs w:val="6"/>
                <w:color w:val="auto"/>
              </w:rPr>
              <w:t>th</w:t>
            </w:r>
            <w:r>
              <w:rPr>
                <w:rFonts w:ascii="Times New Roman" w:cs="Times New Roman" w:eastAsia="Times New Roman" w:hAnsi="Times New Roman"/>
                <w:sz w:val="11"/>
                <w:szCs w:val="11"/>
                <w:color w:val="auto"/>
              </w:rPr>
              <w:t xml:space="preserve"> Floor</w:t>
            </w:r>
          </w:p>
        </w:tc>
        <w:tc>
          <w:tcPr>
            <w:tcW w:w="1460" w:type="dxa"/>
            <w:vAlign w:val="bottom"/>
            <w:gridSpan w:val="2"/>
            <w:shd w:val="clear" w:color="auto" w:fill="CCEEFF"/>
          </w:tcPr>
          <w:p>
            <w:pPr>
              <w:jc w:val="center"/>
              <w:ind w:right="32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L+525, 07/18/2025</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New York, NY 10017</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Aerospace and Defense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4,872</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4601 N. Fairfax Drive, Suite 900</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L+600, 10/31/2025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Arlington, VA, 22203</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The Bluebird Group LLC</w:t>
            </w:r>
          </w:p>
        </w:tc>
        <w:tc>
          <w:tcPr>
            <w:tcW w:w="1460" w:type="dxa"/>
            <w:vAlign w:val="bottom"/>
            <w:gridSpan w:val="2"/>
            <w:shd w:val="clear" w:color="auto" w:fill="CCEEFF"/>
          </w:tcPr>
          <w:p>
            <w:pPr>
              <w:jc w:val="center"/>
              <w:ind w:right="320"/>
              <w:spacing w:after="0" w:line="97" w:lineRule="exact"/>
              <w:rPr>
                <w:sz w:val="20"/>
                <w:szCs w:val="20"/>
                <w:color w:val="auto"/>
              </w:rPr>
            </w:pPr>
            <w:r>
              <w:rPr>
                <w:rFonts w:ascii="Times New Roman" w:cs="Times New Roman" w:eastAsia="Times New Roman" w:hAnsi="Times New Roman"/>
                <w:sz w:val="11"/>
                <w:szCs w:val="11"/>
                <w:color w:val="auto"/>
                <w:w w:val="99"/>
              </w:rPr>
              <w:t>Professional Services</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6,337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81 South Ninth Street, Suite 420,</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L+700, 07/27/2026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Minneapolis, MN, 55402</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The Infosoft Group, LLC</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9"/>
              </w:rPr>
              <w:t>Media: Broadcasting and</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17,586</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(Gauge InfosoftCoInvest, LLC)</w:t>
            </w:r>
          </w:p>
        </w:tc>
        <w:tc>
          <w:tcPr>
            <w:tcW w:w="146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1"/>
                <w:szCs w:val="11"/>
                <w:color w:val="auto"/>
              </w:rPr>
              <w:t>Subscription</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L+575, 09/16/2024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1000 North Water Street, Suite 1200</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Milwaukee, WI 53202</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The Vertex Companies, LLC</w:t>
            </w:r>
          </w:p>
        </w:tc>
        <w:tc>
          <w:tcPr>
            <w:tcW w:w="1460" w:type="dxa"/>
            <w:vAlign w:val="bottom"/>
            <w:gridSpan w:val="2"/>
            <w:shd w:val="clear" w:color="auto" w:fill="CCEEFF"/>
          </w:tcPr>
          <w:p>
            <w:pPr>
              <w:jc w:val="center"/>
              <w:ind w:right="300"/>
              <w:spacing w:after="0" w:line="97" w:lineRule="exact"/>
              <w:rPr>
                <w:sz w:val="20"/>
                <w:szCs w:val="20"/>
                <w:color w:val="auto"/>
              </w:rPr>
            </w:pPr>
            <w:r>
              <w:rPr>
                <w:rFonts w:ascii="Times New Roman" w:cs="Times New Roman" w:eastAsia="Times New Roman" w:hAnsi="Times New Roman"/>
                <w:sz w:val="11"/>
                <w:szCs w:val="11"/>
                <w:color w:val="auto"/>
                <w:w w:val="99"/>
              </w:rPr>
              <w:t>Construction &amp;</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2,369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(TWD Parent Holdings, LLC)</w:t>
            </w:r>
          </w:p>
        </w:tc>
        <w:tc>
          <w:tcPr>
            <w:tcW w:w="1460" w:type="dxa"/>
            <w:vAlign w:val="bottom"/>
            <w:gridSpan w:val="2"/>
            <w:shd w:val="clear" w:color="auto" w:fill="CCEEFF"/>
          </w:tcPr>
          <w:p>
            <w:pPr>
              <w:jc w:val="center"/>
              <w:ind w:right="320"/>
              <w:spacing w:after="0" w:line="114" w:lineRule="exact"/>
              <w:rPr>
                <w:sz w:val="20"/>
                <w:szCs w:val="20"/>
                <w:color w:val="auto"/>
              </w:rPr>
            </w:pPr>
            <w:r>
              <w:rPr>
                <w:rFonts w:ascii="Times New Roman" w:cs="Times New Roman" w:eastAsia="Times New Roman" w:hAnsi="Times New Roman"/>
                <w:sz w:val="11"/>
                <w:szCs w:val="11"/>
                <w:color w:val="auto"/>
              </w:rPr>
              <w:t>Engineering</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L+550, 08/30/2027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398 Libbey Industrial Pkwy,</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Preferred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Weymouth, MA 02189</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TPC Canada Parent, Inc.</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Food Products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4,832</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and TPC US Parent, LLC(6)</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L+550, 11/24/2025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(TPC Holding Company, LP(6))</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Preferred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151 Struthers Street</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Warren, PA 16365</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TVC Enterprises, LLC</w:t>
            </w:r>
          </w:p>
        </w:tc>
        <w:tc>
          <w:tcPr>
            <w:tcW w:w="1460" w:type="dxa"/>
            <w:vAlign w:val="bottom"/>
            <w:gridSpan w:val="2"/>
            <w:shd w:val="clear" w:color="auto" w:fill="CCEEFF"/>
          </w:tcPr>
          <w:p>
            <w:pPr>
              <w:jc w:val="center"/>
              <w:ind w:right="320"/>
              <w:spacing w:after="0" w:line="97" w:lineRule="exact"/>
              <w:rPr>
                <w:sz w:val="20"/>
                <w:szCs w:val="20"/>
                <w:color w:val="auto"/>
              </w:rPr>
            </w:pPr>
            <w:r>
              <w:rPr>
                <w:rFonts w:ascii="Times New Roman" w:cs="Times New Roman" w:eastAsia="Times New Roman" w:hAnsi="Times New Roman"/>
                <w:sz w:val="11"/>
                <w:szCs w:val="11"/>
                <w:color w:val="auto"/>
              </w:rPr>
              <w:t>Commercial Services &amp;</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0.8%</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25,644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(Gauge TVC Coinvest, LLC)</w:t>
            </w:r>
          </w:p>
        </w:tc>
        <w:tc>
          <w:tcPr>
            <w:tcW w:w="1460" w:type="dxa"/>
            <w:vAlign w:val="bottom"/>
            <w:gridSpan w:val="2"/>
            <w:shd w:val="clear" w:color="auto" w:fill="CCEEFF"/>
          </w:tcPr>
          <w:p>
            <w:pPr>
              <w:jc w:val="center"/>
              <w:ind w:right="320"/>
              <w:spacing w:after="0" w:line="114" w:lineRule="exact"/>
              <w:rPr>
                <w:sz w:val="20"/>
                <w:szCs w:val="20"/>
                <w:color w:val="auto"/>
              </w:rPr>
            </w:pPr>
            <w:r>
              <w:rPr>
                <w:rFonts w:ascii="Times New Roman" w:cs="Times New Roman" w:eastAsia="Times New Roman" w:hAnsi="Times New Roman"/>
                <w:sz w:val="11"/>
                <w:szCs w:val="11"/>
                <w:color w:val="auto"/>
              </w:rPr>
              <w:t>Supplies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L+600, 03/26/2026</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6100 Lake Forrest Drive</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Atlanta, GA 30328</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rPr>
              <w:t>Diversified Consumer</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5,427</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120 N. 44th Street #230</w:t>
            </w:r>
          </w:p>
        </w:tc>
        <w:tc>
          <w:tcPr>
            <w:tcW w:w="1460" w:type="dxa"/>
            <w:vAlign w:val="bottom"/>
            <w:gridSpan w:val="2"/>
          </w:tcPr>
          <w:p>
            <w:pPr>
              <w:jc w:val="center"/>
              <w:ind w:right="32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L+625, 06/16/2025</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Phoenix, AZ 85034</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Tyto Athene, LLC</w:t>
            </w:r>
          </w:p>
        </w:tc>
        <w:tc>
          <w:tcPr>
            <w:tcW w:w="1460" w:type="dxa"/>
            <w:vAlign w:val="bottom"/>
            <w:gridSpan w:val="2"/>
            <w:shd w:val="clear" w:color="auto" w:fill="CCEEFF"/>
          </w:tcPr>
          <w:p>
            <w:pPr>
              <w:jc w:val="center"/>
              <w:ind w:right="320"/>
              <w:spacing w:after="0" w:line="97" w:lineRule="exact"/>
              <w:rPr>
                <w:sz w:val="20"/>
                <w:szCs w:val="20"/>
                <w:color w:val="auto"/>
              </w:rPr>
            </w:pPr>
            <w:r>
              <w:rPr>
                <w:rFonts w:ascii="Times New Roman" w:cs="Times New Roman" w:eastAsia="Times New Roman" w:hAnsi="Times New Roman"/>
                <w:sz w:val="11"/>
                <w:szCs w:val="11"/>
                <w:color w:val="auto"/>
                <w:w w:val="99"/>
              </w:rPr>
              <w:t>IT Services</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13,024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(NXOF Holdings, Inc)</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1M L+550, 04/01/2028</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510 Spring Street, Suite 200</w:t>
            </w:r>
          </w:p>
        </w:tc>
        <w:tc>
          <w:tcPr>
            <w:tcW w:w="11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Preferred Equity</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Herndon, VA 20170</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UBEO, LLC</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18,199</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401 East Sonterra Blvd, Suite 350</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L+450, 04/03/2024</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San Antonio, TX 78258</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4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37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Unique Indoor Comfort, LLC</w:t>
            </w:r>
          </w:p>
        </w:tc>
        <w:tc>
          <w:tcPr>
            <w:tcW w:w="1460" w:type="dxa"/>
            <w:vAlign w:val="bottom"/>
            <w:gridSpan w:val="2"/>
            <w:shd w:val="clear" w:color="auto" w:fill="CCEEFF"/>
          </w:tcPr>
          <w:p>
            <w:pPr>
              <w:jc w:val="center"/>
              <w:ind w:right="320"/>
              <w:spacing w:after="0" w:line="97" w:lineRule="exact"/>
              <w:rPr>
                <w:sz w:val="20"/>
                <w:szCs w:val="20"/>
                <w:color w:val="auto"/>
              </w:rPr>
            </w:pPr>
            <w:r>
              <w:rPr>
                <w:rFonts w:ascii="Times New Roman" w:cs="Times New Roman" w:eastAsia="Times New Roman" w:hAnsi="Times New Roman"/>
                <w:sz w:val="11"/>
                <w:szCs w:val="11"/>
                <w:color w:val="auto"/>
              </w:rPr>
              <w:t>Diversified Consumer</w:t>
            </w:r>
          </w:p>
        </w:tc>
        <w:tc>
          <w:tcPr>
            <w:tcW w:w="1620" w:type="dxa"/>
            <w:vAlign w:val="bottom"/>
            <w:gridSpan w:val="2"/>
            <w:shd w:val="clear" w:color="auto" w:fill="CCEEFF"/>
          </w:tcPr>
          <w:p>
            <w:pPr>
              <w:jc w:val="center"/>
              <w:ind w:right="140"/>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20" w:type="dxa"/>
            <w:vAlign w:val="bottom"/>
            <w:gridSpan w:val="2"/>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8,841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3017 Bolling Way NorthEast</w:t>
            </w:r>
          </w:p>
        </w:tc>
        <w:tc>
          <w:tcPr>
            <w:tcW w:w="1460" w:type="dxa"/>
            <w:vAlign w:val="bottom"/>
            <w:gridSpan w:val="2"/>
            <w:shd w:val="clear" w:color="auto" w:fill="CCEEFF"/>
          </w:tcPr>
          <w:p>
            <w:pPr>
              <w:jc w:val="center"/>
              <w:ind w:right="320"/>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620" w:type="dxa"/>
            <w:vAlign w:val="bottom"/>
            <w:gridSpan w:val="2"/>
            <w:shd w:val="clear" w:color="auto" w:fill="CCEEFF"/>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rPr>
              <w:t>3M L+525, 05/24/2027</w:t>
            </w:r>
          </w:p>
        </w:tc>
        <w:tc>
          <w:tcPr>
            <w:tcW w:w="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Atlanta, GA 30305</w:t>
            </w:r>
          </w:p>
        </w:tc>
        <w:tc>
          <w:tcPr>
            <w:tcW w:w="1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UniTek Global Services, Inc.</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w w:val="99"/>
              </w:rPr>
              <w:t>Telecommunications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Preferred Equity</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0.9%</w:t>
            </w: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4"/>
        </w:trPr>
        <w:tc>
          <w:tcPr>
            <w:tcW w:w="3740" w:type="dxa"/>
            <w:vAlign w:val="bottom"/>
            <w:gridSpan w:val="3"/>
          </w:tcPr>
          <w:p>
            <w:pPr>
              <w:spacing w:after="0" w:line="114" w:lineRule="exact"/>
              <w:rPr>
                <w:sz w:val="20"/>
                <w:szCs w:val="20"/>
                <w:color w:val="auto"/>
              </w:rPr>
            </w:pPr>
            <w:r>
              <w:rPr>
                <w:rFonts w:ascii="Times New Roman" w:cs="Times New Roman" w:eastAsia="Times New Roman" w:hAnsi="Times New Roman"/>
                <w:sz w:val="11"/>
                <w:szCs w:val="11"/>
                <w:color w:val="auto"/>
              </w:rPr>
              <w:t>1817 Crane Ridge Drive, Suite 500</w:t>
            </w: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7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Jackson, MS 39216</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Warrants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3" w:right="1440" w:bottom="1440" w:gutter="0" w:footer="0" w:header="0"/>
        </w:sectPr>
      </w:pPr>
    </w:p>
    <w:bookmarkStart w:id="55" w:name="page56"/>
    <w:bookmarkEnd w:id="55"/>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b w:val="1"/>
          <w:bCs w:val="1"/>
          <w:color w:val="auto"/>
        </w:rPr>
        <w:t>Name and</w:t>
      </w:r>
    </w:p>
    <w:p>
      <w:pPr>
        <w:ind w:left="280"/>
        <w:spacing w:after="0"/>
        <w:rPr>
          <w:sz w:val="20"/>
          <w:szCs w:val="20"/>
          <w:color w:val="auto"/>
        </w:rPr>
      </w:pPr>
      <w:r>
        <w:rPr>
          <w:rFonts w:ascii="Times New Roman" w:cs="Times New Roman" w:eastAsia="Times New Roman" w:hAnsi="Times New Roman"/>
          <w:sz w:val="11"/>
          <w:szCs w:val="11"/>
          <w:b w:val="1"/>
          <w:bCs w:val="1"/>
          <w:u w:val="single" w:color="auto"/>
          <w:color w:val="auto"/>
        </w:rPr>
        <w:t>Address of Portfolio Company</w:t>
      </w:r>
    </w:p>
    <w:p>
      <w:pPr>
        <w:ind w:left="280"/>
        <w:spacing w:after="0" w:line="216" w:lineRule="auto"/>
        <w:rPr>
          <w:sz w:val="20"/>
          <w:szCs w:val="20"/>
          <w:color w:val="auto"/>
        </w:rPr>
      </w:pPr>
      <w:r>
        <w:rPr>
          <w:rFonts w:ascii="Times New Roman" w:cs="Times New Roman" w:eastAsia="Times New Roman" w:hAnsi="Times New Roman"/>
          <w:sz w:val="11"/>
          <w:szCs w:val="11"/>
          <w:color w:val="auto"/>
        </w:rPr>
        <w:t>UniVista Insurance (5)</w:t>
      </w:r>
    </w:p>
    <w:p>
      <w:pPr>
        <w:ind w:left="280"/>
        <w:spacing w:after="0" w:line="216" w:lineRule="auto"/>
        <w:rPr>
          <w:sz w:val="20"/>
          <w:szCs w:val="20"/>
          <w:color w:val="auto"/>
        </w:rPr>
      </w:pPr>
      <w:r>
        <w:rPr>
          <w:rFonts w:ascii="Times New Roman" w:cs="Times New Roman" w:eastAsia="Times New Roman" w:hAnsi="Times New Roman"/>
          <w:sz w:val="11"/>
          <w:szCs w:val="11"/>
          <w:color w:val="auto"/>
        </w:rPr>
        <w:t>528 NW 7th Ave,</w:t>
      </w:r>
    </w:p>
    <w:p>
      <w:pPr>
        <w:ind w:left="280"/>
        <w:spacing w:after="0"/>
        <w:rPr>
          <w:sz w:val="20"/>
          <w:szCs w:val="20"/>
          <w:color w:val="auto"/>
        </w:rPr>
      </w:pPr>
      <w:r>
        <w:rPr>
          <w:rFonts w:ascii="Times New Roman" w:cs="Times New Roman" w:eastAsia="Times New Roman" w:hAnsi="Times New Roman"/>
          <w:sz w:val="11"/>
          <w:szCs w:val="11"/>
          <w:color w:val="auto"/>
        </w:rPr>
        <w:t>Miami, FL 33136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Type of Investment,</w:t>
            </w:r>
          </w:p>
        </w:tc>
        <w:tc>
          <w:tcPr>
            <w:tcW w:w="1040" w:type="dxa"/>
            <w:vAlign w:val="bottom"/>
            <w:gridSpan w:val="2"/>
          </w:tcPr>
          <w:p>
            <w:pPr>
              <w:jc w:val="center"/>
              <w:ind w:right="330"/>
              <w:spacing w:after="0"/>
              <w:rPr>
                <w:sz w:val="20"/>
                <w:szCs w:val="20"/>
                <w:color w:val="auto"/>
              </w:rPr>
            </w:pPr>
            <w:r>
              <w:rPr>
                <w:rFonts w:ascii="Times New Roman" w:cs="Times New Roman" w:eastAsia="Times New Roman" w:hAnsi="Times New Roman"/>
                <w:sz w:val="11"/>
                <w:szCs w:val="11"/>
                <w:b w:val="1"/>
                <w:bCs w:val="1"/>
                <w:color w:val="auto"/>
                <w:w w:val="94"/>
              </w:rPr>
              <w:t>Voting</w:t>
            </w:r>
          </w:p>
        </w:tc>
        <w:tc>
          <w:tcPr>
            <w:tcW w:w="80" w:type="dxa"/>
            <w:vAlign w:val="bottom"/>
          </w:tcPr>
          <w:p>
            <w:pPr>
              <w:spacing w:after="0"/>
              <w:rPr>
                <w:sz w:val="11"/>
                <w:szCs w:val="11"/>
                <w:color w:val="auto"/>
              </w:rPr>
            </w:pPr>
          </w:p>
        </w:tc>
        <w:tc>
          <w:tcPr>
            <w:tcW w:w="600" w:type="dxa"/>
            <w:vAlign w:val="bottom"/>
            <w:vMerge w:val="restart"/>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12"/>
        </w:trPr>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Nature of Business</w:t>
            </w:r>
          </w:p>
        </w:tc>
        <w:tc>
          <w:tcPr>
            <w:tcW w:w="1620" w:type="dxa"/>
            <w:vAlign w:val="bottom"/>
            <w:gridSpan w:val="2"/>
            <w:vMerge w:val="continue"/>
          </w:tcPr>
          <w:p>
            <w:pPr>
              <w:spacing w:after="0"/>
              <w:rPr>
                <w:sz w:val="9"/>
                <w:szCs w:val="9"/>
                <w:color w:val="auto"/>
              </w:rPr>
            </w:pPr>
          </w:p>
        </w:tc>
        <w:tc>
          <w:tcPr>
            <w:tcW w:w="1040" w:type="dxa"/>
            <w:vAlign w:val="bottom"/>
            <w:gridSpan w:val="2"/>
          </w:tcPr>
          <w:p>
            <w:pPr>
              <w:jc w:val="center"/>
              <w:ind w:right="350"/>
              <w:spacing w:after="0" w:line="113"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440" w:type="dxa"/>
            <w:vAlign w:val="bottom"/>
            <w:gridSpan w:val="2"/>
            <w:vMerge w:val="continue"/>
          </w:tcPr>
          <w:p>
            <w:pPr>
              <w:spacing w:after="0"/>
              <w:rPr>
                <w:sz w:val="10"/>
                <w:szCs w:val="10"/>
                <w:color w:val="auto"/>
              </w:rPr>
            </w:pPr>
          </w:p>
        </w:tc>
        <w:tc>
          <w:tcPr>
            <w:tcW w:w="16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1"/>
                <w:szCs w:val="11"/>
                <w:b w:val="1"/>
                <w:bCs w:val="1"/>
                <w:color w:val="auto"/>
              </w:rPr>
              <w:t>Interest(1), Maturity</w:t>
            </w:r>
          </w:p>
        </w:tc>
        <w:tc>
          <w:tcPr>
            <w:tcW w:w="1040" w:type="dxa"/>
            <w:vAlign w:val="bottom"/>
            <w:gridSpan w:val="2"/>
          </w:tcPr>
          <w:p>
            <w:pPr>
              <w:jc w:val="right"/>
              <w:ind w:right="330"/>
              <w:spacing w:after="0" w:line="118" w:lineRule="exact"/>
              <w:rPr>
                <w:sz w:val="20"/>
                <w:szCs w:val="20"/>
                <w:color w:val="auto"/>
              </w:rPr>
            </w:pPr>
            <w:r>
              <w:rPr>
                <w:rFonts w:ascii="Times New Roman" w:cs="Times New Roman" w:eastAsia="Times New Roman" w:hAnsi="Times New Roman"/>
                <w:sz w:val="11"/>
                <w:szCs w:val="11"/>
                <w:b w:val="1"/>
                <w:bCs w:val="1"/>
                <w:color w:val="auto"/>
                <w:w w:val="98"/>
              </w:rPr>
              <w:t>Ownership(2)</w:t>
            </w:r>
          </w:p>
        </w:tc>
        <w:tc>
          <w:tcPr>
            <w:tcW w:w="6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w w:val="95"/>
              </w:rPr>
              <w:t>(in thousands)</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Insurance</w:t>
            </w:r>
          </w:p>
        </w:tc>
        <w:tc>
          <w:tcPr>
            <w:tcW w:w="320" w:type="dxa"/>
            <w:vAlign w:val="bottom"/>
          </w:tcPr>
          <w:p>
            <w:pPr>
              <w:spacing w:after="0"/>
              <w:rPr>
                <w:sz w:val="12"/>
                <w:szCs w:val="12"/>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Common Equity</w:t>
            </w: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380" w:type="dxa"/>
            <w:vAlign w:val="bottom"/>
          </w:tcPr>
          <w:p>
            <w:pPr>
              <w:jc w:val="right"/>
              <w:ind w:right="250"/>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-399415</wp:posOffset>
            </wp:positionV>
            <wp:extent cx="7202805" cy="457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02805" cy="45720"/>
                    </a:xfrm>
                    <a:prstGeom prst="rect">
                      <a:avLst/>
                    </a:prstGeom>
                    <a:noFill/>
                  </pic:spPr>
                </pic:pic>
              </a:graphicData>
            </a:graphic>
          </wp:anchor>
        </w:drawing>
        <w:drawing>
          <wp:anchor simplePos="0" relativeHeight="251657728" behindDoc="1" locked="0" layoutInCell="0" allowOverlap="1">
            <wp:simplePos x="0" y="0"/>
            <wp:positionH relativeFrom="column">
              <wp:posOffset>-2315210</wp:posOffset>
            </wp:positionH>
            <wp:positionV relativeFrom="paragraph">
              <wp:posOffset>-96520</wp:posOffset>
            </wp:positionV>
            <wp:extent cx="5373370" cy="2241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5373370" cy="22415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3200" w:space="720"/>
            <w:col w:w="5099"/>
          </w:cols>
          <w:pgMar w:left="1440" w:top="243" w:right="1440" w:bottom="1440" w:gutter="0" w:footer="0" w:header="0"/>
        </w:sectPr>
      </w:pPr>
    </w:p>
    <w:tbl>
      <w:tblPr>
        <w:tblLayout w:type="fixed"/>
        <w:tblInd w:w="280" w:type="dxa"/>
        <w:tblCellMar>
          <w:top w:w="0" w:type="dxa"/>
          <w:left w:w="0" w:type="dxa"/>
          <w:bottom w:w="0" w:type="dxa"/>
          <w:right w:w="0" w:type="dxa"/>
        </w:tblCellMar>
      </w:tblPr>
      <w:tr>
        <w:trPr>
          <w:trHeight w:val="126"/>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2040" w:type="dxa"/>
            <w:vAlign w:val="bottom"/>
          </w:tcPr>
          <w:p>
            <w:pPr>
              <w:jc w:val="center"/>
              <w:ind w:left="445"/>
              <w:spacing w:after="0"/>
              <w:rPr>
                <w:sz w:val="20"/>
                <w:szCs w:val="20"/>
                <w:color w:val="auto"/>
              </w:rPr>
            </w:pPr>
            <w:r>
              <w:rPr>
                <w:rFonts w:ascii="Times New Roman" w:cs="Times New Roman" w:eastAsia="Times New Roman" w:hAnsi="Times New Roman"/>
                <w:sz w:val="11"/>
                <w:szCs w:val="11"/>
                <w:color w:val="auto"/>
                <w:w w:val="98"/>
              </w:rPr>
              <w:t>Wholesale</w:t>
            </w:r>
          </w:p>
        </w:tc>
        <w:tc>
          <w:tcPr>
            <w:tcW w:w="1820" w:type="dxa"/>
            <w:vAlign w:val="bottom"/>
          </w:tcPr>
          <w:p>
            <w:pPr>
              <w:jc w:val="center"/>
              <w:ind w:right="85"/>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4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rPr>
              <w:t>3.2%</w:t>
            </w:r>
          </w:p>
        </w:tc>
        <w:tc>
          <w:tcPr>
            <w:tcW w:w="16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8,473</w:t>
            </w: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(JWC-WE Holdings, L.P. (5))</w:t>
            </w:r>
          </w:p>
        </w:tc>
        <w:tc>
          <w:tcPr>
            <w:tcW w:w="2040" w:type="dxa"/>
            <w:vAlign w:val="bottom"/>
          </w:tcPr>
          <w:p>
            <w:pPr>
              <w:spacing w:after="0"/>
              <w:rPr>
                <w:sz w:val="9"/>
                <w:szCs w:val="9"/>
                <w:color w:val="auto"/>
              </w:rPr>
            </w:pPr>
          </w:p>
        </w:tc>
        <w:tc>
          <w:tcPr>
            <w:tcW w:w="1820" w:type="dxa"/>
            <w:vAlign w:val="bottom"/>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rPr>
              <w:t>1M L+875, 03/31/2027</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4350 West 2100 South, Suite A</w:t>
            </w:r>
          </w:p>
        </w:tc>
        <w:tc>
          <w:tcPr>
            <w:tcW w:w="2040" w:type="dxa"/>
            <w:vAlign w:val="bottom"/>
          </w:tcPr>
          <w:p>
            <w:pPr>
              <w:spacing w:after="0"/>
              <w:rPr>
                <w:sz w:val="9"/>
                <w:szCs w:val="9"/>
                <w:color w:val="auto"/>
              </w:rPr>
            </w:pPr>
          </w:p>
        </w:tc>
        <w:tc>
          <w:tcPr>
            <w:tcW w:w="1820" w:type="dxa"/>
            <w:vAlign w:val="bottom"/>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Salt Lake City, UT 84120</w:t>
            </w:r>
          </w:p>
        </w:tc>
        <w:tc>
          <w:tcPr>
            <w:tcW w:w="2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9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29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WCP IvyRehab QP CF Feeder, LP</w:t>
            </w:r>
          </w:p>
        </w:tc>
        <w:tc>
          <w:tcPr>
            <w:tcW w:w="2040" w:type="dxa"/>
            <w:vAlign w:val="bottom"/>
            <w:shd w:val="clear" w:color="auto" w:fill="CCEEFF"/>
          </w:tcPr>
          <w:p>
            <w:pPr>
              <w:jc w:val="center"/>
              <w:ind w:left="425"/>
              <w:spacing w:after="0" w:line="97" w:lineRule="exact"/>
              <w:rPr>
                <w:sz w:val="20"/>
                <w:szCs w:val="20"/>
                <w:color w:val="auto"/>
              </w:rPr>
            </w:pPr>
            <w:r>
              <w:rPr>
                <w:rFonts w:ascii="Times New Roman" w:cs="Times New Roman" w:eastAsia="Times New Roman" w:hAnsi="Times New Roman"/>
                <w:sz w:val="11"/>
                <w:szCs w:val="11"/>
                <w:color w:val="auto"/>
              </w:rPr>
              <w:t>Healthcare Providers and</w:t>
            </w:r>
          </w:p>
        </w:tc>
        <w:tc>
          <w:tcPr>
            <w:tcW w:w="1820" w:type="dxa"/>
            <w:vAlign w:val="bottom"/>
            <w:shd w:val="clear" w:color="auto" w:fill="CCEEFF"/>
          </w:tcPr>
          <w:p>
            <w:pPr>
              <w:jc w:val="center"/>
              <w:ind w:right="85"/>
              <w:spacing w:after="0" w:line="97" w:lineRule="exact"/>
              <w:rPr>
                <w:sz w:val="20"/>
                <w:szCs w:val="20"/>
                <w:color w:val="auto"/>
              </w:rPr>
            </w:pPr>
            <w:r>
              <w:rPr>
                <w:rFonts w:ascii="Times New Roman" w:cs="Times New Roman" w:eastAsia="Times New Roman" w:hAnsi="Times New Roman"/>
                <w:sz w:val="11"/>
                <w:szCs w:val="11"/>
                <w:color w:val="auto"/>
              </w:rPr>
              <w:t>Common Equity(4)</w:t>
            </w:r>
          </w:p>
        </w:tc>
        <w:tc>
          <w:tcPr>
            <w:tcW w:w="940" w:type="dxa"/>
            <w:vAlign w:val="bottom"/>
            <w:shd w:val="clear" w:color="auto" w:fill="CCEEFF"/>
          </w:tcPr>
          <w:p>
            <w:pPr>
              <w:jc w:val="right"/>
              <w:ind w:right="245"/>
              <w:spacing w:after="0" w:line="97" w:lineRule="exact"/>
              <w:rPr>
                <w:sz w:val="20"/>
                <w:szCs w:val="20"/>
                <w:color w:val="auto"/>
              </w:rPr>
            </w:pPr>
            <w:r>
              <w:rPr>
                <w:rFonts w:ascii="Times New Roman" w:cs="Times New Roman" w:eastAsia="Times New Roman" w:hAnsi="Times New Roman"/>
                <w:sz w:val="11"/>
                <w:szCs w:val="11"/>
                <w:color w:val="auto"/>
              </w:rPr>
              <w:t>1.8%</w:t>
            </w:r>
          </w:p>
        </w:tc>
        <w:tc>
          <w:tcPr>
            <w:tcW w:w="1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3,762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1311 Mamaroneck Avenue, Suite 140</w:t>
            </w:r>
          </w:p>
        </w:tc>
        <w:tc>
          <w:tcPr>
            <w:tcW w:w="2040" w:type="dxa"/>
            <w:vAlign w:val="bottom"/>
            <w:shd w:val="clear" w:color="auto" w:fill="CCEEFF"/>
          </w:tcPr>
          <w:p>
            <w:pPr>
              <w:jc w:val="center"/>
              <w:ind w:left="445"/>
              <w:spacing w:after="0" w:line="114" w:lineRule="exact"/>
              <w:rPr>
                <w:sz w:val="20"/>
                <w:szCs w:val="20"/>
                <w:color w:val="auto"/>
              </w:rPr>
            </w:pPr>
            <w:r>
              <w:rPr>
                <w:rFonts w:ascii="Times New Roman" w:cs="Times New Roman" w:eastAsia="Times New Roman" w:hAnsi="Times New Roman"/>
                <w:sz w:val="11"/>
                <w:szCs w:val="11"/>
                <w:color w:val="auto"/>
              </w:rPr>
              <w:t>Services</w:t>
            </w:r>
          </w:p>
        </w:tc>
        <w:tc>
          <w:tcPr>
            <w:tcW w:w="18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White Plains, NY 10605</w:t>
            </w:r>
          </w:p>
        </w:tc>
        <w:tc>
          <w:tcPr>
            <w:tcW w:w="204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Wildcat Buyerco, Inc.</w:t>
            </w:r>
          </w:p>
        </w:tc>
        <w:tc>
          <w:tcPr>
            <w:tcW w:w="2040" w:type="dxa"/>
            <w:vAlign w:val="bottom"/>
          </w:tcPr>
          <w:p>
            <w:pPr>
              <w:jc w:val="center"/>
              <w:ind w:left="425"/>
              <w:spacing w:after="0"/>
              <w:rPr>
                <w:sz w:val="20"/>
                <w:szCs w:val="20"/>
                <w:color w:val="auto"/>
              </w:rPr>
            </w:pPr>
            <w:r>
              <w:rPr>
                <w:rFonts w:ascii="Times New Roman" w:cs="Times New Roman" w:eastAsia="Times New Roman" w:hAnsi="Times New Roman"/>
                <w:sz w:val="11"/>
                <w:szCs w:val="11"/>
                <w:color w:val="auto"/>
              </w:rPr>
              <w:t>Electronic Equipment,</w:t>
            </w:r>
          </w:p>
        </w:tc>
        <w:tc>
          <w:tcPr>
            <w:tcW w:w="1820" w:type="dxa"/>
            <w:vAlign w:val="bottom"/>
          </w:tcPr>
          <w:p>
            <w:pPr>
              <w:jc w:val="center"/>
              <w:ind w:right="85"/>
              <w:spacing w:after="0"/>
              <w:rPr>
                <w:sz w:val="20"/>
                <w:szCs w:val="20"/>
                <w:color w:val="auto"/>
              </w:rPr>
            </w:pPr>
            <w:r>
              <w:rPr>
                <w:rFonts w:ascii="Times New Roman" w:cs="Times New Roman" w:eastAsia="Times New Roman" w:hAnsi="Times New Roman"/>
                <w:sz w:val="11"/>
                <w:szCs w:val="11"/>
                <w:color w:val="auto"/>
                <w:w w:val="99"/>
              </w:rPr>
              <w:t>First Lien Secured Debt(4),</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color w:val="auto"/>
              </w:rPr>
              <w:t>—(7)</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10,094</w:t>
            </w: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(Wildcat Parent, LP(5))</w:t>
            </w:r>
          </w:p>
        </w:tc>
        <w:tc>
          <w:tcPr>
            <w:tcW w:w="2040" w:type="dxa"/>
            <w:vAlign w:val="bottom"/>
          </w:tcPr>
          <w:p>
            <w:pPr>
              <w:jc w:val="center"/>
              <w:ind w:left="425"/>
              <w:spacing w:after="0" w:line="114" w:lineRule="exact"/>
              <w:rPr>
                <w:sz w:val="20"/>
                <w:szCs w:val="20"/>
                <w:color w:val="auto"/>
              </w:rPr>
            </w:pPr>
            <w:r>
              <w:rPr>
                <w:rFonts w:ascii="Times New Roman" w:cs="Times New Roman" w:eastAsia="Times New Roman" w:hAnsi="Times New Roman"/>
                <w:sz w:val="11"/>
                <w:szCs w:val="11"/>
                <w:color w:val="auto"/>
              </w:rPr>
              <w:t>Instruments and</w:t>
            </w:r>
          </w:p>
        </w:tc>
        <w:tc>
          <w:tcPr>
            <w:tcW w:w="1820" w:type="dxa"/>
            <w:vAlign w:val="bottom"/>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rPr>
              <w:t>3M L+575, 02/27/2026</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9730 Northcross Center Court</w:t>
            </w:r>
          </w:p>
        </w:tc>
        <w:tc>
          <w:tcPr>
            <w:tcW w:w="2040" w:type="dxa"/>
            <w:vAlign w:val="bottom"/>
          </w:tcPr>
          <w:p>
            <w:pPr>
              <w:jc w:val="center"/>
              <w:ind w:left="425"/>
              <w:spacing w:after="0" w:line="114" w:lineRule="exact"/>
              <w:rPr>
                <w:sz w:val="20"/>
                <w:szCs w:val="20"/>
                <w:color w:val="auto"/>
              </w:rPr>
            </w:pPr>
            <w:r>
              <w:rPr>
                <w:rFonts w:ascii="Times New Roman" w:cs="Times New Roman" w:eastAsia="Times New Roman" w:hAnsi="Times New Roman"/>
                <w:sz w:val="11"/>
                <w:szCs w:val="11"/>
                <w:color w:val="auto"/>
              </w:rPr>
              <w:t>Components</w:t>
            </w:r>
          </w:p>
        </w:tc>
        <w:tc>
          <w:tcPr>
            <w:tcW w:w="1820" w:type="dxa"/>
            <w:vAlign w:val="bottom"/>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w w:val="98"/>
              </w:rPr>
              <w:t>Common Equity</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Huntersville, NC 28078</w:t>
            </w:r>
          </w:p>
        </w:tc>
        <w:tc>
          <w:tcPr>
            <w:tcW w:w="2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9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vMerge w:val="continue"/>
          </w:tcPr>
          <w:p>
            <w:pPr>
              <w:spacing w:after="0"/>
              <w:rPr>
                <w:sz w:val="8"/>
                <w:szCs w:val="8"/>
                <w:color w:val="auto"/>
              </w:rPr>
            </w:pPr>
          </w:p>
        </w:tc>
        <w:tc>
          <w:tcPr>
            <w:tcW w:w="29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Zips Car Wash, LLC</w:t>
            </w:r>
          </w:p>
        </w:tc>
        <w:tc>
          <w:tcPr>
            <w:tcW w:w="2040" w:type="dxa"/>
            <w:vAlign w:val="bottom"/>
            <w:shd w:val="clear" w:color="auto" w:fill="CCEEFF"/>
          </w:tcPr>
          <w:p>
            <w:pPr>
              <w:jc w:val="center"/>
              <w:ind w:left="425"/>
              <w:spacing w:after="0" w:line="97" w:lineRule="exact"/>
              <w:rPr>
                <w:sz w:val="20"/>
                <w:szCs w:val="20"/>
                <w:color w:val="auto"/>
              </w:rPr>
            </w:pPr>
            <w:r>
              <w:rPr>
                <w:rFonts w:ascii="Times New Roman" w:cs="Times New Roman" w:eastAsia="Times New Roman" w:hAnsi="Times New Roman"/>
                <w:sz w:val="11"/>
                <w:szCs w:val="11"/>
                <w:color w:val="auto"/>
                <w:w w:val="98"/>
              </w:rPr>
              <w:t>Automobiles</w:t>
            </w:r>
          </w:p>
        </w:tc>
        <w:tc>
          <w:tcPr>
            <w:tcW w:w="1820" w:type="dxa"/>
            <w:vAlign w:val="bottom"/>
            <w:shd w:val="clear" w:color="auto" w:fill="CCEEFF"/>
          </w:tcPr>
          <w:p>
            <w:pPr>
              <w:jc w:val="center"/>
              <w:ind w:right="85"/>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w:t>
            </w:r>
          </w:p>
        </w:tc>
        <w:tc>
          <w:tcPr>
            <w:tcW w:w="1100" w:type="dxa"/>
            <w:vAlign w:val="bottom"/>
            <w:gridSpan w:val="2"/>
            <w:shd w:val="clear" w:color="auto" w:fill="CCEEFF"/>
          </w:tcPr>
          <w:p>
            <w:pPr>
              <w:jc w:val="right"/>
              <w:ind w:right="600"/>
              <w:spacing w:after="0" w:line="97"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13,092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1809 East Parker Road</w:t>
            </w:r>
          </w:p>
        </w:tc>
        <w:tc>
          <w:tcPr>
            <w:tcW w:w="2040" w:type="dxa"/>
            <w:vAlign w:val="bottom"/>
            <w:shd w:val="clear" w:color="auto" w:fill="CCEEFF"/>
          </w:tcPr>
          <w:p>
            <w:pPr>
              <w:spacing w:after="0"/>
              <w:rPr>
                <w:sz w:val="9"/>
                <w:szCs w:val="9"/>
                <w:color w:val="auto"/>
              </w:rPr>
            </w:pPr>
          </w:p>
        </w:tc>
        <w:tc>
          <w:tcPr>
            <w:tcW w:w="1820" w:type="dxa"/>
            <w:vAlign w:val="bottom"/>
            <w:shd w:val="clear" w:color="auto" w:fill="CCEEFF"/>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rPr>
              <w:t>3M L+725, 03/01/2024</w:t>
            </w: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Jonesboro, AR 72404</w:t>
            </w:r>
          </w:p>
        </w:tc>
        <w:tc>
          <w:tcPr>
            <w:tcW w:w="204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Companies 25% or More Owned</w:t>
            </w:r>
          </w:p>
        </w:tc>
        <w:tc>
          <w:tcPr>
            <w:tcW w:w="2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9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Marketplace Events, LLC</w:t>
            </w:r>
          </w:p>
        </w:tc>
        <w:tc>
          <w:tcPr>
            <w:tcW w:w="2040" w:type="dxa"/>
            <w:vAlign w:val="bottom"/>
            <w:shd w:val="clear" w:color="auto" w:fill="CCEEFF"/>
          </w:tcPr>
          <w:p>
            <w:pPr>
              <w:jc w:val="center"/>
              <w:ind w:left="445"/>
              <w:spacing w:after="0" w:line="97" w:lineRule="exact"/>
              <w:rPr>
                <w:sz w:val="20"/>
                <w:szCs w:val="20"/>
                <w:color w:val="auto"/>
              </w:rPr>
            </w:pPr>
            <w:r>
              <w:rPr>
                <w:rFonts w:ascii="Times New Roman" w:cs="Times New Roman" w:eastAsia="Times New Roman" w:hAnsi="Times New Roman"/>
                <w:sz w:val="11"/>
                <w:szCs w:val="11"/>
                <w:color w:val="auto"/>
                <w:w w:val="99"/>
              </w:rPr>
              <w:t>Media: Diversified and</w:t>
            </w:r>
          </w:p>
        </w:tc>
        <w:tc>
          <w:tcPr>
            <w:tcW w:w="1820" w:type="dxa"/>
            <w:vAlign w:val="bottom"/>
            <w:shd w:val="clear" w:color="auto" w:fill="CCEEFF"/>
          </w:tcPr>
          <w:p>
            <w:pPr>
              <w:jc w:val="center"/>
              <w:ind w:right="85"/>
              <w:spacing w:after="0" w:line="97" w:lineRule="exact"/>
              <w:rPr>
                <w:sz w:val="20"/>
                <w:szCs w:val="20"/>
                <w:color w:val="auto"/>
              </w:rPr>
            </w:pPr>
            <w:r>
              <w:rPr>
                <w:rFonts w:ascii="Times New Roman" w:cs="Times New Roman" w:eastAsia="Times New Roman" w:hAnsi="Times New Roman"/>
                <w:sz w:val="11"/>
                <w:szCs w:val="11"/>
                <w:color w:val="auto"/>
                <w:w w:val="99"/>
              </w:rPr>
              <w:t>First Lien Secured Debt(4),</w:t>
            </w:r>
          </w:p>
        </w:tc>
        <w:tc>
          <w:tcPr>
            <w:tcW w:w="940" w:type="dxa"/>
            <w:vAlign w:val="bottom"/>
            <w:shd w:val="clear" w:color="auto" w:fill="CCEEFF"/>
          </w:tcPr>
          <w:p>
            <w:pPr>
              <w:jc w:val="right"/>
              <w:ind w:right="105"/>
              <w:spacing w:after="0" w:line="97" w:lineRule="exact"/>
              <w:rPr>
                <w:sz w:val="20"/>
                <w:szCs w:val="20"/>
                <w:color w:val="auto"/>
              </w:rPr>
            </w:pPr>
            <w:r>
              <w:rPr>
                <w:rFonts w:ascii="Times New Roman" w:cs="Times New Roman" w:eastAsia="Times New Roman" w:hAnsi="Times New Roman"/>
                <w:sz w:val="11"/>
                <w:szCs w:val="11"/>
                <w:color w:val="auto"/>
              </w:rPr>
              <w:t>32.6%(3)</w:t>
            </w:r>
          </w:p>
        </w:tc>
        <w:tc>
          <w:tcPr>
            <w:tcW w:w="1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1"/>
                <w:szCs w:val="11"/>
                <w:color w:val="auto"/>
              </w:rPr>
              <w:t>31,389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(New MPE Holdings, LLC(5))</w:t>
            </w:r>
          </w:p>
        </w:tc>
        <w:tc>
          <w:tcPr>
            <w:tcW w:w="2040" w:type="dxa"/>
            <w:vAlign w:val="bottom"/>
            <w:shd w:val="clear" w:color="auto" w:fill="CCEEFF"/>
          </w:tcPr>
          <w:p>
            <w:pPr>
              <w:jc w:val="center"/>
              <w:ind w:left="425"/>
              <w:spacing w:after="0" w:line="114" w:lineRule="exact"/>
              <w:rPr>
                <w:sz w:val="20"/>
                <w:szCs w:val="20"/>
                <w:color w:val="auto"/>
              </w:rPr>
            </w:pPr>
            <w:r>
              <w:rPr>
                <w:rFonts w:ascii="Times New Roman" w:cs="Times New Roman" w:eastAsia="Times New Roman" w:hAnsi="Times New Roman"/>
                <w:sz w:val="11"/>
                <w:szCs w:val="11"/>
                <w:color w:val="auto"/>
                <w:w w:val="99"/>
              </w:rPr>
              <w:t>Production</w:t>
            </w:r>
          </w:p>
        </w:tc>
        <w:tc>
          <w:tcPr>
            <w:tcW w:w="1820" w:type="dxa"/>
            <w:vAlign w:val="bottom"/>
            <w:shd w:val="clear" w:color="auto" w:fill="CCEEFF"/>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w w:val="98"/>
              </w:rPr>
              <w:t>3M L+525 (PIK 5.25%),</w:t>
            </w: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31105 Bainbridge Road, Suite 3</w:t>
            </w:r>
          </w:p>
        </w:tc>
        <w:tc>
          <w:tcPr>
            <w:tcW w:w="2040" w:type="dxa"/>
            <w:vAlign w:val="bottom"/>
            <w:shd w:val="clear" w:color="auto" w:fill="CCEEFF"/>
          </w:tcPr>
          <w:p>
            <w:pPr>
              <w:spacing w:after="0"/>
              <w:rPr>
                <w:sz w:val="9"/>
                <w:szCs w:val="9"/>
                <w:color w:val="auto"/>
              </w:rPr>
            </w:pPr>
          </w:p>
        </w:tc>
        <w:tc>
          <w:tcPr>
            <w:tcW w:w="1820" w:type="dxa"/>
            <w:vAlign w:val="bottom"/>
            <w:shd w:val="clear" w:color="auto" w:fill="CCEEFF"/>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rPr>
              <w:t>09/30/2026</w:t>
            </w: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Solon, OH 44139</w:t>
            </w:r>
          </w:p>
        </w:tc>
        <w:tc>
          <w:tcPr>
            <w:tcW w:w="2040" w:type="dxa"/>
            <w:vAlign w:val="bottom"/>
            <w:shd w:val="clear" w:color="auto" w:fill="CCEEFF"/>
          </w:tcPr>
          <w:p>
            <w:pPr>
              <w:spacing w:after="0"/>
              <w:rPr>
                <w:sz w:val="12"/>
                <w:szCs w:val="12"/>
                <w:color w:val="auto"/>
              </w:rPr>
            </w:pPr>
          </w:p>
        </w:tc>
        <w:tc>
          <w:tcPr>
            <w:tcW w:w="1820" w:type="dxa"/>
            <w:vAlign w:val="bottom"/>
            <w:shd w:val="clear" w:color="auto" w:fill="CCEEFF"/>
          </w:tcPr>
          <w:p>
            <w:pPr>
              <w:jc w:val="center"/>
              <w:ind w:right="85"/>
              <w:spacing w:after="0"/>
              <w:rPr>
                <w:sz w:val="20"/>
                <w:szCs w:val="20"/>
                <w:color w:val="auto"/>
              </w:rPr>
            </w:pPr>
            <w:r>
              <w:rPr>
                <w:rFonts w:ascii="Times New Roman" w:cs="Times New Roman" w:eastAsia="Times New Roman" w:hAnsi="Times New Roman"/>
                <w:sz w:val="11"/>
                <w:szCs w:val="11"/>
                <w:color w:val="auto"/>
                <w:w w:val="98"/>
              </w:rPr>
              <w:t>Common Equity</w:t>
            </w: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PennantPark Senior Secured Loan Fund I, LLC(6)</w:t>
            </w:r>
          </w:p>
        </w:tc>
        <w:tc>
          <w:tcPr>
            <w:tcW w:w="2040" w:type="dxa"/>
            <w:vAlign w:val="bottom"/>
          </w:tcPr>
          <w:p>
            <w:pPr>
              <w:jc w:val="center"/>
              <w:ind w:left="445"/>
              <w:spacing w:after="0"/>
              <w:rPr>
                <w:sz w:val="20"/>
                <w:szCs w:val="20"/>
                <w:color w:val="auto"/>
              </w:rPr>
            </w:pPr>
            <w:r>
              <w:rPr>
                <w:rFonts w:ascii="Times New Roman" w:cs="Times New Roman" w:eastAsia="Times New Roman" w:hAnsi="Times New Roman"/>
                <w:sz w:val="11"/>
                <w:szCs w:val="11"/>
                <w:color w:val="auto"/>
              </w:rPr>
              <w:t>Financial Services</w:t>
            </w:r>
          </w:p>
        </w:tc>
        <w:tc>
          <w:tcPr>
            <w:tcW w:w="1820" w:type="dxa"/>
            <w:vAlign w:val="bottom"/>
          </w:tcPr>
          <w:p>
            <w:pPr>
              <w:jc w:val="center"/>
              <w:ind w:right="85"/>
              <w:spacing w:after="0"/>
              <w:rPr>
                <w:sz w:val="20"/>
                <w:szCs w:val="20"/>
                <w:color w:val="auto"/>
              </w:rPr>
            </w:pPr>
            <w:r>
              <w:rPr>
                <w:rFonts w:ascii="Times New Roman" w:cs="Times New Roman" w:eastAsia="Times New Roman" w:hAnsi="Times New Roman"/>
                <w:sz w:val="11"/>
                <w:szCs w:val="11"/>
                <w:color w:val="auto"/>
                <w:w w:val="99"/>
              </w:rPr>
              <w:t>First Lien Secured Debt,</w:t>
            </w:r>
          </w:p>
        </w:tc>
        <w:tc>
          <w:tcPr>
            <w:tcW w:w="94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50.0%(3)</w:t>
            </w:r>
          </w:p>
        </w:tc>
        <w:tc>
          <w:tcPr>
            <w:tcW w:w="16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239,615</w:t>
            </w:r>
          </w:p>
        </w:tc>
        <w:tc>
          <w:tcPr>
            <w:tcW w:w="0" w:type="dxa"/>
            <w:vAlign w:val="bottom"/>
          </w:tcPr>
          <w:p>
            <w:pPr>
              <w:spacing w:after="0"/>
              <w:rPr>
                <w:sz w:val="1"/>
                <w:szCs w:val="1"/>
                <w:color w:val="auto"/>
              </w:rPr>
            </w:pPr>
          </w:p>
        </w:tc>
      </w:tr>
      <w:tr>
        <w:trPr>
          <w:trHeight w:val="114"/>
        </w:trPr>
        <w:tc>
          <w:tcPr>
            <w:tcW w:w="2940" w:type="dxa"/>
            <w:vAlign w:val="bottom"/>
            <w:gridSpan w:val="2"/>
          </w:tcPr>
          <w:p>
            <w:pPr>
              <w:spacing w:after="0" w:line="114" w:lineRule="exact"/>
              <w:rPr>
                <w:sz w:val="20"/>
                <w:szCs w:val="20"/>
                <w:color w:val="auto"/>
              </w:rPr>
            </w:pPr>
            <w:r>
              <w:rPr>
                <w:rFonts w:ascii="Times New Roman" w:cs="Times New Roman" w:eastAsia="Times New Roman" w:hAnsi="Times New Roman"/>
                <w:sz w:val="11"/>
                <w:szCs w:val="11"/>
                <w:color w:val="auto"/>
              </w:rPr>
              <w:t>1691 Michigan Avenue</w:t>
            </w:r>
          </w:p>
        </w:tc>
        <w:tc>
          <w:tcPr>
            <w:tcW w:w="2040" w:type="dxa"/>
            <w:vAlign w:val="bottom"/>
          </w:tcPr>
          <w:p>
            <w:pPr>
              <w:spacing w:after="0"/>
              <w:rPr>
                <w:sz w:val="9"/>
                <w:szCs w:val="9"/>
                <w:color w:val="auto"/>
              </w:rPr>
            </w:pPr>
          </w:p>
        </w:tc>
        <w:tc>
          <w:tcPr>
            <w:tcW w:w="1820" w:type="dxa"/>
            <w:vAlign w:val="bottom"/>
          </w:tcPr>
          <w:p>
            <w:pPr>
              <w:jc w:val="center"/>
              <w:ind w:right="85"/>
              <w:spacing w:after="0" w:line="114" w:lineRule="exact"/>
              <w:rPr>
                <w:sz w:val="20"/>
                <w:szCs w:val="20"/>
                <w:color w:val="auto"/>
              </w:rPr>
            </w:pPr>
            <w:r>
              <w:rPr>
                <w:rFonts w:ascii="Times New Roman" w:cs="Times New Roman" w:eastAsia="Times New Roman" w:hAnsi="Times New Roman"/>
                <w:sz w:val="11"/>
                <w:szCs w:val="11"/>
                <w:color w:val="auto"/>
              </w:rPr>
              <w:t>3M L+800, 05/06/2024</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Miami, FL 33139</w:t>
            </w:r>
          </w:p>
        </w:tc>
        <w:tc>
          <w:tcPr>
            <w:tcW w:w="2040" w:type="dxa"/>
            <w:vAlign w:val="bottom"/>
          </w:tcPr>
          <w:p>
            <w:pPr>
              <w:spacing w:after="0"/>
              <w:rPr>
                <w:sz w:val="12"/>
                <w:szCs w:val="12"/>
                <w:color w:val="auto"/>
              </w:rPr>
            </w:pPr>
          </w:p>
        </w:tc>
        <w:tc>
          <w:tcPr>
            <w:tcW w:w="1820" w:type="dxa"/>
            <w:vAlign w:val="bottom"/>
          </w:tcPr>
          <w:p>
            <w:pPr>
              <w:jc w:val="center"/>
              <w:ind w:right="85"/>
              <w:spacing w:after="0"/>
              <w:rPr>
                <w:sz w:val="20"/>
                <w:szCs w:val="20"/>
                <w:color w:val="auto"/>
              </w:rPr>
            </w:pPr>
            <w:r>
              <w:rPr>
                <w:rFonts w:ascii="Times New Roman" w:cs="Times New Roman" w:eastAsia="Times New Roman" w:hAnsi="Times New Roman"/>
                <w:sz w:val="11"/>
                <w:szCs w:val="11"/>
                <w:color w:val="auto"/>
                <w:w w:val="98"/>
              </w:rPr>
              <w:t>Common Equity</w:t>
            </w:r>
          </w:p>
        </w:tc>
        <w:tc>
          <w:tcPr>
            <w:tcW w:w="9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1"/>
                <w:szCs w:val="11"/>
                <w:color w:val="auto"/>
              </w:rPr>
              <w:t>Total Investments</w:t>
            </w:r>
          </w:p>
        </w:tc>
        <w:tc>
          <w:tcPr>
            <w:tcW w:w="204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1,164,254</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78740</wp:posOffset>
            </wp:positionV>
            <wp:extent cx="59245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92455" cy="6350"/>
                    </a:xfrm>
                    <a:prstGeom prst="rect">
                      <a:avLst/>
                    </a:prstGeom>
                    <a:noFill/>
                  </pic:spPr>
                </pic:pic>
              </a:graphicData>
            </a:graphic>
          </wp:anchor>
        </w:drawing>
      </w:r>
    </w:p>
    <w:p>
      <w:pPr>
        <w:spacing w:after="0" w:line="118" w:lineRule="exact"/>
        <w:rPr>
          <w:sz w:val="20"/>
          <w:szCs w:val="20"/>
          <w:color w:val="auto"/>
        </w:rPr>
      </w:pPr>
    </w:p>
    <w:p>
      <w:pPr>
        <w:ind w:left="600" w:right="319" w:hanging="327"/>
        <w:spacing w:after="0" w:line="220" w:lineRule="auto"/>
        <w:tabs>
          <w:tab w:leader="none" w:pos="60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London Interbank Offered Rate, or LIBOR or “L,” the Euro Interbank Offered Rate, or EURIBOR or “E,” , or Secured Overnight Financing Rate, or “SOFR”, or Prime rate, or “P.” The spread may change based on the type of rate used. The terms disclosed are the actual interest rate in effect as 09/30/2022. LIBOR loans are typically indexed to a 30-day, 90-day or 180-day LIBOR rate (1M L, 3M L, or 6M L, respectively), and EURIBOR loans are typically indexed to a 90-day EURIBOR rate (3M E), SOFR loans are typically indexed to a 30-day, 90-day or 180-day SOFR rates (1M L, 3M L, or 6M L, respectively) at the borrower’s option. All securities are subject to a LIBOR, SOFR or Prime rate floor where a spread is provided, unless noted. The spread provided includes PIK interest and other fee rates, if any.</w:t>
      </w:r>
    </w:p>
    <w:p>
      <w:pPr>
        <w:ind w:left="600" w:hanging="327"/>
        <w:spacing w:after="0" w:line="216" w:lineRule="auto"/>
        <w:tabs>
          <w:tab w:leader="none" w:pos="60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Voting ownership percentage refers only to common equity, preferred equity and warrants held, if any, were we to have voting rights.</w:t>
      </w:r>
    </w:p>
    <w:p>
      <w:pPr>
        <w:ind w:left="600" w:hanging="327"/>
        <w:spacing w:after="0" w:line="216" w:lineRule="auto"/>
        <w:tabs>
          <w:tab w:leader="none" w:pos="60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hold one or more voting seats on the portfolio company’s board of directors/managers.</w:t>
      </w:r>
    </w:p>
    <w:p>
      <w:pPr>
        <w:ind w:left="600" w:right="319" w:hanging="327"/>
        <w:spacing w:after="0" w:line="216" w:lineRule="auto"/>
        <w:tabs>
          <w:tab w:leader="none" w:pos="60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the purchase of a security with delayed settlement or a revolving line of credit that is currently an unfunded investment, that does not earn a basis point spread above an index while it is unfunded.</w:t>
      </w:r>
    </w:p>
    <w:p>
      <w:pPr>
        <w:ind w:left="600" w:hanging="327"/>
        <w:spacing w:after="0" w:line="216" w:lineRule="auto"/>
        <w:tabs>
          <w:tab w:leader="none" w:pos="60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Investment is held through our Taxable Subsidiary.</w:t>
      </w:r>
    </w:p>
    <w:p>
      <w:pPr>
        <w:ind w:left="600" w:right="599" w:hanging="327"/>
        <w:spacing w:after="0" w:line="216" w:lineRule="auto"/>
        <w:tabs>
          <w:tab w:leader="none" w:pos="60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81% of the Company’s total assets and non-qualifying assets represent 19% of the Company’s total assets.</w:t>
      </w:r>
    </w:p>
    <w:p>
      <w:pPr>
        <w:ind w:left="600" w:hanging="327"/>
        <w:spacing w:after="0"/>
        <w:tabs>
          <w:tab w:leader="none" w:pos="60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Less than 0.1% voting ownership percentage.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3" w:right="1440" w:bottom="1440" w:gutter="0" w:footer="0" w:header="0"/>
          <w:type w:val="continuous"/>
        </w:sectPr>
      </w:pPr>
    </w:p>
    <w:bookmarkStart w:id="56" w:name="page57"/>
    <w:bookmarkEnd w:id="56"/>
    <w:p>
      <w:pPr>
        <w:ind w:left="280" w:right="339"/>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Set forth below is a brief description of each portfolio company in which we have made an investment that represents greater than 5% of our total assets as of September 30, 2022:</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u w:val="single" w:color="auto"/>
          <w:color w:val="auto"/>
        </w:rPr>
        <w:t>PennantParkSenior Secured Loan Fund I, LLC (Financial Services)</w:t>
      </w:r>
    </w:p>
    <w:p>
      <w:pPr>
        <w:spacing w:after="0" w:line="88" w:lineRule="exact"/>
        <w:rPr>
          <w:sz w:val="20"/>
          <w:szCs w:val="20"/>
          <w:color w:val="auto"/>
        </w:rPr>
      </w:pPr>
    </w:p>
    <w:p>
      <w:pPr>
        <w:ind w:left="620" w:right="459"/>
        <w:spacing w:after="0" w:line="277" w:lineRule="auto"/>
        <w:rPr>
          <w:sz w:val="20"/>
          <w:szCs w:val="20"/>
          <w:color w:val="auto"/>
        </w:rPr>
      </w:pPr>
      <w:r>
        <w:rPr>
          <w:rFonts w:ascii="Times New Roman" w:cs="Times New Roman" w:eastAsia="Times New Roman" w:hAnsi="Times New Roman"/>
          <w:sz w:val="14"/>
          <w:szCs w:val="14"/>
          <w:color w:val="auto"/>
        </w:rPr>
        <w:t>PSSL is an unconsolidated joint venture between the Company and certain entities of Kemper Insurance Corporation, or Kemper, which invests primarily in floating rate loans, with an emphasis on senior secured loans, in middle-market leveraged companies.</w:t>
      </w:r>
    </w:p>
    <w:p>
      <w:pPr>
        <w:spacing w:after="0" w:line="43" w:lineRule="exact"/>
        <w:rPr>
          <w:sz w:val="20"/>
          <w:szCs w:val="20"/>
          <w:color w:val="auto"/>
        </w:rPr>
      </w:pPr>
    </w:p>
    <w:p>
      <w:pPr>
        <w:ind w:left="280" w:right="519"/>
        <w:spacing w:after="0" w:line="277" w:lineRule="auto"/>
        <w:rPr>
          <w:sz w:val="20"/>
          <w:szCs w:val="20"/>
          <w:color w:val="auto"/>
        </w:rPr>
      </w:pPr>
      <w:r>
        <w:rPr>
          <w:rFonts w:ascii="Times New Roman" w:cs="Times New Roman" w:eastAsia="Times New Roman" w:hAnsi="Times New Roman"/>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30" w:lineRule="exact"/>
        <w:rPr>
          <w:sz w:val="20"/>
          <w:szCs w:val="20"/>
          <w:color w:val="auto"/>
        </w:rPr>
      </w:pPr>
    </w:p>
    <w:tbl>
      <w:tblPr>
        <w:tblLayout w:type="fixed"/>
        <w:tblInd w:w="960" w:type="dxa"/>
        <w:tblCellMar>
          <w:top w:w="0" w:type="dxa"/>
          <w:left w:w="0" w:type="dxa"/>
          <w:bottom w:w="0" w:type="dxa"/>
          <w:right w:w="0" w:type="dxa"/>
        </w:tblCellMar>
      </w:tblPr>
      <w:tr>
        <w:trPr>
          <w:trHeight w:val="126"/>
        </w:trPr>
        <w:tc>
          <w:tcPr>
            <w:tcW w:w="10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8"/>
              </w:rPr>
              <w:t>Industry Classification</w:t>
            </w:r>
          </w:p>
        </w:tc>
        <w:tc>
          <w:tcPr>
            <w:tcW w:w="2120" w:type="dxa"/>
            <w:vAlign w:val="bottom"/>
            <w:vMerge w:val="restart"/>
          </w:tcPr>
          <w:p>
            <w:pPr>
              <w:spacing w:after="0"/>
              <w:rPr>
                <w:sz w:val="11"/>
                <w:szCs w:val="11"/>
                <w:color w:val="auto"/>
              </w:rPr>
            </w:pPr>
          </w:p>
        </w:tc>
        <w:tc>
          <w:tcPr>
            <w:tcW w:w="2680" w:type="dxa"/>
            <w:vAlign w:val="bottom"/>
            <w:gridSpan w:val="3"/>
          </w:tcPr>
          <w:p>
            <w:pPr>
              <w:jc w:val="center"/>
              <w:ind w:left="927"/>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1220" w:type="dxa"/>
            <w:vAlign w:val="bottom"/>
            <w:gridSpan w:val="3"/>
          </w:tcPr>
          <w:p>
            <w:pPr>
              <w:jc w:val="center"/>
              <w:ind w:left="167"/>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2160" w:type="dxa"/>
            <w:vAlign w:val="bottom"/>
            <w:gridSpan w:val="2"/>
          </w:tcPr>
          <w:p>
            <w:pPr>
              <w:jc w:val="right"/>
              <w:ind w:right="91"/>
              <w:spacing w:after="0" w:line="123" w:lineRule="exact"/>
              <w:rPr>
                <w:sz w:val="20"/>
                <w:szCs w:val="20"/>
                <w:color w:val="auto"/>
              </w:rPr>
            </w:pPr>
            <w:r>
              <w:rPr>
                <w:rFonts w:ascii="Times New Roman" w:cs="Times New Roman" w:eastAsia="Times New Roman" w:hAnsi="Times New Roman"/>
                <w:sz w:val="11"/>
                <w:szCs w:val="11"/>
                <w:b w:val="1"/>
                <w:bCs w:val="1"/>
                <w:color w:val="auto"/>
              </w:rPr>
              <w:t>2022(1)</w:t>
            </w:r>
          </w:p>
        </w:tc>
        <w:tc>
          <w:tcPr>
            <w:tcW w:w="520" w:type="dxa"/>
            <w:vAlign w:val="bottom"/>
          </w:tcPr>
          <w:p>
            <w:pPr>
              <w:spacing w:after="0"/>
              <w:rPr>
                <w:sz w:val="10"/>
                <w:szCs w:val="10"/>
                <w:color w:val="auto"/>
              </w:rPr>
            </w:pPr>
          </w:p>
        </w:tc>
        <w:tc>
          <w:tcPr>
            <w:tcW w:w="1060" w:type="dxa"/>
            <w:vAlign w:val="bottom"/>
            <w:gridSpan w:val="2"/>
          </w:tcPr>
          <w:p>
            <w:pPr>
              <w:jc w:val="right"/>
              <w:ind w:right="91"/>
              <w:spacing w:after="0" w:line="123" w:lineRule="exact"/>
              <w:rPr>
                <w:sz w:val="20"/>
                <w:szCs w:val="20"/>
                <w:color w:val="auto"/>
              </w:rPr>
            </w:pPr>
            <w:r>
              <w:rPr>
                <w:rFonts w:ascii="Times New Roman" w:cs="Times New Roman" w:eastAsia="Times New Roman" w:hAnsi="Times New Roman"/>
                <w:sz w:val="11"/>
                <w:szCs w:val="11"/>
                <w:b w:val="1"/>
                <w:bCs w:val="1"/>
                <w:color w:val="auto"/>
              </w:rPr>
              <w:t>2021(1)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15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gridSpan w:val="2"/>
            <w:vMerge w:val="continue"/>
            <w:shd w:val="clear" w:color="auto" w:fill="CCEEFF"/>
          </w:tcPr>
          <w:p>
            <w:pPr>
              <w:spacing w:after="0"/>
              <w:rPr>
                <w:sz w:val="12"/>
                <w:szCs w:val="12"/>
                <w:color w:val="auto"/>
              </w:rPr>
            </w:pPr>
          </w:p>
        </w:tc>
        <w:tc>
          <w:tcPr>
            <w:tcW w:w="1500" w:type="dxa"/>
            <w:vAlign w:val="bottom"/>
            <w:vMerge w:val="continue"/>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7" w:lineRule="exact"/>
              <w:rPr>
                <w:sz w:val="20"/>
                <w:szCs w:val="20"/>
                <w:color w:val="auto"/>
              </w:rPr>
            </w:pPr>
            <w:r>
              <w:rPr>
                <w:rFonts w:ascii="Times New Roman" w:cs="Times New Roman" w:eastAsia="Times New Roman" w:hAnsi="Times New Roman"/>
                <w:sz w:val="14"/>
                <w:szCs w:val="14"/>
                <w:color w:val="auto"/>
              </w:rPr>
              <w:t>9%</w:t>
            </w:r>
          </w:p>
        </w:tc>
        <w:tc>
          <w:tcPr>
            <w:tcW w:w="40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ind w:left="600"/>
              <w:spacing w:after="0" w:line="147"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Media</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7</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Personal Products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7</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 Services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6</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Services &amp; Supplies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5</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High Tech Industries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5</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Media: Diversified and Production</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5</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5</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Aerospace and Defense</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4</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Equipment</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4</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4</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Healthcare Technology</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4</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Business Services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3</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Construction and Building</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3</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Electronic Equipment, Instruments, and Components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3</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Healthcare Providers and Service</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3</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2</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Services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2</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Distributors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2</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2</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Healthcare Equipment and Supplies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2</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2</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Media: Broadcasting and Subscription</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2</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Air Freight and Logistics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Automobiles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Banking, Finance, Insurance &amp; Real Estate</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Building Products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Energy Equipment and Services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Services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Food Products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Hotels, Restaurants and Leisure</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Leisure Products</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Textiles, Apparel and Luxury Goods</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Wholesale</w:t>
            </w:r>
          </w:p>
        </w:tc>
        <w:tc>
          <w:tcPr>
            <w:tcW w:w="216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0"/>
                <w:szCs w:val="10"/>
                <w:color w:val="auto"/>
                <w:w w:val="79"/>
              </w:rPr>
              <w:t>1</w:t>
            </w:r>
          </w:p>
        </w:tc>
        <w:tc>
          <w:tcPr>
            <w:tcW w:w="5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0"/>
                <w:szCs w:val="10"/>
                <w:color w:val="auto"/>
                <w:w w:val="79"/>
              </w:rPr>
              <w:t>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Construction &amp; Engineering</w:t>
            </w:r>
          </w:p>
        </w:tc>
        <w:tc>
          <w:tcPr>
            <w:tcW w:w="2160" w:type="dxa"/>
            <w:vAlign w:val="bottom"/>
            <w:gridSpan w:val="2"/>
          </w:tcPr>
          <w:p>
            <w:pPr>
              <w:ind w:left="2100"/>
              <w:spacing w:after="0"/>
              <w:rPr>
                <w:sz w:val="20"/>
                <w:szCs w:val="20"/>
                <w:color w:val="auto"/>
              </w:rPr>
            </w:pPr>
            <w:r>
              <w:rPr>
                <w:rFonts w:ascii="Times New Roman" w:cs="Times New Roman" w:eastAsia="Times New Roman" w:hAnsi="Times New Roman"/>
                <w:sz w:val="10"/>
                <w:szCs w:val="10"/>
                <w:color w:val="auto"/>
                <w:w w:val="79"/>
              </w:rPr>
              <w:t>0</w:t>
            </w:r>
          </w:p>
        </w:tc>
        <w:tc>
          <w:tcPr>
            <w:tcW w:w="520" w:type="dxa"/>
            <w:vAlign w:val="bottom"/>
          </w:tcPr>
          <w:p>
            <w:pPr>
              <w:spacing w:after="0"/>
              <w:rPr>
                <w:sz w:val="14"/>
                <w:szCs w:val="14"/>
                <w:color w:val="auto"/>
              </w:rPr>
            </w:pPr>
          </w:p>
        </w:tc>
        <w:tc>
          <w:tcPr>
            <w:tcW w:w="1060" w:type="dxa"/>
            <w:vAlign w:val="bottom"/>
            <w:gridSpan w:val="2"/>
          </w:tcPr>
          <w:p>
            <w:pPr>
              <w:ind w:left="1000"/>
              <w:spacing w:after="0"/>
              <w:rPr>
                <w:sz w:val="20"/>
                <w:szCs w:val="20"/>
                <w:color w:val="auto"/>
              </w:rPr>
            </w:pPr>
            <w:r>
              <w:rPr>
                <w:rFonts w:ascii="Times New Roman" w:cs="Times New Roman" w:eastAsia="Times New Roman" w:hAnsi="Times New Roman"/>
                <w:sz w:val="10"/>
                <w:szCs w:val="10"/>
                <w:color w:val="auto"/>
                <w:w w:val="79"/>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Hotel, Gaming and Leisure</w:t>
            </w:r>
          </w:p>
        </w:tc>
        <w:tc>
          <w:tcPr>
            <w:tcW w:w="2680" w:type="dxa"/>
            <w:vAlign w:val="bottom"/>
            <w:gridSpan w:val="3"/>
            <w:shd w:val="clear" w:color="auto" w:fill="CCEEFF"/>
          </w:tcPr>
          <w:p>
            <w:pPr>
              <w:ind w:left="2100"/>
              <w:spacing w:after="0"/>
              <w:rPr>
                <w:sz w:val="20"/>
                <w:szCs w:val="20"/>
                <w:color w:val="auto"/>
              </w:rPr>
            </w:pPr>
            <w:r>
              <w:rPr>
                <w:rFonts w:ascii="Times New Roman" w:cs="Times New Roman" w:eastAsia="Times New Roman" w:hAnsi="Times New Roman"/>
                <w:sz w:val="14"/>
                <w:szCs w:val="14"/>
                <w:color w:val="auto"/>
              </w:rPr>
              <w:t>0%</w:t>
            </w:r>
          </w:p>
        </w:tc>
        <w:tc>
          <w:tcPr>
            <w:tcW w:w="122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80"/>
        </w:trPr>
        <w:tc>
          <w:tcPr>
            <w:tcW w:w="1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00" w:type="dxa"/>
            <w:vAlign w:val="bottom"/>
          </w:tcPr>
          <w:p>
            <w:pPr>
              <w:jc w:val="right"/>
              <w:ind w:right="1027"/>
              <w:spacing w:after="0"/>
              <w:rPr>
                <w:sz w:val="20"/>
                <w:szCs w:val="20"/>
                <w:color w:val="auto"/>
              </w:rPr>
            </w:pPr>
            <w:r>
              <w:rPr>
                <w:rFonts w:ascii="Times New Roman" w:cs="Times New Roman" w:eastAsia="Times New Roman" w:hAnsi="Times New Roman"/>
                <w:sz w:val="14"/>
                <w:szCs w:val="14"/>
                <w:color w:val="auto"/>
              </w:rPr>
              <w:t>29</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0" w:right="1440" w:bottom="1440" w:gutter="0" w:footer="0" w:header="0"/>
        </w:sectPr>
      </w:pPr>
    </w:p>
    <w:bookmarkStart w:id="57" w:name="page58"/>
    <w:bookmarkEnd w:id="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02805" cy="45720"/>
                    </a:xfrm>
                    <a:prstGeom prst="rect">
                      <a:avLst/>
                    </a:prstGeom>
                    <a:noFill/>
                  </pic:spPr>
                </pic:pic>
              </a:graphicData>
            </a:graphic>
          </wp:anchor>
        </w:drawing>
      </w:r>
    </w:p>
    <w:tbl>
      <w:tblPr>
        <w:tblLayout w:type="fixed"/>
        <w:tblInd w:w="960" w:type="dxa"/>
        <w:tblCellMar>
          <w:top w:w="0" w:type="dxa"/>
          <w:left w:w="0" w:type="dxa"/>
          <w:bottom w:w="0" w:type="dxa"/>
          <w:right w:w="0" w:type="dxa"/>
        </w:tblCellMar>
      </w:tblPr>
      <w:tr>
        <w:trPr>
          <w:trHeight w:val="126"/>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Industry Classification</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23"/>
        </w:trPr>
        <w:tc>
          <w:tcPr>
            <w:tcW w:w="3640" w:type="dxa"/>
            <w:vAlign w:val="bottom"/>
            <w:gridSpan w:val="3"/>
            <w:vMerge w:val="continue"/>
          </w:tcPr>
          <w:p>
            <w:pPr>
              <w:spacing w:after="0"/>
              <w:rPr>
                <w:sz w:val="10"/>
                <w:szCs w:val="10"/>
                <w:color w:val="auto"/>
              </w:rPr>
            </w:pPr>
          </w:p>
        </w:tc>
        <w:tc>
          <w:tcPr>
            <w:tcW w:w="1860" w:type="dxa"/>
            <w:vAlign w:val="bottom"/>
            <w:gridSpan w:val="2"/>
          </w:tcPr>
          <w:p>
            <w:pPr>
              <w:jc w:val="right"/>
              <w:ind w:right="111"/>
              <w:spacing w:after="0" w:line="123" w:lineRule="exact"/>
              <w:rPr>
                <w:sz w:val="20"/>
                <w:szCs w:val="20"/>
                <w:color w:val="auto"/>
              </w:rPr>
            </w:pPr>
            <w:r>
              <w:rPr>
                <w:rFonts w:ascii="Times New Roman" w:cs="Times New Roman" w:eastAsia="Times New Roman" w:hAnsi="Times New Roman"/>
                <w:sz w:val="11"/>
                <w:szCs w:val="11"/>
                <w:b w:val="1"/>
                <w:bCs w:val="1"/>
                <w:color w:val="auto"/>
              </w:rPr>
              <w:t>2022(1)</w:t>
            </w:r>
          </w:p>
        </w:tc>
        <w:tc>
          <w:tcPr>
            <w:tcW w:w="1440" w:type="dxa"/>
            <w:vAlign w:val="bottom"/>
            <w:gridSpan w:val="2"/>
          </w:tcPr>
          <w:p>
            <w:pPr>
              <w:jc w:val="right"/>
              <w:ind w:right="91"/>
              <w:spacing w:after="0" w:line="123" w:lineRule="exact"/>
              <w:rPr>
                <w:sz w:val="20"/>
                <w:szCs w:val="20"/>
                <w:color w:val="auto"/>
              </w:rPr>
            </w:pPr>
            <w:r>
              <w:rPr>
                <w:rFonts w:ascii="Times New Roman" w:cs="Times New Roman" w:eastAsia="Times New Roman" w:hAnsi="Times New Roman"/>
                <w:sz w:val="11"/>
                <w:szCs w:val="11"/>
                <w:b w:val="1"/>
                <w:bCs w:val="1"/>
                <w:color w:val="auto"/>
              </w:rPr>
              <w:t>2021(1)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Media: Advertising, Printing and Publishing</w:t>
            </w:r>
          </w:p>
        </w:tc>
        <w:tc>
          <w:tcPr>
            <w:tcW w:w="1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0</w:t>
            </w:r>
          </w:p>
        </w:tc>
        <w:tc>
          <w:tcPr>
            <w:tcW w:w="7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Other</w:t>
            </w:r>
          </w:p>
        </w:tc>
        <w:tc>
          <w:tcPr>
            <w:tcW w:w="11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86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rPr>
              <w:t>100%</w:t>
            </w: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280"/>
        <w:spacing w:after="0"/>
        <w:tabs>
          <w:tab w:leader="none" w:pos="580" w:val="left"/>
        </w:tabs>
        <w:rPr>
          <w:sz w:val="20"/>
          <w:szCs w:val="20"/>
          <w:color w:val="auto"/>
        </w:rPr>
      </w:pPr>
      <w:r>
        <w:rPr>
          <w:rFonts w:ascii="Times New Roman" w:cs="Times New Roman" w:eastAsia="Times New Roman" w:hAnsi="Times New Roman"/>
          <w:sz w:val="14"/>
          <w:szCs w:val="14"/>
          <w:color w:val="auto"/>
        </w:rPr>
        <w:t>(1)</w:t>
        <w:tab/>
        <w:t>Excludes investments in PSSL.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-99060</wp:posOffset>
            </wp:positionV>
            <wp:extent cx="59245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92455" cy="6350"/>
                    </a:xfrm>
                    <a:prstGeom prst="rect">
                      <a:avLst/>
                    </a:prstGeom>
                    <a:noFill/>
                  </pic:spPr>
                </pic:pic>
              </a:graphicData>
            </a:graphic>
          </wp:anchor>
        </w:drawing>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3" w:right="1440"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PORTFOLIO MANAGEMENT</w:t>
      </w:r>
    </w:p>
    <w:p>
      <w:pPr>
        <w:spacing w:after="0" w:line="173" w:lineRule="exact"/>
        <w:rPr>
          <w:sz w:val="20"/>
          <w:szCs w:val="20"/>
          <w:color w:val="auto"/>
        </w:rPr>
      </w:pPr>
    </w:p>
    <w:p>
      <w:pPr>
        <w:ind w:left="280" w:right="319" w:firstLine="338"/>
        <w:spacing w:after="0" w:line="251" w:lineRule="auto"/>
        <w:rPr>
          <w:sz w:val="20"/>
          <w:szCs w:val="20"/>
          <w:color w:val="auto"/>
        </w:rPr>
      </w:pPr>
      <w:r>
        <w:rPr>
          <w:rFonts w:ascii="Times New Roman" w:cs="Times New Roman" w:eastAsia="Times New Roman" w:hAnsi="Times New Roman"/>
          <w:sz w:val="14"/>
          <w:szCs w:val="14"/>
          <w:color w:val="auto"/>
        </w:rPr>
        <w:t>Our Investment Adviser, which manages our day-to-day investment activities under the supervision of our board of directors, has seven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44" w:lineRule="exact"/>
        <w:rPr>
          <w:sz w:val="20"/>
          <w:szCs w:val="20"/>
          <w:color w:val="auto"/>
        </w:rPr>
      </w:pPr>
    </w:p>
    <w:p>
      <w:pPr>
        <w:ind w:left="280" w:right="319" w:firstLine="338"/>
        <w:spacing w:after="0" w:line="250" w:lineRule="auto"/>
        <w:rPr>
          <w:sz w:val="20"/>
          <w:szCs w:val="20"/>
          <w:color w:val="auto"/>
        </w:rPr>
      </w:pPr>
      <w:r>
        <w:rPr>
          <w:rFonts w:ascii="Times New Roman" w:cs="Times New Roman" w:eastAsia="Times New Roman" w:hAnsi="Times New Roman"/>
          <w:sz w:val="14"/>
          <w:szCs w:val="14"/>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48" w:lineRule="exact"/>
        <w:rPr>
          <w:sz w:val="20"/>
          <w:szCs w:val="20"/>
          <w:color w:val="auto"/>
        </w:rPr>
      </w:pPr>
    </w:p>
    <w:p>
      <w:pPr>
        <w:ind w:left="280" w:right="319" w:firstLine="338"/>
        <w:spacing w:after="0" w:line="254" w:lineRule="auto"/>
        <w:rPr>
          <w:sz w:val="20"/>
          <w:szCs w:val="20"/>
          <w:color w:val="auto"/>
        </w:rPr>
      </w:pPr>
      <w:r>
        <w:rPr>
          <w:rFonts w:ascii="Times New Roman" w:cs="Times New Roman" w:eastAsia="Times New Roman" w:hAnsi="Times New Roman"/>
          <w:sz w:val="14"/>
          <w:szCs w:val="14"/>
          <w:color w:val="auto"/>
        </w:rPr>
        <w:t>José A. Briones joined PennantPark Investment Advisers in December 2009 and became a member of the Board of Directors of PennantPark Floating Rate Capital Ltd. on May 3, 2022.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44" w:lineRule="exact"/>
        <w:rPr>
          <w:sz w:val="20"/>
          <w:szCs w:val="20"/>
          <w:color w:val="auto"/>
        </w:rPr>
      </w:pPr>
    </w:p>
    <w:p>
      <w:pPr>
        <w:ind w:left="280" w:right="359" w:firstLine="338"/>
        <w:spacing w:after="0" w:line="254" w:lineRule="auto"/>
        <w:rPr>
          <w:sz w:val="20"/>
          <w:szCs w:val="20"/>
          <w:color w:val="auto"/>
        </w:rPr>
      </w:pPr>
      <w:r>
        <w:rPr>
          <w:rFonts w:ascii="Times New Roman" w:cs="Times New Roman" w:eastAsia="Times New Roman" w:hAnsi="Times New Roman"/>
          <w:sz w:val="14"/>
          <w:szCs w:val="14"/>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4" w:lineRule="exact"/>
        <w:rPr>
          <w:sz w:val="20"/>
          <w:szCs w:val="20"/>
          <w:color w:val="auto"/>
        </w:rPr>
      </w:pPr>
    </w:p>
    <w:p>
      <w:pPr>
        <w:ind w:left="280" w:right="619" w:firstLine="338"/>
        <w:spacing w:after="0" w:line="277" w:lineRule="auto"/>
        <w:rPr>
          <w:sz w:val="20"/>
          <w:szCs w:val="20"/>
          <w:color w:val="auto"/>
        </w:rPr>
      </w:pPr>
      <w:r>
        <w:rPr>
          <w:rFonts w:ascii="Times New Roman" w:cs="Times New Roman" w:eastAsia="Times New Roman" w:hAnsi="Times New Roman"/>
          <w:sz w:val="14"/>
          <w:szCs w:val="14"/>
          <w:color w:val="auto"/>
        </w:rPr>
        <w:t>Ryan Raskopf joined PennantPark Investment Advisers in August 2007. Previously, Mr. Raskopf was an Analyst in the Financial Institutions Group at Credit Suisse Securities (USA) LLC from 2005 to 2007.</w:t>
      </w:r>
    </w:p>
    <w:p>
      <w:pPr>
        <w:spacing w:after="0" w:line="126" w:lineRule="exact"/>
        <w:rPr>
          <w:sz w:val="20"/>
          <w:szCs w:val="20"/>
          <w:color w:val="auto"/>
        </w:rPr>
      </w:pPr>
    </w:p>
    <w:p>
      <w:pPr>
        <w:ind w:left="280" w:right="299" w:firstLine="338"/>
        <w:spacing w:after="0" w:line="257" w:lineRule="auto"/>
        <w:rPr>
          <w:sz w:val="20"/>
          <w:szCs w:val="20"/>
          <w:color w:val="auto"/>
        </w:rPr>
      </w:pPr>
      <w:r>
        <w:rPr>
          <w:rFonts w:ascii="Times New Roman" w:cs="Times New Roman" w:eastAsia="Times New Roman" w:hAnsi="Times New Roman"/>
          <w:sz w:val="14"/>
          <w:szCs w:val="14"/>
          <w:color w:val="auto"/>
        </w:rPr>
        <w:t>Dan Horn joined PennantPark Investment Advisers in June 2015. Previously, Mr. Horn spent two and a half years at Loop Capital Markets in the Corporate Investment Banking Division based in Chicago from 2013 to 2015, two years in a similar role at boutique firm TTK Partners from 2011 to 2013, and 12 years at Deutsche Bank Securities and its predecessor firm, Bankers Trust, from 1991 to 2003. He also served as Chief Financial Officer of Unicous Marketing from 2005 to 2008, and served as Vice President of Finance at GDX Automotive in 2004.</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58" w:right="1440" w:bottom="1440" w:gutter="0" w:footer="0" w:header="0"/>
        </w:sectPr>
      </w:pPr>
    </w:p>
    <w:bookmarkStart w:id="59" w:name="page60"/>
    <w:bookmarkEnd w:id="59"/>
    <w:p>
      <w:pPr>
        <w:ind w:left="280" w:right="1500" w:firstLine="338"/>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James Stone joined PennantPark Investment Advisers in July 2015. Previously, Mr. Stone was a Managing Director and Head of Financial Sponsor Coverage at Cowen and Company, which he joined in 2012. He has over 20 years of leveraged finance experience, including Managing Director positions at Gleacher &amp; Company, Macquarie Capital, Imperial Capital, and Credit Suisse. Before joining Credit Suisse, he served as a Vice President in the Financial Sponsor Coverage Group at DLJ, as an Associate in the Corporate Finance Department at BT Securities, and was an Associate at BT Alex. Brown.</w:t>
      </w:r>
    </w:p>
    <w:p>
      <w:pPr>
        <w:spacing w:after="0" w:line="144" w:lineRule="exact"/>
        <w:rPr>
          <w:sz w:val="20"/>
          <w:szCs w:val="20"/>
          <w:color w:val="auto"/>
        </w:rPr>
      </w:pPr>
    </w:p>
    <w:p>
      <w:pPr>
        <w:ind w:left="280" w:right="1500" w:firstLine="338"/>
        <w:spacing w:after="0" w:line="250" w:lineRule="auto"/>
        <w:rPr>
          <w:sz w:val="20"/>
          <w:szCs w:val="20"/>
          <w:color w:val="auto"/>
        </w:rPr>
      </w:pPr>
      <w:r>
        <w:rPr>
          <w:rFonts w:ascii="Times New Roman" w:cs="Times New Roman" w:eastAsia="Times New Roman" w:hAnsi="Times New Roman"/>
          <w:sz w:val="14"/>
          <w:szCs w:val="14"/>
          <w:color w:val="auto"/>
        </w:rPr>
        <w:t>Steve Winograd joined PennantPark Investment Advisers in September 2015. Previously, Mr. Winograd spent 33 years in Investment Banking, Restructuring Advisory and Private Equity Investing. His Investment Banking experience includes 25 years originating and executing leveraged finance, M&amp;A, and public and private equity transactions for private equity firms and their portfolio companies. During this period he held senior positions in the Financial Sponsors Groups of BMO Capital Markets from 2011 to 2015, Bank of America Merrill Lynch from 2004 to 2011, Deutsche Bank from 2000 to 2004, Bear Stearns from 1994 to 2000, and Drexel Burnham Lambert from 1984 to 1989. He was also an associate for two years in the Corporate Finance Group of Shearson/American Express from 1982 to 1984. His Restructuring Advisory experience includes four years originating, negotiating and consummating restructuring advisory assignments at The Argosy Group from 1992 to 1994 and the Mercury Financial Group from 1990 to 1992. His Private Equity experience includes two years originating and closing control private equity investments as a General Partner of The Blackstone Group from 1989 to 1990. He is also currently a Director of Mspark, LLC and previously served as an Independent Director of Shopko Stores, Caesars Entertainment Operating Company, The Gymboree Corporation, and Linn Acquisition Company, LLC.</w:t>
      </w:r>
    </w:p>
    <w:p>
      <w:pPr>
        <w:spacing w:after="0" w:line="148" w:lineRule="exact"/>
        <w:rPr>
          <w:sz w:val="20"/>
          <w:szCs w:val="20"/>
          <w:color w:val="auto"/>
        </w:rPr>
      </w:pPr>
    </w:p>
    <w:p>
      <w:pPr>
        <w:ind w:left="280" w:right="1600" w:firstLine="338"/>
        <w:spacing w:after="0" w:line="277" w:lineRule="auto"/>
        <w:rPr>
          <w:sz w:val="20"/>
          <w:szCs w:val="20"/>
          <w:color w:val="auto"/>
        </w:rPr>
      </w:pPr>
      <w:r>
        <w:rPr>
          <w:rFonts w:ascii="Times New Roman" w:cs="Times New Roman" w:eastAsia="Times New Roman" w:hAnsi="Times New Roman"/>
          <w:sz w:val="14"/>
          <w:szCs w:val="14"/>
          <w:color w:val="auto"/>
        </w:rPr>
        <w:t>In addition to managing our investments, as of September 30, 2022, our portfolio managers also managed investments on behalf of the following entities:</w:t>
      </w:r>
    </w:p>
    <w:p>
      <w:pPr>
        <w:sectPr>
          <w:pgSz w:w="11900" w:h="16838" w:orient="portrait"/>
          <w:cols w:equalWidth="0" w:num="1">
            <w:col w:w="10220"/>
          </w:cols>
          <w:pgMar w:left="1440" w:top="260" w:right="239" w:bottom="1440" w:gutter="0" w:footer="0" w:header="0"/>
        </w:sectPr>
      </w:pPr>
    </w:p>
    <w:p>
      <w:pPr>
        <w:spacing w:after="0" w:line="2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b w:val="1"/>
          <w:bCs w:val="1"/>
          <w:u w:val="single" w:color="auto"/>
          <w:color w:val="auto"/>
        </w:rPr>
        <w:t>Name</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PennantPark</w:t>
      </w:r>
    </w:p>
    <w:p>
      <w:pPr>
        <w:spacing w:after="0" w:line="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Investment</w:t>
      </w:r>
    </w:p>
    <w:p>
      <w:pPr>
        <w:spacing w:after="0" w:line="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Corporation</w:t>
      </w:r>
    </w:p>
    <w:p>
      <w:pPr>
        <w:spacing w:after="0" w:line="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PennantPark</w:t>
      </w:r>
    </w:p>
    <w:p>
      <w:pPr>
        <w:spacing w:after="0" w:line="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Senior</w:t>
      </w:r>
    </w:p>
    <w:p>
      <w:pPr>
        <w:spacing w:after="0" w:line="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Secured</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Loan Fund I</w:t>
      </w:r>
    </w:p>
    <w:p>
      <w:pPr>
        <w:spacing w:after="0" w:line="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LLC</w:t>
      </w:r>
    </w:p>
    <w:p>
      <w:pPr>
        <w:spacing w:after="0" w:line="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PennantPark</w:t>
      </w:r>
    </w:p>
    <w:p>
      <w:pPr>
        <w:spacing w:after="0" w:line="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Senior Loan</w:t>
      </w:r>
    </w:p>
    <w:p>
      <w:pPr>
        <w:spacing w:after="0" w:line="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Fund, LLC</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480"/>
        <w:spacing w:after="0"/>
        <w:tabs>
          <w:tab w:leader="none" w:pos="5020" w:val="left"/>
        </w:tabs>
        <w:rPr>
          <w:sz w:val="20"/>
          <w:szCs w:val="20"/>
          <w:color w:val="auto"/>
        </w:rPr>
      </w:pPr>
      <w:r>
        <w:rPr>
          <w:rFonts w:ascii="Times New Roman" w:cs="Times New Roman" w:eastAsia="Times New Roman" w:hAnsi="Times New Roman"/>
          <w:sz w:val="11"/>
          <w:szCs w:val="11"/>
          <w:b w:val="1"/>
          <w:bCs w:val="1"/>
          <w:color w:val="auto"/>
        </w:rPr>
        <w:t>Entity</w:t>
      </w:r>
      <w:r>
        <w:rPr>
          <w:sz w:val="20"/>
          <w:szCs w:val="20"/>
          <w:color w:val="auto"/>
        </w:rPr>
        <w:tab/>
      </w:r>
      <w:r>
        <w:rPr>
          <w:rFonts w:ascii="Times New Roman" w:cs="Times New Roman" w:eastAsia="Times New Roman" w:hAnsi="Times New Roman"/>
          <w:sz w:val="11"/>
          <w:szCs w:val="11"/>
          <w:b w:val="1"/>
          <w:bCs w:val="1"/>
          <w:color w:val="auto"/>
        </w:rPr>
        <w:t>Investment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10795</wp:posOffset>
            </wp:positionV>
            <wp:extent cx="6316345" cy="3162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6316345" cy="316230"/>
                    </a:xfrm>
                    <a:prstGeom prst="rect">
                      <a:avLst/>
                    </a:prstGeom>
                    <a:noFill/>
                  </pic:spPr>
                </pic:pic>
              </a:graphicData>
            </a:graphic>
          </wp:anchor>
        </w:drawing>
      </w:r>
    </w:p>
    <w:p>
      <w:pPr>
        <w:spacing w:after="0" w:line="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Business development Primarily in U.S. middle market companies in the form of first lien secured loans, second lien secured debt, subordinated debt and equity in company</w:t>
      </w:r>
    </w:p>
    <w:p>
      <w:pPr>
        <w:spacing w:after="0" w:line="21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4"/>
          <w:szCs w:val="14"/>
          <w:color w:val="auto"/>
        </w:rPr>
        <w:t>Joint Venture</w:t>
      </w:r>
      <w:r>
        <w:rPr>
          <w:sz w:val="20"/>
          <w:szCs w:val="20"/>
          <w:color w:val="auto"/>
        </w:rPr>
        <w:tab/>
      </w:r>
      <w:r>
        <w:rPr>
          <w:rFonts w:ascii="Times New Roman" w:cs="Times New Roman" w:eastAsia="Times New Roman" w:hAnsi="Times New Roman"/>
          <w:sz w:val="13"/>
          <w:szCs w:val="13"/>
          <w:color w:val="auto"/>
        </w:rPr>
        <w:t>Primarily Floating Rate Loans, with an emphasis on senior secured loans, in middle-market leveraged companies.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4"/>
          <w:szCs w:val="14"/>
          <w:color w:val="auto"/>
        </w:rPr>
        <w:t>Joint Venture</w:t>
      </w:r>
      <w:r>
        <w:rPr>
          <w:sz w:val="20"/>
          <w:szCs w:val="20"/>
          <w:color w:val="auto"/>
        </w:rPr>
        <w:tab/>
      </w:r>
      <w:r>
        <w:rPr>
          <w:rFonts w:ascii="Times New Roman" w:cs="Times New Roman" w:eastAsia="Times New Roman" w:hAnsi="Times New Roman"/>
          <w:sz w:val="13"/>
          <w:szCs w:val="13"/>
          <w:color w:val="auto"/>
        </w:rPr>
        <w:t>Primarily invests in middle-market and other corporate debt consistent with PennantPark Investment Corporation’s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-92075</wp:posOffset>
            </wp:positionV>
            <wp:extent cx="6316345" cy="3162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316345" cy="316230"/>
                    </a:xfrm>
                    <a:prstGeom prst="rect">
                      <a:avLst/>
                    </a:prstGeom>
                    <a:noFill/>
                  </pic:spPr>
                </pic:pic>
              </a:graphicData>
            </a:graphic>
          </wp:anchor>
        </w:drawing>
      </w:r>
    </w:p>
    <w:p>
      <w:pPr>
        <w:spacing w:after="0" w:line="420" w:lineRule="exact"/>
        <w:rPr>
          <w:sz w:val="20"/>
          <w:szCs w:val="20"/>
          <w:color w:val="auto"/>
        </w:rPr>
      </w:pPr>
    </w:p>
    <w:p>
      <w:pPr>
        <w:sectPr>
          <w:pgSz w:w="11900" w:h="16838" w:orient="portrait"/>
          <w:cols w:equalWidth="0" w:num="2">
            <w:col w:w="1100" w:space="80"/>
            <w:col w:w="9040"/>
          </w:cols>
          <w:pgMar w:left="1440" w:top="260" w:right="239" w:bottom="1440" w:gutter="0" w:footer="0" w:header="0"/>
          <w:type w:val="continuous"/>
        </w:sectPr>
      </w:pPr>
    </w:p>
    <w:p>
      <w:pPr>
        <w:ind w:left="280"/>
        <w:spacing w:after="0"/>
        <w:tabs>
          <w:tab w:leader="none" w:pos="1160" w:val="left"/>
        </w:tabs>
        <w:rPr>
          <w:sz w:val="20"/>
          <w:szCs w:val="20"/>
          <w:color w:val="auto"/>
        </w:rPr>
      </w:pPr>
      <w:r>
        <w:rPr>
          <w:rFonts w:ascii="Times New Roman" w:cs="Times New Roman" w:eastAsia="Times New Roman" w:hAnsi="Times New Roman"/>
          <w:sz w:val="14"/>
          <w:szCs w:val="14"/>
          <w:color w:val="auto"/>
        </w:rPr>
        <w:t>Other</w:t>
      </w:r>
      <w:r>
        <w:rPr>
          <w:sz w:val="20"/>
          <w:szCs w:val="20"/>
          <w:color w:val="auto"/>
        </w:rPr>
        <w:tab/>
      </w:r>
      <w:r>
        <w:rPr>
          <w:rFonts w:ascii="Times New Roman" w:cs="Times New Roman" w:eastAsia="Times New Roman" w:hAnsi="Times New Roman"/>
          <w:sz w:val="14"/>
          <w:szCs w:val="14"/>
          <w:color w:val="auto"/>
        </w:rPr>
        <w:t>Direct Lending Funds  Other credit opportunities</w:t>
      </w:r>
    </w:p>
    <w:p>
      <w:pPr>
        <w:spacing w:after="0" w:line="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Managed</w:t>
      </w:r>
    </w:p>
    <w:p>
      <w:pPr>
        <w:spacing w:after="0" w:line="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Funds</w:t>
      </w:r>
    </w:p>
    <w:p>
      <w:pPr>
        <w:spacing w:after="0" w:line="104" w:lineRule="exact"/>
        <w:rPr>
          <w:sz w:val="20"/>
          <w:szCs w:val="20"/>
          <w:color w:val="auto"/>
        </w:rPr>
      </w:pPr>
    </w:p>
    <w:p>
      <w:pPr>
        <w:jc w:val="right"/>
        <w:ind w:right="564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220"/>
          </w:cols>
          <w:pgMar w:left="1440" w:top="260" w:right="239" w:bottom="1440" w:gutter="0" w:footer="0" w:header="0"/>
          <w:type w:val="continuous"/>
        </w:sectPr>
      </w:pPr>
    </w:p>
    <w:bookmarkStart w:id="60" w:name="page61"/>
    <w:bookmarkEnd w:id="60"/>
    <w:p>
      <w:pPr>
        <w:ind w:left="280" w:right="299" w:firstLine="338"/>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following table sets forth the dollar range of our common stock beneficially owned by each of our senior investment professionals as of September 30, 2022. Information as to the beneficial ownerships is based on information furnished to us by such persons. We are not part of a “family of investment companies,” as that term is defined in the 1940 Act.</w:t>
      </w:r>
    </w:p>
    <w:p>
      <w:pPr>
        <w:spacing w:after="0" w:line="140"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6760" w:type="dxa"/>
            <w:vAlign w:val="bottom"/>
          </w:tcPr>
          <w:p>
            <w:pPr>
              <w:spacing w:after="0"/>
              <w:rPr>
                <w:sz w:val="11"/>
                <w:szCs w:val="11"/>
                <w:color w:val="auto"/>
              </w:rPr>
            </w:pP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Dollar Range of the</w:t>
            </w:r>
          </w:p>
        </w:tc>
      </w:tr>
      <w:tr>
        <w:trPr>
          <w:trHeight w:val="114"/>
        </w:trPr>
        <w:tc>
          <w:tcPr>
            <w:tcW w:w="6760" w:type="dxa"/>
            <w:vAlign w:val="bottom"/>
          </w:tcPr>
          <w:p>
            <w:pPr>
              <w:spacing w:after="0"/>
              <w:rPr>
                <w:sz w:val="9"/>
                <w:szCs w:val="9"/>
                <w:color w:val="auto"/>
              </w:rPr>
            </w:pPr>
          </w:p>
        </w:tc>
        <w:tc>
          <w:tcPr>
            <w:tcW w:w="1700" w:type="dxa"/>
            <w:vAlign w:val="bottom"/>
            <w:gridSpan w:val="2"/>
          </w:tcPr>
          <w:p>
            <w:pPr>
              <w:jc w:val="center"/>
              <w:ind w:right="80"/>
              <w:spacing w:after="0" w:line="114" w:lineRule="exact"/>
              <w:rPr>
                <w:sz w:val="20"/>
                <w:szCs w:val="20"/>
                <w:color w:val="auto"/>
              </w:rPr>
            </w:pPr>
            <w:r>
              <w:rPr>
                <w:rFonts w:ascii="Times New Roman" w:cs="Times New Roman" w:eastAsia="Times New Roman" w:hAnsi="Times New Roman"/>
                <w:sz w:val="11"/>
                <w:szCs w:val="11"/>
                <w:b w:val="1"/>
                <w:bCs w:val="1"/>
                <w:color w:val="auto"/>
              </w:rPr>
              <w:t>Common Stock of</w:t>
            </w:r>
          </w:p>
        </w:tc>
      </w:tr>
      <w:tr>
        <w:trPr>
          <w:trHeight w:val="114"/>
        </w:trPr>
        <w:tc>
          <w:tcPr>
            <w:tcW w:w="6760" w:type="dxa"/>
            <w:vAlign w:val="bottom"/>
          </w:tcPr>
          <w:p>
            <w:pPr>
              <w:spacing w:after="0"/>
              <w:rPr>
                <w:sz w:val="9"/>
                <w:szCs w:val="9"/>
                <w:color w:val="auto"/>
              </w:rPr>
            </w:pPr>
          </w:p>
        </w:tc>
        <w:tc>
          <w:tcPr>
            <w:tcW w:w="1700" w:type="dxa"/>
            <w:vAlign w:val="bottom"/>
            <w:gridSpan w:val="2"/>
          </w:tcPr>
          <w:p>
            <w:pPr>
              <w:jc w:val="center"/>
              <w:ind w:right="60"/>
              <w:spacing w:after="0" w:line="114" w:lineRule="exact"/>
              <w:rPr>
                <w:sz w:val="20"/>
                <w:szCs w:val="20"/>
                <w:color w:val="auto"/>
              </w:rPr>
            </w:pPr>
            <w:r>
              <w:rPr>
                <w:rFonts w:ascii="Times New Roman" w:cs="Times New Roman" w:eastAsia="Times New Roman" w:hAnsi="Times New Roman"/>
                <w:sz w:val="11"/>
                <w:szCs w:val="11"/>
                <w:b w:val="1"/>
                <w:bCs w:val="1"/>
                <w:color w:val="auto"/>
                <w:w w:val="99"/>
              </w:rPr>
              <w:t>PennantPark Floating</w:t>
            </w:r>
          </w:p>
        </w:tc>
      </w:tr>
      <w:tr>
        <w:trPr>
          <w:trHeight w:val="133"/>
        </w:trPr>
        <w:tc>
          <w:tcPr>
            <w:tcW w:w="6760" w:type="dxa"/>
            <w:vAlign w:val="bottom"/>
          </w:tcPr>
          <w:p>
            <w:pPr>
              <w:spacing w:after="0"/>
              <w:rPr>
                <w:sz w:val="11"/>
                <w:szCs w:val="11"/>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Rate Capital Ltd. (1)</w:t>
            </w:r>
          </w:p>
        </w:tc>
      </w:tr>
      <w:tr>
        <w:trPr>
          <w:trHeight w:val="156"/>
        </w:trPr>
        <w:tc>
          <w:tcPr>
            <w:tcW w:w="67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Arthur H. Penn</w:t>
            </w:r>
            <w:r>
              <w:rPr>
                <w:rFonts w:ascii="Times New Roman" w:cs="Times New Roman" w:eastAsia="Times New Roman" w:hAnsi="Times New Roman"/>
                <w:sz w:val="17"/>
                <w:szCs w:val="17"/>
                <w:color w:val="auto"/>
                <w:vertAlign w:val="superscript"/>
              </w:rPr>
              <w:t>(2)</w:t>
            </w:r>
          </w:p>
        </w:tc>
        <w:tc>
          <w:tcPr>
            <w:tcW w:w="16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Over $1,000,000</w:t>
            </w:r>
          </w:p>
        </w:tc>
        <w:tc>
          <w:tcPr>
            <w:tcW w:w="60" w:type="dxa"/>
            <w:vAlign w:val="bottom"/>
            <w:tcBorders>
              <w:top w:val="single" w:sz="8" w:color="CCEEFF"/>
            </w:tcBorders>
            <w:shd w:val="clear" w:color="auto" w:fill="CCEEFF"/>
          </w:tcPr>
          <w:p>
            <w:pPr>
              <w:spacing w:after="0"/>
              <w:rPr>
                <w:sz w:val="13"/>
                <w:szCs w:val="13"/>
                <w:color w:val="auto"/>
              </w:rPr>
            </w:pPr>
          </w:p>
        </w:tc>
      </w:tr>
      <w:tr>
        <w:trPr>
          <w:trHeight w:val="166"/>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José A. Briones</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Over $1,000,000</w:t>
            </w:r>
          </w:p>
        </w:tc>
      </w:tr>
      <w:tr>
        <w:trPr>
          <w:trHeight w:val="16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Salvatore Giannetti III</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Over $1,000,000</w:t>
            </w:r>
          </w:p>
        </w:tc>
      </w:tr>
      <w:tr>
        <w:trPr>
          <w:trHeight w:val="166"/>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Ryan Raskopf</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$100,001 - $500,000</w:t>
            </w:r>
          </w:p>
        </w:tc>
      </w:tr>
      <w:tr>
        <w:trPr>
          <w:trHeight w:val="16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Dan Horn</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Over $1,000,000</w:t>
            </w:r>
          </w:p>
        </w:tc>
      </w:tr>
      <w:tr>
        <w:trPr>
          <w:trHeight w:val="166"/>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James Stone</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$10,001 - $50,000</w:t>
            </w:r>
          </w:p>
        </w:tc>
      </w:tr>
      <w:tr>
        <w:trPr>
          <w:trHeight w:val="16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Steve Winograd</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$500,001 - $1,000,000</w:t>
            </w:r>
          </w:p>
        </w:tc>
      </w:tr>
    </w:tbl>
    <w:p>
      <w:pPr>
        <w:spacing w:after="0" w:line="110" w:lineRule="exact"/>
        <w:rPr>
          <w:sz w:val="20"/>
          <w:szCs w:val="20"/>
          <w:color w:val="auto"/>
        </w:rPr>
      </w:pPr>
    </w:p>
    <w:p>
      <w:pPr>
        <w:ind w:left="600" w:right="799" w:hanging="327"/>
        <w:spacing w:after="0" w:line="277" w:lineRule="auto"/>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$1-$10,000; $10,001-$50,000; $50,001-$100,000; $100,001-$500,000; $500,001-$1,000,000; or over $1,000,000. Beneficial ownership has been determined in accordance with Rule 16a-1(a)(2) promulgated under the Exchange Act.</w:t>
      </w:r>
    </w:p>
    <w:p>
      <w:pPr>
        <w:spacing w:after="0" w:line="53" w:lineRule="exact"/>
        <w:rPr>
          <w:rFonts w:ascii="Times New Roman" w:cs="Times New Roman" w:eastAsia="Times New Roman" w:hAnsi="Times New Roman"/>
          <w:sz w:val="14"/>
          <w:szCs w:val="14"/>
          <w:color w:val="auto"/>
        </w:rPr>
      </w:pPr>
    </w:p>
    <w:p>
      <w:pPr>
        <w:ind w:left="600" w:hanging="327"/>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reflects holdings of PennantPark Investment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-368935</wp:posOffset>
            </wp:positionV>
            <wp:extent cx="59245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592455" cy="635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60" w:right="1440"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02805" cy="45720"/>
                    </a:xfrm>
                    <a:prstGeom prst="rect">
                      <a:avLst/>
                    </a:prstGeom>
                    <a:noFill/>
                  </pic:spPr>
                </pic:pic>
              </a:graphicData>
            </a:graphic>
          </wp:anchor>
        </w:drawing>
        <w:t>DETERMINATION OF NET ASSET VALUE</w:t>
      </w:r>
    </w:p>
    <w:p>
      <w:pPr>
        <w:spacing w:after="0" w:line="173" w:lineRule="exact"/>
        <w:rPr>
          <w:sz w:val="20"/>
          <w:szCs w:val="20"/>
          <w:color w:val="auto"/>
        </w:rPr>
      </w:pPr>
    </w:p>
    <w:p>
      <w:pPr>
        <w:ind w:left="280" w:right="319" w:firstLine="338"/>
        <w:spacing w:after="0" w:line="277" w:lineRule="auto"/>
        <w:rPr>
          <w:sz w:val="20"/>
          <w:szCs w:val="20"/>
          <w:color w:val="auto"/>
        </w:rPr>
      </w:pPr>
      <w:r>
        <w:rPr>
          <w:rFonts w:ascii="Times New Roman" w:cs="Times New Roman" w:eastAsia="Times New Roman" w:hAnsi="Times New Roman"/>
          <w:sz w:val="14"/>
          <w:szCs w:val="14"/>
          <w:color w:val="auto"/>
        </w:rPr>
        <w:t>The NAV per share of our outstanding shares of common stock is determined quarterly by dividing the value of total assets minus liabilities by the total number of shares outstanding.</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As a BDC, we generally invest in illiquid securities including debt and equity investments of middle-market companies.</w:t>
      </w:r>
    </w:p>
    <w:p>
      <w:pPr>
        <w:spacing w:after="0" w:line="171" w:lineRule="exact"/>
        <w:rPr>
          <w:sz w:val="20"/>
          <w:szCs w:val="20"/>
          <w:color w:val="auto"/>
        </w:rPr>
      </w:pPr>
    </w:p>
    <w:p>
      <w:pPr>
        <w:ind w:left="280" w:right="299" w:firstLine="338"/>
        <w:spacing w:after="0" w:line="250"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4" w:lineRule="exact"/>
        <w:rPr>
          <w:sz w:val="20"/>
          <w:szCs w:val="20"/>
          <w:color w:val="auto"/>
        </w:rPr>
      </w:pPr>
    </w:p>
    <w:p>
      <w:pPr>
        <w:ind w:left="1020" w:right="299" w:hanging="415"/>
        <w:spacing w:after="0" w:line="277"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53" w:lineRule="exact"/>
        <w:rPr>
          <w:rFonts w:ascii="Times New Roman" w:cs="Times New Roman" w:eastAsia="Times New Roman" w:hAnsi="Times New Roman"/>
          <w:sz w:val="14"/>
          <w:szCs w:val="14"/>
          <w:color w:val="auto"/>
        </w:rPr>
      </w:pPr>
    </w:p>
    <w:p>
      <w:pPr>
        <w:ind w:left="1020" w:hanging="415"/>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our Investment Adviser;</w:t>
      </w:r>
    </w:p>
    <w:p>
      <w:pPr>
        <w:spacing w:after="0" w:line="98" w:lineRule="exact"/>
        <w:rPr>
          <w:rFonts w:ascii="Times New Roman" w:cs="Times New Roman" w:eastAsia="Times New Roman" w:hAnsi="Times New Roman"/>
          <w:sz w:val="14"/>
          <w:szCs w:val="14"/>
          <w:color w:val="auto"/>
        </w:rPr>
      </w:pPr>
    </w:p>
    <w:p>
      <w:pPr>
        <w:ind w:left="1020" w:right="399" w:hanging="415"/>
        <w:spacing w:after="0" w:line="257"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7" w:lineRule="exact"/>
        <w:rPr>
          <w:rFonts w:ascii="Times New Roman" w:cs="Times New Roman" w:eastAsia="Times New Roman" w:hAnsi="Times New Roman"/>
          <w:sz w:val="14"/>
          <w:szCs w:val="14"/>
          <w:color w:val="auto"/>
        </w:rPr>
      </w:pPr>
    </w:p>
    <w:p>
      <w:pPr>
        <w:ind w:left="1020" w:right="359" w:hanging="415"/>
        <w:spacing w:after="0" w:line="262"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63" w:lineRule="exact"/>
        <w:rPr>
          <w:rFonts w:ascii="Times New Roman" w:cs="Times New Roman" w:eastAsia="Times New Roman" w:hAnsi="Times New Roman"/>
          <w:sz w:val="14"/>
          <w:szCs w:val="14"/>
          <w:color w:val="auto"/>
        </w:rPr>
      </w:pPr>
    </w:p>
    <w:p>
      <w:pPr>
        <w:ind w:left="1020" w:right="399" w:hanging="415"/>
        <w:spacing w:after="0" w:line="277"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26" w:lineRule="exact"/>
        <w:rPr>
          <w:sz w:val="20"/>
          <w:szCs w:val="20"/>
          <w:color w:val="auto"/>
        </w:rPr>
      </w:pPr>
    </w:p>
    <w:p>
      <w:pPr>
        <w:ind w:left="280" w:right="379" w:firstLine="338"/>
        <w:spacing w:after="0" w:line="253"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58" w:right="1440" w:bottom="1440" w:gutter="0" w:footer="0" w:header="0"/>
        </w:sectPr>
      </w:pPr>
    </w:p>
    <w:bookmarkStart w:id="62" w:name="page63"/>
    <w:bookmarkEnd w:id="62"/>
    <w:p>
      <w:pPr>
        <w:ind w:left="6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To the extent we invest in derivative instruments in the future, such instruments would be valued in accordance with our valuation policy.</w:t>
      </w:r>
    </w:p>
    <w:p>
      <w:pPr>
        <w:spacing w:after="0" w:line="171" w:lineRule="exact"/>
        <w:rPr>
          <w:sz w:val="20"/>
          <w:szCs w:val="20"/>
          <w:color w:val="auto"/>
        </w:rPr>
      </w:pPr>
    </w:p>
    <w:p>
      <w:pPr>
        <w:ind w:left="280" w:right="299" w:firstLine="338"/>
        <w:spacing w:after="0" w:line="251" w:lineRule="auto"/>
        <w:rPr>
          <w:sz w:val="20"/>
          <w:szCs w:val="20"/>
          <w:color w:val="auto"/>
        </w:rPr>
      </w:pPr>
      <w:r>
        <w:rPr>
          <w:rFonts w:ascii="Times New Roman" w:cs="Times New Roman" w:eastAsia="Times New Roman" w:hAnsi="Times New Roman"/>
          <w:sz w:val="14"/>
          <w:szCs w:val="14"/>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98" w:lineRule="exact"/>
        <w:rPr>
          <w:sz w:val="20"/>
          <w:szCs w:val="20"/>
          <w:color w:val="auto"/>
        </w:rPr>
      </w:pPr>
    </w:p>
    <w:p>
      <w:pPr>
        <w:ind w:left="1360" w:right="559" w:hanging="756"/>
        <w:spacing w:after="0" w:line="277" w:lineRule="auto"/>
        <w:tabs>
          <w:tab w:leader="none" w:pos="134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54" w:lineRule="exact"/>
        <w:rPr>
          <w:sz w:val="20"/>
          <w:szCs w:val="20"/>
          <w:color w:val="auto"/>
        </w:rPr>
      </w:pPr>
    </w:p>
    <w:p>
      <w:pPr>
        <w:ind w:left="1360" w:right="399" w:hanging="756"/>
        <w:spacing w:after="0" w:line="262" w:lineRule="auto"/>
        <w:tabs>
          <w:tab w:leader="none" w:pos="134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64" w:lineRule="exact"/>
        <w:rPr>
          <w:sz w:val="20"/>
          <w:szCs w:val="20"/>
          <w:color w:val="auto"/>
        </w:rPr>
      </w:pPr>
    </w:p>
    <w:p>
      <w:pPr>
        <w:ind w:left="1360" w:right="419" w:hanging="756"/>
        <w:spacing w:after="0" w:line="277" w:lineRule="auto"/>
        <w:tabs>
          <w:tab w:leader="none" w:pos="134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126" w:lineRule="exact"/>
        <w:rPr>
          <w:sz w:val="20"/>
          <w:szCs w:val="20"/>
          <w:color w:val="auto"/>
        </w:rPr>
      </w:pPr>
    </w:p>
    <w:p>
      <w:pPr>
        <w:ind w:left="280" w:right="299" w:firstLine="338"/>
        <w:spacing w:after="0" w:line="279"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our 2031 Asset-Backed Debt and the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7" w:lineRule="exact"/>
        <w:rPr>
          <w:sz w:val="20"/>
          <w:szCs w:val="20"/>
          <w:color w:val="auto"/>
        </w:rPr>
      </w:pPr>
    </w:p>
    <w:p>
      <w:pPr>
        <w:ind w:left="280" w:right="319" w:firstLine="338"/>
        <w:spacing w:after="0" w:line="251" w:lineRule="auto"/>
        <w:rPr>
          <w:sz w:val="20"/>
          <w:szCs w:val="20"/>
          <w:color w:val="auto"/>
        </w:rPr>
      </w:pPr>
      <w:r>
        <w:rPr>
          <w:rFonts w:ascii="Times New Roman" w:cs="Times New Roman" w:eastAsia="Times New Roman" w:hAnsi="Times New Roman"/>
          <w:sz w:val="14"/>
          <w:szCs w:val="14"/>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Determinations In Connection With Offerings</w:t>
      </w:r>
    </w:p>
    <w:p>
      <w:pPr>
        <w:spacing w:after="0" w:line="90" w:lineRule="exact"/>
        <w:rPr>
          <w:sz w:val="20"/>
          <w:szCs w:val="20"/>
          <w:color w:val="auto"/>
        </w:rPr>
      </w:pPr>
    </w:p>
    <w:p>
      <w:pPr>
        <w:ind w:left="280" w:right="339" w:firstLine="338"/>
        <w:spacing w:after="0" w:line="257" w:lineRule="auto"/>
        <w:rPr>
          <w:sz w:val="20"/>
          <w:szCs w:val="20"/>
          <w:color w:val="auto"/>
        </w:rPr>
      </w:pPr>
      <w:r>
        <w:rPr>
          <w:rFonts w:ascii="Times New Roman" w:cs="Times New Roman" w:eastAsia="Times New Roman" w:hAnsi="Times New Roman"/>
          <w:sz w:val="14"/>
          <w:szCs w:val="14"/>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60" w:right="1440" w:bottom="1440" w:gutter="0" w:footer="0" w:header="0"/>
        </w:sectPr>
      </w:pPr>
    </w:p>
    <w:bookmarkStart w:id="63" w:name="page64"/>
    <w:bookmarkEnd w:id="63"/>
    <w:p>
      <w:pPr>
        <w:ind w:left="280" w:right="519"/>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02805" cy="45720"/>
                    </a:xfrm>
                    <a:prstGeom prst="rect">
                      <a:avLst/>
                    </a:prstGeom>
                    <a:noFill/>
                  </pic:spPr>
                </pic:pic>
              </a:graphicData>
            </a:graphic>
          </wp:anchor>
        </w:drawing>
        <w:t>directors decides that such an offering is in the best interests of our common stockholders. Our board of directors will consider the following factors, among others, in making such determination:</w:t>
      </w:r>
    </w:p>
    <w:p>
      <w:pPr>
        <w:spacing w:after="0" w:line="54" w:lineRule="exact"/>
        <w:rPr>
          <w:sz w:val="20"/>
          <w:szCs w:val="20"/>
          <w:color w:val="auto"/>
        </w:rPr>
      </w:pPr>
    </w:p>
    <w:p>
      <w:pPr>
        <w:ind w:left="1020" w:hanging="332"/>
        <w:spacing w:after="0"/>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NAV of our common stock disclosed in the most recent periodic report that we filed with the SEC;</w:t>
      </w:r>
    </w:p>
    <w:p>
      <w:pPr>
        <w:spacing w:after="0" w:line="98" w:lineRule="exact"/>
        <w:rPr>
          <w:rFonts w:ascii="Times New Roman" w:cs="Times New Roman" w:eastAsia="Times New Roman" w:hAnsi="Times New Roman"/>
          <w:sz w:val="14"/>
          <w:szCs w:val="14"/>
          <w:color w:val="auto"/>
        </w:rPr>
      </w:pPr>
    </w:p>
    <w:p>
      <w:pPr>
        <w:ind w:left="1020" w:right="399" w:hanging="332"/>
        <w:spacing w:after="0" w:line="262"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63" w:lineRule="exact"/>
        <w:rPr>
          <w:rFonts w:ascii="Times New Roman" w:cs="Times New Roman" w:eastAsia="Times New Roman" w:hAnsi="Times New Roman"/>
          <w:sz w:val="14"/>
          <w:szCs w:val="14"/>
          <w:color w:val="auto"/>
        </w:rPr>
      </w:pPr>
    </w:p>
    <w:p>
      <w:pPr>
        <w:ind w:left="1020" w:right="399" w:hanging="332"/>
        <w:spacing w:after="0" w:line="277" w:lineRule="auto"/>
        <w:tabs>
          <w:tab w:leader="none" w:pos="10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26" w:lineRule="exact"/>
        <w:rPr>
          <w:sz w:val="20"/>
          <w:szCs w:val="20"/>
          <w:color w:val="auto"/>
        </w:rPr>
      </w:pPr>
    </w:p>
    <w:p>
      <w:pPr>
        <w:jc w:val="both"/>
        <w:ind w:left="280" w:right="359" w:firstLine="338"/>
        <w:spacing w:after="0" w:line="257" w:lineRule="auto"/>
        <w:rPr>
          <w:sz w:val="20"/>
          <w:szCs w:val="20"/>
          <w:color w:val="auto"/>
        </w:rPr>
      </w:pPr>
      <w:r>
        <w:rPr>
          <w:rFonts w:ascii="Times New Roman" w:cs="Times New Roman" w:eastAsia="Times New Roman" w:hAnsi="Times New Roman"/>
          <w:sz w:val="14"/>
          <w:szCs w:val="14"/>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In addition, we will only sell shares of our common stock at a price below NAV per share if the following conditions are met:</w:t>
      </w:r>
    </w:p>
    <w:p>
      <w:pPr>
        <w:spacing w:after="0" w:line="98" w:lineRule="exact"/>
        <w:rPr>
          <w:sz w:val="20"/>
          <w:szCs w:val="20"/>
          <w:color w:val="auto"/>
        </w:rPr>
      </w:pPr>
    </w:p>
    <w:p>
      <w:pPr>
        <w:ind w:left="1020" w:hanging="33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of our independent directors who have no financial interest in the sale must have approved the sale; and</w:t>
      </w:r>
    </w:p>
    <w:p>
      <w:pPr>
        <w:spacing w:after="0" w:line="98" w:lineRule="exact"/>
        <w:rPr>
          <w:rFonts w:ascii="Times New Roman" w:cs="Times New Roman" w:eastAsia="Times New Roman" w:hAnsi="Times New Roman"/>
          <w:sz w:val="14"/>
          <w:szCs w:val="14"/>
          <w:color w:val="auto"/>
        </w:rPr>
      </w:pPr>
    </w:p>
    <w:p>
      <w:pPr>
        <w:ind w:left="1020" w:right="359" w:hanging="332"/>
        <w:spacing w:after="0" w:line="257" w:lineRule="auto"/>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40" w:lineRule="exact"/>
        <w:rPr>
          <w:sz w:val="20"/>
          <w:szCs w:val="20"/>
          <w:color w:val="auto"/>
        </w:rPr>
      </w:pPr>
    </w:p>
    <w:p>
      <w:pPr>
        <w:ind w:left="280" w:right="379" w:firstLine="338"/>
        <w:spacing w:after="0" w:line="251" w:lineRule="auto"/>
        <w:rPr>
          <w:sz w:val="20"/>
          <w:szCs w:val="20"/>
          <w:color w:val="auto"/>
        </w:rPr>
      </w:pPr>
      <w:r>
        <w:rPr>
          <w:rFonts w:ascii="Times New Roman" w:cs="Times New Roman" w:eastAsia="Times New Roman" w:hAnsi="Times New Roman"/>
          <w:sz w:val="14"/>
          <w:szCs w:val="14"/>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44" w:lineRule="exact"/>
        <w:rPr>
          <w:sz w:val="20"/>
          <w:szCs w:val="20"/>
          <w:color w:val="auto"/>
        </w:rPr>
      </w:pPr>
    </w:p>
    <w:p>
      <w:pPr>
        <w:ind w:left="280" w:right="359" w:firstLine="338"/>
        <w:spacing w:after="0" w:line="262" w:lineRule="auto"/>
        <w:rPr>
          <w:sz w:val="20"/>
          <w:szCs w:val="20"/>
          <w:color w:val="auto"/>
        </w:rPr>
      </w:pPr>
      <w:r>
        <w:rPr>
          <w:rFonts w:ascii="Times New Roman" w:cs="Times New Roman" w:eastAsia="Times New Roman" w:hAnsi="Times New Roman"/>
          <w:sz w:val="14"/>
          <w:szCs w:val="14"/>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60"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02805" cy="45720"/>
                    </a:xfrm>
                    <a:prstGeom prst="rect">
                      <a:avLst/>
                    </a:prstGeom>
                    <a:noFill/>
                  </pic:spPr>
                </pic:pic>
              </a:graphicData>
            </a:graphic>
          </wp:anchor>
        </w:drawing>
        <w:t>DESCRIPTION OF OUR CAPITAL STOCK</w:t>
      </w:r>
    </w:p>
    <w:p>
      <w:pPr>
        <w:spacing w:after="0" w:line="173" w:lineRule="exact"/>
        <w:rPr>
          <w:sz w:val="20"/>
          <w:szCs w:val="20"/>
          <w:color w:val="auto"/>
        </w:rPr>
      </w:pPr>
    </w:p>
    <w:p>
      <w:pPr>
        <w:jc w:val="both"/>
        <w:ind w:left="280" w:right="399" w:firstLine="338"/>
        <w:spacing w:after="0" w:line="262" w:lineRule="auto"/>
        <w:rPr>
          <w:sz w:val="20"/>
          <w:szCs w:val="20"/>
          <w:color w:val="auto"/>
        </w:rPr>
      </w:pPr>
      <w:r>
        <w:rPr>
          <w:rFonts w:ascii="Times New Roman" w:cs="Times New Roman" w:eastAsia="Times New Roman" w:hAnsi="Times New Roman"/>
          <w:sz w:val="14"/>
          <w:szCs w:val="14"/>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90" w:lineRule="exact"/>
        <w:rPr>
          <w:sz w:val="20"/>
          <w:szCs w:val="20"/>
          <w:color w:val="auto"/>
        </w:rPr>
      </w:pPr>
    </w:p>
    <w:p>
      <w:pPr>
        <w:ind w:left="280" w:right="419" w:firstLine="338"/>
        <w:spacing w:after="0" w:line="257" w:lineRule="auto"/>
        <w:rPr>
          <w:sz w:val="20"/>
          <w:szCs w:val="20"/>
          <w:color w:val="auto"/>
        </w:rPr>
      </w:pPr>
      <w:r>
        <w:rPr>
          <w:rFonts w:ascii="Times New Roman" w:cs="Times New Roman" w:eastAsia="Times New Roman" w:hAnsi="Times New Roman"/>
          <w:sz w:val="14"/>
          <w:szCs w:val="14"/>
          <w:color w:val="auto"/>
        </w:rPr>
        <w:t>As of September 30, 2022, our authorized capital stock consisted of 100,000,000 shares of stock, par value $0.001 per share, all of which is classified as common stock. Our common stock is quoted on The New York Stock Exchange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0" w:lineRule="exact"/>
        <w:rPr>
          <w:sz w:val="20"/>
          <w:szCs w:val="20"/>
          <w:color w:val="auto"/>
        </w:rPr>
      </w:pPr>
    </w:p>
    <w:p>
      <w:pPr>
        <w:ind w:left="280" w:right="459" w:firstLine="338"/>
        <w:spacing w:after="0" w:line="277" w:lineRule="auto"/>
        <w:rPr>
          <w:sz w:val="20"/>
          <w:szCs w:val="20"/>
          <w:color w:val="auto"/>
        </w:rPr>
      </w:pPr>
      <w:r>
        <w:rPr>
          <w:rFonts w:ascii="Times New Roman" w:cs="Times New Roman" w:eastAsia="Times New Roman" w:hAnsi="Times New Roman"/>
          <w:sz w:val="14"/>
          <w:szCs w:val="14"/>
          <w:color w:val="auto"/>
        </w:rPr>
        <w:t>The last reported closing market price of our common stock on December 13, 2022 was $11.44 per share. As of September 30, 2022, we had 37 stockholders of record.</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following are our outstanding classes of securities as of November 30, 2022:</w:t>
      </w:r>
    </w:p>
    <w:p>
      <w:pPr>
        <w:spacing w:after="0" w:line="175"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6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Amount Held by</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14"/>
        </w:trPr>
        <w:tc>
          <w:tcPr>
            <w:tcW w:w="6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Title of Class</w:t>
            </w:r>
          </w:p>
        </w:tc>
        <w:tc>
          <w:tcPr>
            <w:tcW w:w="4880" w:type="dxa"/>
            <w:vAlign w:val="bottom"/>
            <w:vMerge w:val="restart"/>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4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1"/>
                <w:szCs w:val="11"/>
                <w:b w:val="1"/>
                <w:bCs w:val="1"/>
                <w:color w:val="auto"/>
              </w:rPr>
              <w:t>Us or for Our</w:t>
            </w: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620" w:type="dxa"/>
            <w:vAlign w:val="bottom"/>
            <w:tcBorders>
              <w:bottom w:val="single" w:sz="8" w:color="auto"/>
            </w:tcBorders>
            <w:vMerge w:val="continue"/>
          </w:tcPr>
          <w:p>
            <w:pPr>
              <w:spacing w:after="0"/>
              <w:rPr>
                <w:sz w:val="12"/>
                <w:szCs w:val="12"/>
                <w:color w:val="auto"/>
              </w:rPr>
            </w:pPr>
          </w:p>
        </w:tc>
        <w:tc>
          <w:tcPr>
            <w:tcW w:w="4880" w:type="dxa"/>
            <w:vAlign w:val="bottom"/>
            <w:vMerge w:val="continue"/>
          </w:tcPr>
          <w:p>
            <w:pPr>
              <w:spacing w:after="0"/>
              <w:rPr>
                <w:sz w:val="12"/>
                <w:szCs w:val="12"/>
                <w:color w:val="auto"/>
              </w:rPr>
            </w:pPr>
          </w:p>
        </w:tc>
        <w:tc>
          <w:tcPr>
            <w:tcW w:w="1100" w:type="dxa"/>
            <w:vAlign w:val="bottom"/>
            <w:gridSpan w:val="2"/>
          </w:tcPr>
          <w:p>
            <w:pPr>
              <w:jc w:val="center"/>
              <w:ind w:right="360"/>
              <w:spacing w:after="0" w:line="123" w:lineRule="exact"/>
              <w:rPr>
                <w:sz w:val="20"/>
                <w:szCs w:val="20"/>
                <w:color w:val="auto"/>
              </w:rPr>
            </w:pPr>
            <w:r>
              <w:rPr>
                <w:rFonts w:ascii="Times New Roman" w:cs="Times New Roman" w:eastAsia="Times New Roman" w:hAnsi="Times New Roman"/>
                <w:sz w:val="11"/>
                <w:szCs w:val="11"/>
                <w:b w:val="1"/>
                <w:bCs w:val="1"/>
                <w:color w:val="auto"/>
              </w:rPr>
              <w:t>Authorized</w:t>
            </w:r>
          </w:p>
        </w:tc>
        <w:tc>
          <w:tcPr>
            <w:tcW w:w="1140" w:type="dxa"/>
            <w:vAlign w:val="bottom"/>
            <w:gridSpan w:val="2"/>
          </w:tcPr>
          <w:p>
            <w:pPr>
              <w:jc w:val="center"/>
              <w:ind w:right="360"/>
              <w:spacing w:after="0" w:line="123" w:lineRule="exact"/>
              <w:rPr>
                <w:sz w:val="20"/>
                <w:szCs w:val="20"/>
                <w:color w:val="auto"/>
              </w:rPr>
            </w:pPr>
            <w:r>
              <w:rPr>
                <w:rFonts w:ascii="Times New Roman" w:cs="Times New Roman" w:eastAsia="Times New Roman" w:hAnsi="Times New Roman"/>
                <w:sz w:val="11"/>
                <w:szCs w:val="11"/>
                <w:b w:val="1"/>
                <w:bCs w:val="1"/>
                <w:color w:val="auto"/>
                <w:w w:val="97"/>
              </w:rPr>
              <w:t>Account</w:t>
            </w:r>
          </w:p>
        </w:tc>
        <w:tc>
          <w:tcPr>
            <w:tcW w:w="720" w:type="dxa"/>
            <w:vAlign w:val="bottom"/>
            <w:gridSpan w:val="2"/>
          </w:tcPr>
          <w:p>
            <w:pPr>
              <w:ind w:left="40"/>
              <w:spacing w:after="0" w:line="123"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47"/>
        </w:trPr>
        <w:tc>
          <w:tcPr>
            <w:tcW w:w="550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7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100,000,000</w:t>
            </w:r>
          </w:p>
        </w:tc>
        <w:tc>
          <w:tcPr>
            <w:tcW w:w="3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ind w:left="5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60"/>
              <w:spacing w:after="0" w:line="147" w:lineRule="exact"/>
              <w:rPr>
                <w:sz w:val="20"/>
                <w:szCs w:val="20"/>
                <w:color w:val="auto"/>
              </w:rPr>
            </w:pPr>
            <w:r>
              <w:rPr>
                <w:rFonts w:ascii="Times New Roman" w:cs="Times New Roman" w:eastAsia="Times New Roman" w:hAnsi="Times New Roman"/>
                <w:sz w:val="14"/>
                <w:szCs w:val="14"/>
                <w:color w:val="auto"/>
                <w:w w:val="95"/>
              </w:rPr>
              <w:t>45,345,638</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80" w:right="339" w:firstLine="338"/>
        <w:spacing w:after="0" w:line="257" w:lineRule="auto"/>
        <w:rPr>
          <w:sz w:val="20"/>
          <w:szCs w:val="20"/>
          <w:color w:val="auto"/>
        </w:rPr>
      </w:pPr>
      <w:r>
        <w:rPr>
          <w:rFonts w:ascii="Times New Roman" w:cs="Times New Roman" w:eastAsia="Times New Roman" w:hAnsi="Times New Roman"/>
          <w:sz w:val="14"/>
          <w:szCs w:val="14"/>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0" w:lineRule="exact"/>
        <w:rPr>
          <w:sz w:val="20"/>
          <w:szCs w:val="20"/>
          <w:color w:val="auto"/>
        </w:rPr>
      </w:pPr>
    </w:p>
    <w:p>
      <w:pPr>
        <w:ind w:left="280" w:right="299" w:firstLine="338"/>
        <w:spacing w:after="0" w:line="250" w:lineRule="auto"/>
        <w:rPr>
          <w:sz w:val="20"/>
          <w:szCs w:val="20"/>
          <w:color w:val="auto"/>
        </w:rPr>
      </w:pPr>
      <w:r>
        <w:rPr>
          <w:rFonts w:ascii="Times New Roman" w:cs="Times New Roman" w:eastAsia="Times New Roman" w:hAnsi="Times New Roman"/>
          <w:sz w:val="14"/>
          <w:szCs w:val="14"/>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Limitation on Liability of Directors and Officers; Indemnification and Advance of Expenses</w:t>
      </w:r>
    </w:p>
    <w:p>
      <w:pPr>
        <w:spacing w:after="0" w:line="90" w:lineRule="exact"/>
        <w:rPr>
          <w:sz w:val="20"/>
          <w:szCs w:val="20"/>
          <w:color w:val="auto"/>
        </w:rPr>
      </w:pPr>
    </w:p>
    <w:p>
      <w:pPr>
        <w:ind w:left="280" w:right="679" w:firstLine="338"/>
        <w:spacing w:after="0" w:line="277" w:lineRule="auto"/>
        <w:rPr>
          <w:sz w:val="20"/>
          <w:szCs w:val="20"/>
          <w:color w:val="auto"/>
        </w:rPr>
      </w:pPr>
      <w:r>
        <w:rPr>
          <w:rFonts w:ascii="Times New Roman" w:cs="Times New Roman" w:eastAsia="Times New Roman" w:hAnsi="Times New Roman"/>
          <w:sz w:val="14"/>
          <w:szCs w:val="14"/>
          <w:color w:val="auto"/>
        </w:rPr>
        <w:t>Maryland law permits a Maryland corporation to include in its charter a provision eliminating the liability of its directors and officers to the corporation and its stockholders for money damages except for liability resulting</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58" w:right="1440" w:bottom="1440" w:gutter="0" w:footer="0" w:header="0"/>
        </w:sectPr>
      </w:pPr>
    </w:p>
    <w:bookmarkStart w:id="65" w:name="page66"/>
    <w:bookmarkEnd w:id="65"/>
    <w:p>
      <w:pPr>
        <w:ind w:left="280" w:right="67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36" w:lineRule="exact"/>
        <w:rPr>
          <w:sz w:val="20"/>
          <w:szCs w:val="20"/>
          <w:color w:val="auto"/>
        </w:rPr>
      </w:pPr>
    </w:p>
    <w:p>
      <w:pPr>
        <w:ind w:left="280" w:right="319" w:firstLine="338"/>
        <w:spacing w:after="0" w:line="253" w:lineRule="auto"/>
        <w:rPr>
          <w:sz w:val="20"/>
          <w:szCs w:val="20"/>
          <w:color w:val="auto"/>
        </w:rPr>
      </w:pPr>
      <w:r>
        <w:rPr>
          <w:rFonts w:ascii="Times New Roman" w:cs="Times New Roman" w:eastAsia="Times New Roman" w:hAnsi="Times New Roman"/>
          <w:sz w:val="14"/>
          <w:szCs w:val="14"/>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43" w:lineRule="exact"/>
        <w:rPr>
          <w:sz w:val="20"/>
          <w:szCs w:val="20"/>
          <w:color w:val="auto"/>
        </w:rPr>
      </w:pPr>
    </w:p>
    <w:p>
      <w:pPr>
        <w:ind w:left="280" w:right="339" w:firstLine="338"/>
        <w:spacing w:after="0" w:line="250" w:lineRule="auto"/>
        <w:rPr>
          <w:sz w:val="20"/>
          <w:szCs w:val="20"/>
          <w:color w:val="auto"/>
        </w:rPr>
      </w:pPr>
      <w:r>
        <w:rPr>
          <w:rFonts w:ascii="Times New Roman" w:cs="Times New Roman" w:eastAsia="Times New Roman" w:hAnsi="Times New Roman"/>
          <w:sz w:val="14"/>
          <w:szCs w:val="14"/>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48" w:lineRule="exact"/>
        <w:rPr>
          <w:sz w:val="20"/>
          <w:szCs w:val="20"/>
          <w:color w:val="auto"/>
        </w:rPr>
      </w:pPr>
    </w:p>
    <w:p>
      <w:pPr>
        <w:ind w:left="280" w:right="659" w:firstLine="338"/>
        <w:spacing w:after="0" w:line="277" w:lineRule="auto"/>
        <w:rPr>
          <w:sz w:val="20"/>
          <w:szCs w:val="20"/>
          <w:color w:val="auto"/>
        </w:rPr>
      </w:pPr>
      <w:r>
        <w:rPr>
          <w:rFonts w:ascii="Times New Roman" w:cs="Times New Roman" w:eastAsia="Times New Roman" w:hAnsi="Times New Roman"/>
          <w:sz w:val="14"/>
          <w:szCs w:val="14"/>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6" w:lineRule="exact"/>
        <w:rPr>
          <w:sz w:val="20"/>
          <w:szCs w:val="20"/>
          <w:color w:val="auto"/>
        </w:rPr>
      </w:pPr>
    </w:p>
    <w:p>
      <w:pPr>
        <w:ind w:left="280" w:right="299" w:firstLine="338"/>
        <w:spacing w:after="0" w:line="249" w:lineRule="auto"/>
        <w:rPr>
          <w:sz w:val="20"/>
          <w:szCs w:val="20"/>
          <w:color w:val="auto"/>
        </w:rPr>
      </w:pPr>
      <w:r>
        <w:rPr>
          <w:rFonts w:ascii="Times New Roman" w:cs="Times New Roman" w:eastAsia="Times New Roman" w:hAnsi="Times New Roman"/>
          <w:sz w:val="14"/>
          <w:szCs w:val="14"/>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60" w:right="1440" w:bottom="1440" w:gutter="0" w:footer="0" w:header="0"/>
        </w:sectPr>
      </w:pPr>
    </w:p>
    <w:bookmarkStart w:id="66" w:name="page67"/>
    <w:bookmarkEnd w:id="66"/>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Provisions of the Maryland General Corporation Law and our Charter and Bylaws</w:t>
      </w:r>
    </w:p>
    <w:p>
      <w:pPr>
        <w:spacing w:after="0" w:line="90" w:lineRule="exact"/>
        <w:rPr>
          <w:sz w:val="20"/>
          <w:szCs w:val="20"/>
          <w:color w:val="auto"/>
        </w:rPr>
      </w:pPr>
    </w:p>
    <w:p>
      <w:pPr>
        <w:ind w:left="280" w:right="319" w:firstLine="338"/>
        <w:spacing w:after="0" w:line="254" w:lineRule="auto"/>
        <w:rPr>
          <w:sz w:val="20"/>
          <w:szCs w:val="20"/>
          <w:color w:val="auto"/>
        </w:rPr>
      </w:pPr>
      <w:r>
        <w:rPr>
          <w:rFonts w:ascii="Times New Roman" w:cs="Times New Roman" w:eastAsia="Times New Roman" w:hAnsi="Times New Roman"/>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90" w:lineRule="exact"/>
        <w:rPr>
          <w:sz w:val="20"/>
          <w:szCs w:val="20"/>
          <w:color w:val="auto"/>
        </w:rPr>
      </w:pPr>
    </w:p>
    <w:p>
      <w:pPr>
        <w:ind w:left="280" w:right="359" w:firstLine="338"/>
        <w:spacing w:after="0" w:line="252" w:lineRule="auto"/>
        <w:rPr>
          <w:sz w:val="20"/>
          <w:szCs w:val="20"/>
          <w:color w:val="auto"/>
        </w:rPr>
      </w:pPr>
      <w:r>
        <w:rPr>
          <w:rFonts w:ascii="Times New Roman" w:cs="Times New Roman" w:eastAsia="Times New Roman" w:hAnsi="Times New Roman"/>
          <w:sz w:val="14"/>
          <w:szCs w:val="14"/>
          <w:color w:val="auto"/>
        </w:rPr>
        <w:t>Our board of directors is divided into three classes of directors serving staggered three-year terms. The terms of the first, second and third classes will expire at the annual meeting of stockholders held in 2024, 2025 and 2023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Election of directors</w:t>
      </w:r>
    </w:p>
    <w:p>
      <w:pPr>
        <w:spacing w:after="0" w:line="90" w:lineRule="exact"/>
        <w:rPr>
          <w:sz w:val="20"/>
          <w:szCs w:val="20"/>
          <w:color w:val="auto"/>
        </w:rPr>
      </w:pPr>
    </w:p>
    <w:p>
      <w:pPr>
        <w:ind w:left="280" w:right="339" w:firstLine="338"/>
        <w:spacing w:after="0" w:line="257" w:lineRule="auto"/>
        <w:rPr>
          <w:sz w:val="20"/>
          <w:szCs w:val="20"/>
          <w:color w:val="auto"/>
        </w:rPr>
      </w:pPr>
      <w:r>
        <w:rPr>
          <w:rFonts w:ascii="Times New Roman" w:cs="Times New Roman" w:eastAsia="Times New Roman" w:hAnsi="Times New Roman"/>
          <w:sz w:val="14"/>
          <w:szCs w:val="14"/>
          <w:color w:val="auto"/>
        </w:rPr>
        <w:t>Our charter and bylaws provide that, to elect a director, the affirmative vote of a majority of the total votes cast with respect to a director nominee is required (i.e., the number of votes cast for a director nominee must exceed the number of votes cast against the nominee), provided that if the election is contested, directors shall be elected by a plurality of the votes cast. Pursuant to the charter, our board of directors may amend the bylaws to alter the vote required to elect directors.</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Number of directors; vacancies; removal</w:t>
      </w:r>
    </w:p>
    <w:p>
      <w:pPr>
        <w:spacing w:after="0" w:line="90" w:lineRule="exact"/>
        <w:rPr>
          <w:sz w:val="20"/>
          <w:szCs w:val="20"/>
          <w:color w:val="auto"/>
        </w:rPr>
      </w:pPr>
    </w:p>
    <w:p>
      <w:pPr>
        <w:ind w:left="280" w:right="279" w:firstLine="338"/>
        <w:spacing w:after="0" w:line="251" w:lineRule="auto"/>
        <w:rPr>
          <w:sz w:val="20"/>
          <w:szCs w:val="20"/>
          <w:color w:val="auto"/>
        </w:rPr>
      </w:pPr>
      <w:r>
        <w:rPr>
          <w:rFonts w:ascii="Times New Roman" w:cs="Times New Roman" w:eastAsia="Times New Roman" w:hAnsi="Times New Roman"/>
          <w:sz w:val="14"/>
          <w:szCs w:val="14"/>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46" w:lineRule="exact"/>
        <w:rPr>
          <w:sz w:val="20"/>
          <w:szCs w:val="20"/>
          <w:color w:val="auto"/>
        </w:rPr>
      </w:pPr>
    </w:p>
    <w:p>
      <w:pPr>
        <w:ind w:left="280" w:right="599" w:firstLine="338"/>
        <w:spacing w:after="0" w:line="277" w:lineRule="auto"/>
        <w:rPr>
          <w:sz w:val="20"/>
          <w:szCs w:val="20"/>
          <w:color w:val="auto"/>
        </w:rPr>
      </w:pPr>
      <w:r>
        <w:rPr>
          <w:rFonts w:ascii="Times New Roman" w:cs="Times New Roman" w:eastAsia="Times New Roman" w:hAnsi="Times New Roman"/>
          <w:sz w:val="14"/>
          <w:szCs w:val="14"/>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Action by stockholders</w:t>
      </w:r>
    </w:p>
    <w:p>
      <w:pPr>
        <w:spacing w:after="0" w:line="90" w:lineRule="exact"/>
        <w:rPr>
          <w:sz w:val="20"/>
          <w:szCs w:val="20"/>
          <w:color w:val="auto"/>
        </w:rPr>
      </w:pPr>
    </w:p>
    <w:p>
      <w:pPr>
        <w:ind w:left="280" w:right="519" w:firstLine="338"/>
        <w:spacing w:after="0" w:line="262" w:lineRule="auto"/>
        <w:rPr>
          <w:sz w:val="20"/>
          <w:szCs w:val="20"/>
          <w:color w:val="auto"/>
        </w:rPr>
      </w:pPr>
      <w:r>
        <w:rPr>
          <w:rFonts w:ascii="Times New Roman" w:cs="Times New Roman" w:eastAsia="Times New Roman" w:hAnsi="Times New Roman"/>
          <w:sz w:val="14"/>
          <w:szCs w:val="14"/>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58" w:right="1440" w:bottom="1440" w:gutter="0" w:footer="0" w:header="0"/>
        </w:sectPr>
      </w:pPr>
    </w:p>
    <w:bookmarkStart w:id="67" w:name="page68"/>
    <w:bookmarkEnd w:id="67"/>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202805" cy="45720"/>
                    </a:xfrm>
                    <a:prstGeom prst="rect">
                      <a:avLst/>
                    </a:prstGeom>
                    <a:noFill/>
                  </pic:spPr>
                </pic:pic>
              </a:graphicData>
            </a:graphic>
          </wp:anchor>
        </w:drawing>
        <w:t>Advance notice provisions for stockholder nominations and stockholder proposals</w:t>
      </w:r>
    </w:p>
    <w:p>
      <w:pPr>
        <w:spacing w:after="0" w:line="90" w:lineRule="exact"/>
        <w:rPr>
          <w:sz w:val="20"/>
          <w:szCs w:val="20"/>
          <w:color w:val="auto"/>
        </w:rPr>
      </w:pPr>
    </w:p>
    <w:p>
      <w:pPr>
        <w:ind w:left="280" w:right="319" w:firstLine="338"/>
        <w:spacing w:after="0" w:line="273" w:lineRule="auto"/>
        <w:rPr>
          <w:sz w:val="20"/>
          <w:szCs w:val="20"/>
          <w:color w:val="auto"/>
        </w:rPr>
      </w:pPr>
      <w:r>
        <w:rPr>
          <w:rFonts w:ascii="Times New Roman" w:cs="Times New Roman" w:eastAsia="Times New Roman" w:hAnsi="Times New Roman"/>
          <w:sz w:val="13"/>
          <w:szCs w:val="13"/>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33" w:lineRule="exact"/>
        <w:rPr>
          <w:sz w:val="20"/>
          <w:szCs w:val="20"/>
          <w:color w:val="auto"/>
        </w:rPr>
      </w:pPr>
    </w:p>
    <w:p>
      <w:pPr>
        <w:ind w:left="280" w:right="299" w:firstLine="338"/>
        <w:spacing w:after="0" w:line="251" w:lineRule="auto"/>
        <w:rPr>
          <w:sz w:val="20"/>
          <w:szCs w:val="20"/>
          <w:color w:val="auto"/>
        </w:rPr>
      </w:pPr>
      <w:r>
        <w:rPr>
          <w:rFonts w:ascii="Times New Roman" w:cs="Times New Roman" w:eastAsia="Times New Roman" w:hAnsi="Times New Roman"/>
          <w:sz w:val="14"/>
          <w:szCs w:val="14"/>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Calling of special meetings of stockholders</w:t>
      </w:r>
    </w:p>
    <w:p>
      <w:pPr>
        <w:spacing w:after="0" w:line="90" w:lineRule="exact"/>
        <w:rPr>
          <w:sz w:val="20"/>
          <w:szCs w:val="20"/>
          <w:color w:val="auto"/>
        </w:rPr>
      </w:pPr>
    </w:p>
    <w:p>
      <w:pPr>
        <w:ind w:left="280" w:right="359" w:firstLine="338"/>
        <w:spacing w:after="0" w:line="257" w:lineRule="auto"/>
        <w:rPr>
          <w:sz w:val="20"/>
          <w:szCs w:val="20"/>
          <w:color w:val="auto"/>
        </w:rPr>
      </w:pPr>
      <w:r>
        <w:rPr>
          <w:rFonts w:ascii="Times New Roman" w:cs="Times New Roman" w:eastAsia="Times New Roman" w:hAnsi="Times New Roman"/>
          <w:sz w:val="14"/>
          <w:szCs w:val="14"/>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Approval of extraordinary corporate action; amendment of charter and bylaws</w:t>
      </w:r>
    </w:p>
    <w:p>
      <w:pPr>
        <w:spacing w:after="0" w:line="90" w:lineRule="exact"/>
        <w:rPr>
          <w:sz w:val="20"/>
          <w:szCs w:val="20"/>
          <w:color w:val="auto"/>
        </w:rPr>
      </w:pPr>
    </w:p>
    <w:p>
      <w:pPr>
        <w:ind w:left="280" w:right="299" w:firstLine="338"/>
        <w:spacing w:after="0" w:line="250" w:lineRule="auto"/>
        <w:rPr>
          <w:sz w:val="20"/>
          <w:szCs w:val="20"/>
          <w:color w:val="auto"/>
        </w:rPr>
      </w:pPr>
      <w:r>
        <w:rPr>
          <w:rFonts w:ascii="Times New Roman" w:cs="Times New Roman" w:eastAsia="Times New Roman" w:hAnsi="Times New Roman"/>
          <w:sz w:val="14"/>
          <w:szCs w:val="14"/>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58" w:right="1440" w:bottom="1440" w:gutter="0" w:footer="0" w:header="0"/>
        </w:sectPr>
      </w:pPr>
    </w:p>
    <w:bookmarkStart w:id="68" w:name="page69"/>
    <w:bookmarkEnd w:id="68"/>
    <w:p>
      <w:pPr>
        <w:ind w:left="280" w:right="379" w:firstLine="338"/>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02805" cy="45720"/>
                    </a:xfrm>
                    <a:prstGeom prst="rect">
                      <a:avLst/>
                    </a:prstGeom>
                    <a:noFill/>
                  </pic:spPr>
                </pic:pic>
              </a:graphicData>
            </a:graphic>
          </wp:anchor>
        </w:drawing>
        <w:t>Our charter and bylaws provide that the board of directors will have the exclusive power to adopt, alter or repeal any provision of our bylaws and to make new bylaws.</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No appraisal rights</w:t>
      </w:r>
    </w:p>
    <w:p>
      <w:pPr>
        <w:spacing w:after="0" w:line="90" w:lineRule="exact"/>
        <w:rPr>
          <w:sz w:val="20"/>
          <w:szCs w:val="20"/>
          <w:color w:val="auto"/>
        </w:rPr>
      </w:pPr>
    </w:p>
    <w:p>
      <w:pPr>
        <w:ind w:left="280" w:right="839" w:firstLine="338"/>
        <w:spacing w:after="0" w:line="277" w:lineRule="auto"/>
        <w:rPr>
          <w:sz w:val="20"/>
          <w:szCs w:val="20"/>
          <w:color w:val="auto"/>
        </w:rPr>
      </w:pPr>
      <w:r>
        <w:rPr>
          <w:rFonts w:ascii="Times New Roman" w:cs="Times New Roman" w:eastAsia="Times New Roman" w:hAnsi="Times New Roman"/>
          <w:sz w:val="14"/>
          <w:szCs w:val="14"/>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Control share acquisitions</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Our bylaws contain a provision exempting from the Control Share Acquisition Act any and all acquisitions by any person of shares of our stock.</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There can be no assurance that such provision will not be amended or eliminated at any time in the future to the extent permitted by the 1940 Act.</w:t>
      </w:r>
    </w:p>
    <w:p>
      <w:pPr>
        <w:spacing w:after="0" w:line="182" w:lineRule="exact"/>
        <w:rPr>
          <w:sz w:val="20"/>
          <w:szCs w:val="20"/>
          <w:color w:val="auto"/>
        </w:rPr>
      </w:pPr>
    </w:p>
    <w:p>
      <w:pPr>
        <w:ind w:left="280" w:right="359" w:firstLine="338"/>
        <w:spacing w:after="0" w:line="253" w:lineRule="auto"/>
        <w:rPr>
          <w:sz w:val="20"/>
          <w:szCs w:val="20"/>
          <w:color w:val="auto"/>
        </w:rPr>
      </w:pPr>
      <w:r>
        <w:rPr>
          <w:rFonts w:ascii="Times New Roman" w:cs="Times New Roman" w:eastAsia="Times New Roman" w:hAnsi="Times New Roman"/>
          <w:sz w:val="14"/>
          <w:szCs w:val="14"/>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71" w:lineRule="exact"/>
        <w:rPr>
          <w:sz w:val="20"/>
          <w:szCs w:val="20"/>
          <w:color w:val="auto"/>
        </w:rPr>
      </w:pPr>
    </w:p>
    <w:p>
      <w:pPr>
        <w:ind w:left="1020" w:hanging="332"/>
        <w:spacing w:after="0"/>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one-tenth or more but less than one-third;</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one-third or more but less than a majority; or</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or more of all voting power.</w:t>
      </w:r>
    </w:p>
    <w:p>
      <w:pPr>
        <w:spacing w:after="0" w:line="171" w:lineRule="exact"/>
        <w:rPr>
          <w:sz w:val="20"/>
          <w:szCs w:val="20"/>
          <w:color w:val="auto"/>
        </w:rPr>
      </w:pPr>
    </w:p>
    <w:p>
      <w:pPr>
        <w:ind w:left="280" w:right="399" w:firstLine="338"/>
        <w:spacing w:after="0" w:line="262" w:lineRule="auto"/>
        <w:rPr>
          <w:sz w:val="20"/>
          <w:szCs w:val="20"/>
          <w:color w:val="auto"/>
        </w:rPr>
      </w:pPr>
      <w:r>
        <w:rPr>
          <w:rFonts w:ascii="Times New Roman" w:cs="Times New Roman" w:eastAsia="Times New Roman" w:hAnsi="Times New Roman"/>
          <w:sz w:val="14"/>
          <w:szCs w:val="14"/>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36" w:lineRule="exact"/>
        <w:rPr>
          <w:sz w:val="20"/>
          <w:szCs w:val="20"/>
          <w:color w:val="auto"/>
        </w:rPr>
      </w:pPr>
    </w:p>
    <w:p>
      <w:pPr>
        <w:ind w:left="280" w:right="499" w:firstLine="338"/>
        <w:spacing w:after="0" w:line="257" w:lineRule="auto"/>
        <w:rPr>
          <w:sz w:val="20"/>
          <w:szCs w:val="20"/>
          <w:color w:val="auto"/>
        </w:rPr>
      </w:pPr>
      <w:r>
        <w:rPr>
          <w:rFonts w:ascii="Times New Roman" w:cs="Times New Roman" w:eastAsia="Times New Roman" w:hAnsi="Times New Roman"/>
          <w:sz w:val="14"/>
          <w:szCs w:val="14"/>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0" w:lineRule="exact"/>
        <w:rPr>
          <w:sz w:val="20"/>
          <w:szCs w:val="20"/>
          <w:color w:val="auto"/>
        </w:rPr>
      </w:pPr>
    </w:p>
    <w:p>
      <w:pPr>
        <w:ind w:left="280" w:right="319" w:firstLine="338"/>
        <w:spacing w:after="0" w:line="251" w:lineRule="auto"/>
        <w:rPr>
          <w:sz w:val="20"/>
          <w:szCs w:val="20"/>
          <w:color w:val="auto"/>
        </w:rPr>
      </w:pPr>
      <w:r>
        <w:rPr>
          <w:rFonts w:ascii="Times New Roman" w:cs="Times New Roman" w:eastAsia="Times New Roman" w:hAnsi="Times New Roman"/>
          <w:sz w:val="14"/>
          <w:szCs w:val="14"/>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60" w:right="1440" w:bottom="1440" w:gutter="0" w:footer="0" w:header="0"/>
        </w:sectPr>
      </w:pPr>
    </w:p>
    <w:bookmarkStart w:id="69" w:name="page70"/>
    <w:bookmarkEnd w:id="69"/>
    <w:p>
      <w:pPr>
        <w:ind w:left="280" w:right="379" w:firstLine="338"/>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90" w:lineRule="exact"/>
        <w:rPr>
          <w:sz w:val="20"/>
          <w:szCs w:val="20"/>
          <w:color w:val="auto"/>
        </w:rPr>
      </w:pPr>
    </w:p>
    <w:p>
      <w:pPr>
        <w:ind w:left="280" w:right="639" w:firstLine="338"/>
        <w:spacing w:after="0" w:line="257" w:lineRule="auto"/>
        <w:rPr>
          <w:sz w:val="20"/>
          <w:szCs w:val="20"/>
          <w:color w:val="auto"/>
        </w:rPr>
      </w:pPr>
      <w:r>
        <w:rPr>
          <w:rFonts w:ascii="Times New Roman" w:cs="Times New Roman" w:eastAsia="Times New Roman" w:hAnsi="Times New Roman"/>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7" w:lineRule="exact"/>
        <w:rPr>
          <w:sz w:val="20"/>
          <w:szCs w:val="20"/>
          <w:color w:val="auto"/>
        </w:rPr>
      </w:pPr>
    </w:p>
    <w:p>
      <w:pPr>
        <w:ind w:left="1020" w:hanging="332"/>
        <w:spacing w:after="0"/>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beneficially owns, directly or indirectly, 10% or more of the voting power of the corporation’s shares; or</w:t>
      </w:r>
    </w:p>
    <w:p>
      <w:pPr>
        <w:spacing w:after="0" w:line="98" w:lineRule="exact"/>
        <w:rPr>
          <w:rFonts w:ascii="Times New Roman" w:cs="Times New Roman" w:eastAsia="Times New Roman" w:hAnsi="Times New Roman"/>
          <w:sz w:val="14"/>
          <w:szCs w:val="14"/>
          <w:color w:val="auto"/>
        </w:rPr>
      </w:pPr>
    </w:p>
    <w:p>
      <w:pPr>
        <w:ind w:left="1020" w:right="619" w:hanging="332"/>
        <w:spacing w:after="0" w:line="277" w:lineRule="auto"/>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6" w:lineRule="exact"/>
        <w:rPr>
          <w:sz w:val="20"/>
          <w:szCs w:val="20"/>
          <w:color w:val="auto"/>
        </w:rPr>
      </w:pPr>
    </w:p>
    <w:p>
      <w:pPr>
        <w:jc w:val="both"/>
        <w:ind w:left="280" w:right="519" w:firstLine="338"/>
        <w:spacing w:after="0" w:line="262" w:lineRule="auto"/>
        <w:rPr>
          <w:sz w:val="20"/>
          <w:szCs w:val="20"/>
          <w:color w:val="auto"/>
        </w:rPr>
      </w:pPr>
      <w:r>
        <w:rPr>
          <w:rFonts w:ascii="Times New Roman" w:cs="Times New Roman" w:eastAsia="Times New Roman" w:hAnsi="Times New Roman"/>
          <w:sz w:val="14"/>
          <w:szCs w:val="14"/>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36" w:lineRule="exact"/>
        <w:rPr>
          <w:sz w:val="20"/>
          <w:szCs w:val="20"/>
          <w:color w:val="auto"/>
        </w:rPr>
      </w:pPr>
    </w:p>
    <w:p>
      <w:pPr>
        <w:ind w:left="280" w:right="379" w:firstLine="338"/>
        <w:spacing w:after="0" w:line="277" w:lineRule="auto"/>
        <w:rPr>
          <w:sz w:val="20"/>
          <w:szCs w:val="20"/>
          <w:color w:val="auto"/>
        </w:rPr>
      </w:pPr>
      <w:r>
        <w:rPr>
          <w:rFonts w:ascii="Times New Roman" w:cs="Times New Roman" w:eastAsia="Times New Roman" w:hAnsi="Times New Roman"/>
          <w:sz w:val="14"/>
          <w:szCs w:val="14"/>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4" w:lineRule="exact"/>
        <w:rPr>
          <w:sz w:val="20"/>
          <w:szCs w:val="20"/>
          <w:color w:val="auto"/>
        </w:rPr>
      </w:pPr>
    </w:p>
    <w:p>
      <w:pPr>
        <w:ind w:left="1020" w:hanging="332"/>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 of the votes entitled to be cast by holders of outstanding shares of voting stock of the corporation; and</w:t>
      </w:r>
    </w:p>
    <w:p>
      <w:pPr>
        <w:spacing w:after="0" w:line="98" w:lineRule="exact"/>
        <w:rPr>
          <w:rFonts w:ascii="Times New Roman" w:cs="Times New Roman" w:eastAsia="Times New Roman" w:hAnsi="Times New Roman"/>
          <w:sz w:val="14"/>
          <w:szCs w:val="14"/>
          <w:color w:val="auto"/>
        </w:rPr>
      </w:pPr>
    </w:p>
    <w:p>
      <w:pPr>
        <w:ind w:left="1020" w:right="379" w:hanging="332"/>
        <w:spacing w:after="0" w:line="262" w:lineRule="auto"/>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36" w:lineRule="exact"/>
        <w:rPr>
          <w:sz w:val="20"/>
          <w:szCs w:val="20"/>
          <w:color w:val="auto"/>
        </w:rPr>
      </w:pPr>
    </w:p>
    <w:p>
      <w:pPr>
        <w:ind w:left="280" w:right="359" w:firstLine="338"/>
        <w:spacing w:after="0" w:line="317" w:lineRule="auto"/>
        <w:rPr>
          <w:sz w:val="20"/>
          <w:szCs w:val="20"/>
          <w:color w:val="auto"/>
        </w:rPr>
      </w:pPr>
      <w:r>
        <w:rPr>
          <w:rFonts w:ascii="Times New Roman" w:cs="Times New Roman" w:eastAsia="Times New Roman" w:hAnsi="Times New Roman"/>
          <w:sz w:val="13"/>
          <w:szCs w:val="13"/>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03" w:lineRule="exact"/>
        <w:rPr>
          <w:sz w:val="20"/>
          <w:szCs w:val="20"/>
          <w:color w:val="auto"/>
        </w:rPr>
      </w:pPr>
    </w:p>
    <w:p>
      <w:pPr>
        <w:ind w:left="280" w:right="299" w:firstLine="338"/>
        <w:spacing w:after="0" w:line="276" w:lineRule="auto"/>
        <w:rPr>
          <w:sz w:val="20"/>
          <w:szCs w:val="20"/>
          <w:color w:val="auto"/>
        </w:rPr>
      </w:pPr>
      <w:r>
        <w:rPr>
          <w:rFonts w:ascii="Times New Roman" w:cs="Times New Roman" w:eastAsia="Times New Roman" w:hAnsi="Times New Roman"/>
          <w:sz w:val="13"/>
          <w:szCs w:val="13"/>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Conflict with 1940 Act</w:t>
      </w:r>
    </w:p>
    <w:p>
      <w:pPr>
        <w:spacing w:after="0" w:line="173" w:lineRule="exact"/>
        <w:rPr>
          <w:sz w:val="20"/>
          <w:szCs w:val="20"/>
          <w:color w:val="auto"/>
        </w:rPr>
      </w:pPr>
    </w:p>
    <w:p>
      <w:pPr>
        <w:ind w:left="280" w:right="379" w:firstLine="338"/>
        <w:spacing w:after="0" w:line="262" w:lineRule="auto"/>
        <w:rPr>
          <w:sz w:val="20"/>
          <w:szCs w:val="20"/>
          <w:color w:val="auto"/>
        </w:rPr>
      </w:pPr>
      <w:r>
        <w:rPr>
          <w:rFonts w:ascii="Times New Roman" w:cs="Times New Roman" w:eastAsia="Times New Roman" w:hAnsi="Times New Roman"/>
          <w:sz w:val="14"/>
          <w:szCs w:val="14"/>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60" w:right="1440" w:bottom="1440" w:gutter="0" w:footer="0" w:header="0"/>
        </w:sectPr>
      </w:pPr>
    </w:p>
    <w:bookmarkStart w:id="70" w:name="page71"/>
    <w:bookmarkEnd w:id="70"/>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02805" cy="45720"/>
                    </a:xfrm>
                    <a:prstGeom prst="rect">
                      <a:avLst/>
                    </a:prstGeom>
                    <a:noFill/>
                  </pic:spPr>
                </pic:pic>
              </a:graphicData>
            </a:graphic>
          </wp:anchor>
        </w:drawing>
        <w:t>Exclusive Forum</w:t>
      </w:r>
    </w:p>
    <w:p>
      <w:pPr>
        <w:spacing w:after="0" w:line="90" w:lineRule="exact"/>
        <w:rPr>
          <w:sz w:val="20"/>
          <w:szCs w:val="20"/>
          <w:color w:val="auto"/>
        </w:rPr>
      </w:pPr>
    </w:p>
    <w:p>
      <w:pPr>
        <w:ind w:left="280" w:right="379" w:firstLine="338"/>
        <w:spacing w:after="0" w:line="272" w:lineRule="auto"/>
        <w:rPr>
          <w:sz w:val="20"/>
          <w:szCs w:val="20"/>
          <w:color w:val="auto"/>
        </w:rPr>
      </w:pPr>
      <w:r>
        <w:rPr>
          <w:rFonts w:ascii="Times New Roman" w:cs="Times New Roman" w:eastAsia="Times New Roman" w:hAnsi="Times New Roman"/>
          <w:sz w:val="13"/>
          <w:szCs w:val="13"/>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 (a) any Internal Corporate Claim, as such term is defined in Section 1-101(q) of the Maryland General Corporation Law, or any successor provision thereof, (b) any derivative action or proceeding brought on behalf of the Company, other than actions arising under federal securities laws,</w:t>
      </w:r>
    </w:p>
    <w:p>
      <w:pPr>
        <w:spacing w:after="0" w:line="1" w:lineRule="exact"/>
        <w:rPr>
          <w:sz w:val="20"/>
          <w:szCs w:val="20"/>
          <w:color w:val="auto"/>
        </w:rPr>
      </w:pPr>
    </w:p>
    <w:p>
      <w:pPr>
        <w:ind w:left="280" w:right="319" w:hanging="7"/>
        <w:spacing w:after="0" w:line="249" w:lineRule="auto"/>
        <w:tabs>
          <w:tab w:leader="none" w:pos="46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of breach of any duty owed by any director or officer or other agent of the Company to the Company or to the stockholders of the Company, (d) any action asserting a claim against the Company or any director or officer or other agent of the Company arising pursuant to any provision of the Maryland General Corporation Law or our charter or bylaws or (e) any other action asserting a claim against the Company or any director or officer or other agent of the Company that is governed by the internal affairs doctrine. None of the foregoing actions, claims or proceedings may be brought in any court sitting outside the State of Maryland unless the Company consents in writing to such court.</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OUR PREFERRED STOCK</w:t>
      </w:r>
    </w:p>
    <w:p>
      <w:pPr>
        <w:spacing w:after="0" w:line="173" w:lineRule="exact"/>
        <w:rPr>
          <w:sz w:val="20"/>
          <w:szCs w:val="20"/>
          <w:color w:val="auto"/>
        </w:rPr>
      </w:pPr>
    </w:p>
    <w:p>
      <w:pPr>
        <w:ind w:left="280" w:right="339" w:firstLine="338"/>
        <w:spacing w:after="0" w:line="252" w:lineRule="auto"/>
        <w:rPr>
          <w:sz w:val="20"/>
          <w:szCs w:val="20"/>
          <w:color w:val="auto"/>
        </w:rPr>
      </w:pPr>
      <w:r>
        <w:rPr>
          <w:rFonts w:ascii="Times New Roman" w:cs="Times New Roman" w:eastAsia="Times New Roman" w:hAnsi="Times New Roman"/>
          <w:sz w:val="14"/>
          <w:szCs w:val="14"/>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44" w:lineRule="exact"/>
        <w:rPr>
          <w:sz w:val="20"/>
          <w:szCs w:val="20"/>
          <w:color w:val="auto"/>
        </w:rPr>
      </w:pPr>
    </w:p>
    <w:p>
      <w:pPr>
        <w:ind w:left="280" w:right="439" w:firstLine="338"/>
        <w:spacing w:after="0" w:line="274" w:lineRule="auto"/>
        <w:rPr>
          <w:sz w:val="20"/>
          <w:szCs w:val="20"/>
          <w:color w:val="auto"/>
        </w:rPr>
      </w:pPr>
      <w:r>
        <w:rPr>
          <w:rFonts w:ascii="Times New Roman" w:cs="Times New Roman" w:eastAsia="Times New Roman" w:hAnsi="Times New Roman"/>
          <w:sz w:val="13"/>
          <w:szCs w:val="13"/>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 2/3%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33" w:lineRule="exact"/>
        <w:rPr>
          <w:sz w:val="20"/>
          <w:szCs w:val="20"/>
          <w:color w:val="auto"/>
        </w:rPr>
      </w:pPr>
    </w:p>
    <w:p>
      <w:pPr>
        <w:ind w:left="280" w:right="519" w:firstLine="338"/>
        <w:spacing w:after="0" w:line="277" w:lineRule="auto"/>
        <w:rPr>
          <w:sz w:val="20"/>
          <w:szCs w:val="20"/>
          <w:color w:val="auto"/>
        </w:rPr>
      </w:pPr>
      <w:r>
        <w:rPr>
          <w:rFonts w:ascii="Times New Roman" w:cs="Times New Roman" w:eastAsia="Times New Roman" w:hAnsi="Times New Roman"/>
          <w:sz w:val="14"/>
          <w:szCs w:val="14"/>
          <w:color w:val="auto"/>
        </w:rPr>
        <w:t>For any series of preferred stock that we may issue, our board of directors will determine and the prospectus supplement relating to such series will describe:</w:t>
      </w:r>
    </w:p>
    <w:p>
      <w:pPr>
        <w:spacing w:after="0" w:line="54" w:lineRule="exact"/>
        <w:rPr>
          <w:sz w:val="20"/>
          <w:szCs w:val="20"/>
          <w:color w:val="auto"/>
        </w:rPr>
      </w:pPr>
    </w:p>
    <w:p>
      <w:pPr>
        <w:ind w:left="1020" w:hanging="332"/>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number of shares of such series;</w:t>
      </w:r>
    </w:p>
    <w:p>
      <w:pPr>
        <w:spacing w:after="0" w:line="98" w:lineRule="exact"/>
        <w:rPr>
          <w:rFonts w:ascii="Times New Roman" w:cs="Times New Roman" w:eastAsia="Times New Roman" w:hAnsi="Times New Roman"/>
          <w:sz w:val="14"/>
          <w:szCs w:val="14"/>
          <w:color w:val="auto"/>
        </w:rPr>
      </w:pPr>
    </w:p>
    <w:p>
      <w:pPr>
        <w:ind w:left="1020" w:right="379" w:hanging="332"/>
        <w:spacing w:after="0" w:line="277" w:lineRule="auto"/>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convertibility or exchangeability of the shares of such series;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and preferences, if any, of holders of shares of such series upon our liquidation, dissolution or winding up of our affairs;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powers, if any, of the holders of shares of such series;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58" w:right="1440" w:bottom="1440" w:gutter="0" w:footer="0" w:header="0"/>
        </w:sectPr>
      </w:pPr>
    </w:p>
    <w:bookmarkStart w:id="71" w:name="page72"/>
    <w:bookmarkEnd w:id="71"/>
    <w:p>
      <w:pPr>
        <w:ind w:left="1020" w:hanging="33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02805" cy="45720"/>
                    </a:xfrm>
                    <a:prstGeom prst="rect">
                      <a:avLst/>
                    </a:prstGeom>
                    <a:noFill/>
                  </pic:spPr>
                </pic:pic>
              </a:graphicData>
            </a:graphic>
          </wp:anchor>
        </w:drawing>
        <w:t>any provisions relating to the redemption of the shares of such series;</w:t>
      </w:r>
    </w:p>
    <w:p>
      <w:pPr>
        <w:spacing w:after="0" w:line="98" w:lineRule="exact"/>
        <w:rPr>
          <w:rFonts w:ascii="Times New Roman" w:cs="Times New Roman" w:eastAsia="Times New Roman" w:hAnsi="Times New Roman"/>
          <w:sz w:val="14"/>
          <w:szCs w:val="14"/>
          <w:color w:val="auto"/>
        </w:rPr>
      </w:pPr>
    </w:p>
    <w:p>
      <w:pPr>
        <w:ind w:left="1020" w:right="439" w:hanging="332"/>
        <w:spacing w:after="0" w:line="277"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our ability to pay dividends or make distributions on, or acquire or redeem, other securities while shares of such series are outstanding;</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conditions or restrictions on our ability to issue additional shares of such series or other securities;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certain U.S. federal income tax considerations; and</w:t>
      </w:r>
    </w:p>
    <w:p>
      <w:pPr>
        <w:spacing w:after="0" w:line="98" w:lineRule="exact"/>
        <w:rPr>
          <w:rFonts w:ascii="Times New Roman" w:cs="Times New Roman" w:eastAsia="Times New Roman" w:hAnsi="Times New Roman"/>
          <w:sz w:val="14"/>
          <w:szCs w:val="14"/>
          <w:color w:val="auto"/>
        </w:rPr>
      </w:pPr>
    </w:p>
    <w:p>
      <w:pPr>
        <w:ind w:left="1020" w:right="319" w:hanging="332"/>
        <w:spacing w:after="0" w:line="277" w:lineRule="auto"/>
        <w:tabs>
          <w:tab w:leader="none" w:pos="10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relative power, preferences and participating, optional or special rights of shares of such series, and the qualifications, limitations or restrictions thereof.</w:t>
      </w:r>
    </w:p>
    <w:p>
      <w:pPr>
        <w:spacing w:after="0" w:line="126" w:lineRule="exact"/>
        <w:rPr>
          <w:sz w:val="20"/>
          <w:szCs w:val="20"/>
          <w:color w:val="auto"/>
        </w:rPr>
      </w:pPr>
    </w:p>
    <w:p>
      <w:pPr>
        <w:ind w:left="280" w:right="359" w:firstLine="338"/>
        <w:spacing w:after="0" w:line="253" w:lineRule="auto"/>
        <w:rPr>
          <w:sz w:val="20"/>
          <w:szCs w:val="20"/>
          <w:color w:val="auto"/>
        </w:rPr>
      </w:pPr>
      <w:r>
        <w:rPr>
          <w:rFonts w:ascii="Times New Roman" w:cs="Times New Roman" w:eastAsia="Times New Roman" w:hAnsi="Times New Roman"/>
          <w:sz w:val="14"/>
          <w:szCs w:val="14"/>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OUR WARRANTS</w:t>
      </w:r>
    </w:p>
    <w:p>
      <w:pPr>
        <w:spacing w:after="0" w:line="173" w:lineRule="exact"/>
        <w:rPr>
          <w:sz w:val="20"/>
          <w:szCs w:val="20"/>
          <w:color w:val="auto"/>
        </w:rPr>
      </w:pPr>
    </w:p>
    <w:p>
      <w:pPr>
        <w:ind w:left="280" w:right="379" w:firstLine="338"/>
        <w:spacing w:after="0" w:line="277" w:lineRule="auto"/>
        <w:rPr>
          <w:sz w:val="20"/>
          <w:szCs w:val="20"/>
          <w:color w:val="auto"/>
        </w:rPr>
      </w:pPr>
      <w:r>
        <w:rPr>
          <w:rFonts w:ascii="Times New Roman" w:cs="Times New Roman" w:eastAsia="Times New Roman" w:hAnsi="Times New Roman"/>
          <w:sz w:val="14"/>
          <w:szCs w:val="14"/>
          <w:color w:val="auto"/>
        </w:rPr>
        <w:t>The following is a general description of the terms of the warrants we may issue from time to time. Particular terms of any warrants we offer will be described in the prospectus supplement relating to such warrants.</w:t>
      </w:r>
    </w:p>
    <w:p>
      <w:pPr>
        <w:spacing w:after="0" w:line="126" w:lineRule="exact"/>
        <w:rPr>
          <w:sz w:val="20"/>
          <w:szCs w:val="20"/>
          <w:color w:val="auto"/>
        </w:rPr>
      </w:pPr>
    </w:p>
    <w:p>
      <w:pPr>
        <w:ind w:left="280" w:right="359" w:firstLine="338"/>
        <w:spacing w:after="0" w:line="257" w:lineRule="auto"/>
        <w:rPr>
          <w:sz w:val="20"/>
          <w:szCs w:val="20"/>
          <w:color w:val="auto"/>
        </w:rPr>
      </w:pPr>
      <w:r>
        <w:rPr>
          <w:rFonts w:ascii="Times New Roman" w:cs="Times New Roman" w:eastAsia="Times New Roman" w:hAnsi="Times New Roman"/>
          <w:sz w:val="14"/>
          <w:szCs w:val="14"/>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 prospectus supplement will describe the particular terms of any series of warrants we may issue, including the following:</w:t>
      </w:r>
    </w:p>
    <w:p>
      <w:pPr>
        <w:spacing w:after="0" w:line="98" w:lineRule="exact"/>
        <w:rPr>
          <w:sz w:val="20"/>
          <w:szCs w:val="20"/>
          <w:color w:val="auto"/>
        </w:rPr>
      </w:pPr>
    </w:p>
    <w:p>
      <w:pPr>
        <w:ind w:left="1020" w:hanging="332"/>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warrants;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such warrants;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warrants will be issued;</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the price of such warrants may be payable;</w:t>
      </w:r>
    </w:p>
    <w:p>
      <w:pPr>
        <w:spacing w:after="0" w:line="98" w:lineRule="exact"/>
        <w:rPr>
          <w:rFonts w:ascii="Times New Roman" w:cs="Times New Roman" w:eastAsia="Times New Roman" w:hAnsi="Times New Roman"/>
          <w:sz w:val="14"/>
          <w:szCs w:val="14"/>
          <w:color w:val="auto"/>
        </w:rPr>
      </w:pPr>
    </w:p>
    <w:p>
      <w:pPr>
        <w:ind w:left="1020" w:right="459" w:hanging="332"/>
        <w:spacing w:after="0" w:line="277" w:lineRule="auto"/>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53" w:lineRule="exact"/>
        <w:rPr>
          <w:rFonts w:ascii="Times New Roman" w:cs="Times New Roman" w:eastAsia="Times New Roman" w:hAnsi="Times New Roman"/>
          <w:sz w:val="14"/>
          <w:szCs w:val="14"/>
          <w:color w:val="auto"/>
        </w:rPr>
      </w:pPr>
    </w:p>
    <w:p>
      <w:pPr>
        <w:ind w:left="1020" w:right="299" w:hanging="332"/>
        <w:spacing w:after="0" w:line="262" w:lineRule="auto"/>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63" w:lineRule="exact"/>
        <w:rPr>
          <w:rFonts w:ascii="Times New Roman" w:cs="Times New Roman" w:eastAsia="Times New Roman" w:hAnsi="Times New Roman"/>
          <w:sz w:val="14"/>
          <w:szCs w:val="14"/>
          <w:color w:val="auto"/>
        </w:rPr>
      </w:pPr>
    </w:p>
    <w:p>
      <w:pPr>
        <w:jc w:val="both"/>
        <w:ind w:left="1020" w:right="299" w:hanging="332"/>
        <w:spacing w:after="0" w:line="262" w:lineRule="auto"/>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60" w:right="1440" w:bottom="1440" w:gutter="0" w:footer="0" w:header="0"/>
        </w:sectPr>
      </w:pPr>
    </w:p>
    <w:bookmarkStart w:id="72" w:name="page73"/>
    <w:bookmarkEnd w:id="72"/>
    <w:p>
      <w:pPr>
        <w:ind w:left="1020" w:hanging="33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date on which the right to exercise such warrants will commence and the date on which such right will expire;</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warrants will be issued in registered form or bearer form;</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such warrants which may be exercised at any one time;</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such warrants and the related securities will be separately transferable;</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certain U.S. federal income tax considerations; and</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warrants, including terms, procedures and limitations relating to the exchange and exercise of such warrants.</w:t>
      </w:r>
    </w:p>
    <w:p>
      <w:pPr>
        <w:spacing w:after="0" w:line="171" w:lineRule="exact"/>
        <w:rPr>
          <w:sz w:val="20"/>
          <w:szCs w:val="20"/>
          <w:color w:val="auto"/>
        </w:rPr>
      </w:pPr>
    </w:p>
    <w:p>
      <w:pPr>
        <w:ind w:left="280" w:right="379" w:firstLine="338"/>
        <w:spacing w:after="0" w:line="262" w:lineRule="auto"/>
        <w:rPr>
          <w:sz w:val="20"/>
          <w:szCs w:val="20"/>
          <w:color w:val="auto"/>
        </w:rPr>
      </w:pPr>
      <w:r>
        <w:rPr>
          <w:rFonts w:ascii="Times New Roman" w:cs="Times New Roman" w:eastAsia="Times New Roman" w:hAnsi="Times New Roman"/>
          <w:sz w:val="14"/>
          <w:szCs w:val="14"/>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36" w:lineRule="exact"/>
        <w:rPr>
          <w:sz w:val="20"/>
          <w:szCs w:val="20"/>
          <w:color w:val="auto"/>
        </w:rPr>
      </w:pPr>
    </w:p>
    <w:p>
      <w:pPr>
        <w:jc w:val="both"/>
        <w:ind w:left="280" w:right="399" w:firstLine="338"/>
        <w:spacing w:after="0" w:line="283" w:lineRule="auto"/>
        <w:rPr>
          <w:sz w:val="20"/>
          <w:szCs w:val="20"/>
          <w:color w:val="auto"/>
        </w:rPr>
      </w:pPr>
      <w:r>
        <w:rPr>
          <w:rFonts w:ascii="Times New Roman" w:cs="Times New Roman" w:eastAsia="Times New Roman" w:hAnsi="Times New Roman"/>
          <w:sz w:val="13"/>
          <w:szCs w:val="13"/>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24" w:lineRule="exact"/>
        <w:rPr>
          <w:sz w:val="20"/>
          <w:szCs w:val="20"/>
          <w:color w:val="auto"/>
        </w:rPr>
      </w:pPr>
    </w:p>
    <w:p>
      <w:pPr>
        <w:ind w:left="280" w:right="299" w:firstLine="338"/>
        <w:spacing w:after="0" w:line="251" w:lineRule="auto"/>
        <w:rPr>
          <w:sz w:val="20"/>
          <w:szCs w:val="20"/>
          <w:color w:val="auto"/>
        </w:rPr>
      </w:pPr>
      <w:r>
        <w:rPr>
          <w:rFonts w:ascii="Times New Roman" w:cs="Times New Roman" w:eastAsia="Times New Roman" w:hAnsi="Times New Roman"/>
          <w:sz w:val="14"/>
          <w:szCs w:val="14"/>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OUR SUBSCRIPTION RIGHTS</w:t>
      </w:r>
    </w:p>
    <w:p>
      <w:pPr>
        <w:spacing w:after="0" w:line="173" w:lineRule="exact"/>
        <w:rPr>
          <w:sz w:val="20"/>
          <w:szCs w:val="20"/>
          <w:color w:val="auto"/>
        </w:rPr>
      </w:pPr>
    </w:p>
    <w:p>
      <w:pPr>
        <w:ind w:left="280" w:right="359" w:firstLine="338"/>
        <w:spacing w:after="0" w:line="252" w:lineRule="auto"/>
        <w:rPr>
          <w:sz w:val="20"/>
          <w:szCs w:val="20"/>
          <w:color w:val="auto"/>
        </w:rPr>
      </w:pPr>
      <w:r>
        <w:rPr>
          <w:rFonts w:ascii="Times New Roman" w:cs="Times New Roman" w:eastAsia="Times New Roman" w:hAnsi="Times New Roman"/>
          <w:sz w:val="14"/>
          <w:szCs w:val="14"/>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60" w:right="1440" w:bottom="1440" w:gutter="0" w:footer="0" w:header="0"/>
        </w:sectPr>
      </w:pPr>
    </w:p>
    <w:bookmarkStart w:id="73" w:name="page74"/>
    <w:bookmarkEnd w:id="73"/>
    <w:p>
      <w:pPr>
        <w:ind w:left="280" w:right="41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02805" cy="45720"/>
                    </a:xfrm>
                    <a:prstGeom prst="rect">
                      <a:avLst/>
                    </a:prstGeom>
                    <a:noFill/>
                  </pic:spPr>
                </pic:pic>
              </a:graphicData>
            </a:graphic>
          </wp:anchor>
        </w:drawing>
        <w:t>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36" w:lineRule="exact"/>
        <w:rPr>
          <w:sz w:val="20"/>
          <w:szCs w:val="20"/>
          <w:color w:val="auto"/>
        </w:rPr>
      </w:pPr>
    </w:p>
    <w:p>
      <w:pPr>
        <w:ind w:left="280" w:right="679" w:firstLine="338"/>
        <w:spacing w:after="0" w:line="277" w:lineRule="auto"/>
        <w:rPr>
          <w:sz w:val="20"/>
          <w:szCs w:val="20"/>
          <w:color w:val="auto"/>
        </w:rPr>
      </w:pPr>
      <w:r>
        <w:rPr>
          <w:rFonts w:ascii="Times New Roman" w:cs="Times New Roman" w:eastAsia="Times New Roman" w:hAnsi="Times New Roman"/>
          <w:sz w:val="14"/>
          <w:szCs w:val="14"/>
          <w:color w:val="auto"/>
        </w:rPr>
        <w:t>The applicable prospectus supplement would describe the following terms of subscription rights in respect of which this prospectus is being delivered:</w:t>
      </w:r>
    </w:p>
    <w:p>
      <w:pPr>
        <w:spacing w:after="0" w:line="54" w:lineRule="exact"/>
        <w:rPr>
          <w:sz w:val="20"/>
          <w:szCs w:val="20"/>
          <w:color w:val="auto"/>
        </w:rPr>
      </w:pPr>
    </w:p>
    <w:p>
      <w:pPr>
        <w:ind w:left="1020" w:hanging="33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subscription rights;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or a formula for the determination of the exercise price for such subscription rights;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or a formula for the determination of the number of such subscription rights issued to each stockholder;</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such subscription rights are transferable;</w:t>
      </w:r>
    </w:p>
    <w:p>
      <w:pPr>
        <w:spacing w:after="0" w:line="98" w:lineRule="exact"/>
        <w:rPr>
          <w:rFonts w:ascii="Times New Roman" w:cs="Times New Roman" w:eastAsia="Times New Roman" w:hAnsi="Times New Roman"/>
          <w:sz w:val="14"/>
          <w:szCs w:val="14"/>
          <w:color w:val="auto"/>
        </w:rPr>
      </w:pPr>
    </w:p>
    <w:p>
      <w:pPr>
        <w:ind w:left="1020" w:right="319" w:hanging="332"/>
        <w:spacing w:after="0" w:line="277" w:lineRule="auto"/>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the material U.S. federal income tax considerations applicable to the issuance or exercise of such subscription rights;</w:t>
      </w:r>
    </w:p>
    <w:p>
      <w:pPr>
        <w:spacing w:after="0" w:line="53" w:lineRule="exact"/>
        <w:rPr>
          <w:rFonts w:ascii="Times New Roman" w:cs="Times New Roman" w:eastAsia="Times New Roman" w:hAnsi="Times New Roman"/>
          <w:sz w:val="14"/>
          <w:szCs w:val="14"/>
          <w:color w:val="auto"/>
        </w:rPr>
      </w:pPr>
    </w:p>
    <w:p>
      <w:pPr>
        <w:ind w:left="1020" w:right="359" w:hanging="332"/>
        <w:spacing w:after="0" w:line="277" w:lineRule="auto"/>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subscription rights would commence, and the date on which such rights will expire (subject to any extension);</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such subscription rights include an over-subscription privilege with respect to unsubscribed securities;</w:t>
      </w:r>
    </w:p>
    <w:p>
      <w:pPr>
        <w:spacing w:after="0" w:line="98" w:lineRule="exact"/>
        <w:rPr>
          <w:rFonts w:ascii="Times New Roman" w:cs="Times New Roman" w:eastAsia="Times New Roman" w:hAnsi="Times New Roman"/>
          <w:sz w:val="14"/>
          <w:szCs w:val="14"/>
          <w:color w:val="auto"/>
        </w:rPr>
      </w:pPr>
    </w:p>
    <w:p>
      <w:pPr>
        <w:ind w:left="1020" w:right="399" w:hanging="332"/>
        <w:spacing w:after="0" w:line="277" w:lineRule="auto"/>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other purchase arrangement that we may enter into in connection with the subscription rights offering; and</w:t>
      </w:r>
    </w:p>
    <w:p>
      <w:pPr>
        <w:spacing w:after="0" w:line="53" w:lineRule="exact"/>
        <w:rPr>
          <w:rFonts w:ascii="Times New Roman" w:cs="Times New Roman" w:eastAsia="Times New Roman" w:hAnsi="Times New Roman"/>
          <w:sz w:val="14"/>
          <w:szCs w:val="14"/>
          <w:color w:val="auto"/>
        </w:rPr>
      </w:pPr>
    </w:p>
    <w:p>
      <w:pPr>
        <w:ind w:left="1020" w:right="659" w:hanging="332"/>
        <w:spacing w:after="0" w:line="277" w:lineRule="auto"/>
        <w:tabs>
          <w:tab w:leader="none" w:pos="10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subscription rights, including terms, procedures and limitations relating to the exchange and exercise of such subscription rights.</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Exercise of Subscription Rights</w:t>
      </w:r>
    </w:p>
    <w:p>
      <w:pPr>
        <w:spacing w:after="0" w:line="173" w:lineRule="exact"/>
        <w:rPr>
          <w:sz w:val="20"/>
          <w:szCs w:val="20"/>
          <w:color w:val="auto"/>
        </w:rPr>
      </w:pPr>
    </w:p>
    <w:p>
      <w:pPr>
        <w:ind w:left="280" w:right="399" w:firstLine="338"/>
        <w:spacing w:after="0" w:line="254" w:lineRule="auto"/>
        <w:rPr>
          <w:sz w:val="20"/>
          <w:szCs w:val="20"/>
          <w:color w:val="auto"/>
        </w:rPr>
      </w:pPr>
      <w:r>
        <w:rPr>
          <w:rFonts w:ascii="Times New Roman" w:cs="Times New Roman" w:eastAsia="Times New Roman" w:hAnsi="Times New Roman"/>
          <w:sz w:val="14"/>
          <w:szCs w:val="14"/>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4" w:lineRule="exact"/>
        <w:rPr>
          <w:sz w:val="20"/>
          <w:szCs w:val="20"/>
          <w:color w:val="auto"/>
        </w:rPr>
      </w:pPr>
    </w:p>
    <w:p>
      <w:pPr>
        <w:ind w:left="280" w:right="319" w:firstLine="338"/>
        <w:spacing w:after="0" w:line="253" w:lineRule="auto"/>
        <w:rPr>
          <w:sz w:val="20"/>
          <w:szCs w:val="20"/>
          <w:color w:val="auto"/>
        </w:rPr>
      </w:pPr>
      <w:r>
        <w:rPr>
          <w:rFonts w:ascii="Times New Roman" w:cs="Times New Roman" w:eastAsia="Times New Roman" w:hAnsi="Times New Roman"/>
          <w:sz w:val="14"/>
          <w:szCs w:val="14"/>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60"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02805" cy="45720"/>
                    </a:xfrm>
                    <a:prstGeom prst="rect">
                      <a:avLst/>
                    </a:prstGeom>
                    <a:noFill/>
                  </pic:spPr>
                </pic:pic>
              </a:graphicData>
            </a:graphic>
          </wp:anchor>
        </w:drawing>
        <w:t>DESCRIPTION OF OUR DEBT SECURITIES</w:t>
      </w:r>
    </w:p>
    <w:p>
      <w:pPr>
        <w:spacing w:after="0" w:line="173" w:lineRule="exact"/>
        <w:rPr>
          <w:sz w:val="20"/>
          <w:szCs w:val="20"/>
          <w:color w:val="auto"/>
        </w:rPr>
      </w:pPr>
    </w:p>
    <w:p>
      <w:pPr>
        <w:ind w:left="280" w:right="359" w:firstLine="338"/>
        <w:spacing w:after="0" w:line="277" w:lineRule="auto"/>
        <w:rPr>
          <w:sz w:val="20"/>
          <w:szCs w:val="20"/>
          <w:color w:val="auto"/>
        </w:rPr>
      </w:pPr>
      <w:r>
        <w:rPr>
          <w:rFonts w:ascii="Times New Roman" w:cs="Times New Roman" w:eastAsia="Times New Roman" w:hAnsi="Times New Roman"/>
          <w:sz w:val="14"/>
          <w:szCs w:val="14"/>
          <w:color w:val="auto"/>
        </w:rPr>
        <w:t>In November 2017, we issued $138.6 million in aggregate principal amount of our 2023 Notes. The 2023 Notes were issued pursuant to a deed of trust between the Company and Mishmeret Trust Company, Ltd. as trustee.</w:t>
      </w:r>
    </w:p>
    <w:p>
      <w:pPr>
        <w:spacing w:after="0" w:line="126" w:lineRule="exact"/>
        <w:rPr>
          <w:sz w:val="20"/>
          <w:szCs w:val="20"/>
          <w:color w:val="auto"/>
        </w:rPr>
      </w:pPr>
    </w:p>
    <w:p>
      <w:pPr>
        <w:ind w:left="280" w:right="299" w:firstLine="338"/>
        <w:spacing w:after="0" w:line="257" w:lineRule="auto"/>
        <w:rPr>
          <w:sz w:val="20"/>
          <w:szCs w:val="20"/>
          <w:color w:val="auto"/>
        </w:rPr>
      </w:pPr>
      <w:r>
        <w:rPr>
          <w:rFonts w:ascii="Times New Roman" w:cs="Times New Roman" w:eastAsia="Times New Roman" w:hAnsi="Times New Roman"/>
          <w:sz w:val="14"/>
          <w:szCs w:val="14"/>
          <w:color w:val="auto"/>
        </w:rPr>
        <w:t>The 2023 Notes pay interest at a rate of 4.3%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40" w:lineRule="exact"/>
        <w:rPr>
          <w:sz w:val="20"/>
          <w:szCs w:val="20"/>
          <w:color w:val="auto"/>
        </w:rPr>
      </w:pPr>
    </w:p>
    <w:p>
      <w:pPr>
        <w:ind w:left="280" w:right="319" w:firstLine="338"/>
        <w:spacing w:after="0" w:line="257" w:lineRule="auto"/>
        <w:rPr>
          <w:sz w:val="20"/>
          <w:szCs w:val="20"/>
          <w:color w:val="auto"/>
        </w:rPr>
      </w:pPr>
      <w:r>
        <w:rPr>
          <w:rFonts w:ascii="Times New Roman" w:cs="Times New Roman" w:eastAsia="Times New Roman" w:hAnsi="Times New Roman"/>
          <w:sz w:val="14"/>
          <w:szCs w:val="14"/>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The 2023 Notes are rated ilA- by S&amp;P Global Ratings Maalot Ltd. and are listed for trading on the TASE.</w:t>
      </w:r>
    </w:p>
    <w:p>
      <w:pPr>
        <w:spacing w:after="0" w:line="140" w:lineRule="exact"/>
        <w:rPr>
          <w:sz w:val="20"/>
          <w:szCs w:val="20"/>
          <w:color w:val="auto"/>
        </w:rPr>
      </w:pPr>
    </w:p>
    <w:p>
      <w:pPr>
        <w:ind w:left="280" w:right="679" w:firstLine="338"/>
        <w:spacing w:after="0" w:line="277" w:lineRule="auto"/>
        <w:rPr>
          <w:sz w:val="20"/>
          <w:szCs w:val="20"/>
          <w:color w:val="auto"/>
        </w:rPr>
      </w:pPr>
      <w:r>
        <w:rPr>
          <w:rFonts w:ascii="Times New Roman" w:cs="Times New Roman" w:eastAsia="Times New Roman" w:hAnsi="Times New Roman"/>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26" w:lineRule="exact"/>
        <w:rPr>
          <w:sz w:val="20"/>
          <w:szCs w:val="20"/>
          <w:color w:val="auto"/>
        </w:rPr>
      </w:pPr>
    </w:p>
    <w:p>
      <w:pPr>
        <w:ind w:left="280" w:right="299" w:firstLine="338"/>
        <w:spacing w:after="0" w:line="254" w:lineRule="auto"/>
        <w:rPr>
          <w:sz w:val="20"/>
          <w:szCs w:val="20"/>
          <w:color w:val="auto"/>
        </w:rPr>
      </w:pPr>
      <w:r>
        <w:rPr>
          <w:rFonts w:ascii="Times New Roman" w:cs="Times New Roman" w:eastAsia="Times New Roman" w:hAnsi="Times New Roman"/>
          <w:sz w:val="14"/>
          <w:szCs w:val="14"/>
          <w:color w:val="auto"/>
        </w:rPr>
        <w:t>In March 2021, and in October 2021, we issued $100.0 million and $85.0 million, respectively, in aggregate principal amount of our 2026 Notes at a public offering price per note of 99.4% and 101.5%, respectively. The 2026 Notes were issued pursuant to the Base Indenture, dated March 23, 2021 (the “Base Indenture”), between the Company and American Stock Transfer &amp; Trust Company, LLC, or AST, as trustee, as supplemented by the First Supplemental Indenture, dated March 23, 2021, between the Company and AST. The 2026 Notes are due on April 1, 2026 and may be redeemed in whole or in part at the Company’s option.</w:t>
      </w:r>
    </w:p>
    <w:p>
      <w:pPr>
        <w:spacing w:after="0" w:line="144" w:lineRule="exact"/>
        <w:rPr>
          <w:sz w:val="20"/>
          <w:szCs w:val="20"/>
          <w:color w:val="auto"/>
        </w:rPr>
      </w:pPr>
    </w:p>
    <w:p>
      <w:pPr>
        <w:ind w:left="280" w:right="379" w:firstLine="338"/>
        <w:spacing w:after="0" w:line="252" w:lineRule="auto"/>
        <w:rPr>
          <w:sz w:val="20"/>
          <w:szCs w:val="20"/>
          <w:color w:val="auto"/>
        </w:rPr>
      </w:pPr>
      <w:r>
        <w:rPr>
          <w:rFonts w:ascii="Times New Roman" w:cs="Times New Roman" w:eastAsia="Times New Roman" w:hAnsi="Times New Roman"/>
          <w:sz w:val="14"/>
          <w:szCs w:val="14"/>
          <w:color w:val="auto"/>
        </w:rPr>
        <w:t>The 2026 Notes bear interest at a rate of 4.25% per year payable semi-annually on April 1 and October 1 of each year. The 2026 Notes are the Company’s direct unsecured obligations and rank pari passu in right of payment with the Company’s current and future unsecured unsubordinated indebtedness, senior to any of the Company’s future indebtedness that expressly states it is subordinated in right of payment to the 2026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 We do not intend to list the 2026 Notes on any securities exchange or automated dealer quotation system.</w:t>
      </w:r>
    </w:p>
    <w:p>
      <w:pPr>
        <w:spacing w:after="0" w:line="144" w:lineRule="exact"/>
        <w:rPr>
          <w:sz w:val="20"/>
          <w:szCs w:val="20"/>
          <w:color w:val="auto"/>
        </w:rPr>
      </w:pPr>
    </w:p>
    <w:p>
      <w:pPr>
        <w:ind w:left="280" w:right="479" w:firstLine="338"/>
        <w:spacing w:after="0" w:line="257" w:lineRule="auto"/>
        <w:rPr>
          <w:sz w:val="20"/>
          <w:szCs w:val="20"/>
          <w:color w:val="auto"/>
        </w:rPr>
      </w:pPr>
      <w:r>
        <w:rPr>
          <w:rFonts w:ascii="Times New Roman" w:cs="Times New Roman" w:eastAsia="Times New Roman" w:hAnsi="Times New Roman"/>
          <w:sz w:val="14"/>
          <w:szCs w:val="14"/>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0" w:lineRule="exact"/>
        <w:rPr>
          <w:sz w:val="20"/>
          <w:szCs w:val="20"/>
          <w:color w:val="auto"/>
        </w:rPr>
      </w:pPr>
    </w:p>
    <w:p>
      <w:pPr>
        <w:ind w:left="280" w:right="299" w:firstLine="338"/>
        <w:spacing w:after="0" w:line="279" w:lineRule="auto"/>
        <w:rPr>
          <w:sz w:val="20"/>
          <w:szCs w:val="20"/>
          <w:color w:val="auto"/>
        </w:rPr>
      </w:pPr>
      <w:r>
        <w:rPr>
          <w:rFonts w:ascii="Times New Roman" w:cs="Times New Roman" w:eastAsia="Times New Roman" w:hAnsi="Times New Roman"/>
          <w:sz w:val="13"/>
          <w:szCs w:val="13"/>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58" w:right="1440" w:bottom="1440" w:gutter="0" w:footer="0" w:header="0"/>
        </w:sectPr>
      </w:pPr>
    </w:p>
    <w:bookmarkStart w:id="75" w:name="page76"/>
    <w:bookmarkEnd w:id="75"/>
    <w:p>
      <w:pPr>
        <w:ind w:left="280" w:right="299" w:firstLine="338"/>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44" w:lineRule="exact"/>
        <w:rPr>
          <w:sz w:val="20"/>
          <w:szCs w:val="20"/>
          <w:color w:val="auto"/>
        </w:rPr>
      </w:pPr>
    </w:p>
    <w:p>
      <w:pPr>
        <w:ind w:left="280" w:right="319" w:firstLine="338"/>
        <w:spacing w:after="0" w:line="277" w:lineRule="auto"/>
        <w:rPr>
          <w:sz w:val="20"/>
          <w:szCs w:val="20"/>
          <w:color w:val="auto"/>
        </w:rPr>
      </w:pPr>
      <w:r>
        <w:rPr>
          <w:rFonts w:ascii="Times New Roman" w:cs="Times New Roman" w:eastAsia="Times New Roman" w:hAnsi="Times New Roman"/>
          <w:sz w:val="14"/>
          <w:szCs w:val="14"/>
          <w:color w:val="auto"/>
        </w:rPr>
        <w:t>A prospectus supplement, which will accompany this prospectus with respect to a particular offering of debt securities, will describe the particular series of debt securities being offered by including:</w:t>
      </w:r>
    </w:p>
    <w:p>
      <w:pPr>
        <w:spacing w:after="0" w:line="54" w:lineRule="exact"/>
        <w:rPr>
          <w:sz w:val="20"/>
          <w:szCs w:val="20"/>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or title of the series of debt securities;</w:t>
      </w:r>
    </w:p>
    <w:p>
      <w:pPr>
        <w:spacing w:after="0" w:line="98" w:lineRule="exact"/>
        <w:rPr>
          <w:rFonts w:ascii="Times New Roman" w:cs="Times New Roman" w:eastAsia="Times New Roman" w:hAnsi="Times New Roman"/>
          <w:sz w:val="14"/>
          <w:szCs w:val="14"/>
          <w:color w:val="auto"/>
        </w:rPr>
      </w:pPr>
    </w:p>
    <w:p>
      <w:pPr>
        <w:ind w:left="1020" w:right="439" w:hanging="332"/>
        <w:spacing w:after="0" w:line="277" w:lineRule="auto"/>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principal amount of the series of debt securities and whether or not the offering may be reopened for additional securities of that series and on what terms;</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the principal amount at which the series of debt securities will be offered;</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principal will be payable;</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either fixed or variable) and/or the method of determining such rate or rates of interest, if any;</w:t>
      </w:r>
    </w:p>
    <w:p>
      <w:pPr>
        <w:spacing w:after="0" w:line="98" w:lineRule="exact"/>
        <w:rPr>
          <w:rFonts w:ascii="Times New Roman" w:cs="Times New Roman" w:eastAsia="Times New Roman" w:hAnsi="Times New Roman"/>
          <w:sz w:val="14"/>
          <w:szCs w:val="14"/>
          <w:color w:val="auto"/>
        </w:rPr>
      </w:pPr>
    </w:p>
    <w:p>
      <w:pPr>
        <w:ind w:left="1020" w:right="399" w:hanging="332"/>
        <w:spacing w:after="0" w:line="277" w:lineRule="auto"/>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any interest will accrue, or the method of determining such date or dates, and the date or dates on which any interest will be payable;</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for redemption, extension or early repayment, if any;</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currencies in which the series of debt securities are issued and payable;</w:t>
      </w:r>
    </w:p>
    <w:p>
      <w:pPr>
        <w:spacing w:after="0" w:line="98" w:lineRule="exact"/>
        <w:rPr>
          <w:rFonts w:ascii="Times New Roman" w:cs="Times New Roman" w:eastAsia="Times New Roman" w:hAnsi="Times New Roman"/>
          <w:sz w:val="14"/>
          <w:szCs w:val="14"/>
          <w:color w:val="auto"/>
        </w:rPr>
      </w:pPr>
    </w:p>
    <w:p>
      <w:pPr>
        <w:ind w:left="1020" w:right="299" w:hanging="332"/>
        <w:spacing w:after="0" w:line="262" w:lineRule="auto"/>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63" w:lineRule="exact"/>
        <w:rPr>
          <w:rFonts w:ascii="Times New Roman" w:cs="Times New Roman" w:eastAsia="Times New Roman" w:hAnsi="Times New Roman"/>
          <w:sz w:val="14"/>
          <w:szCs w:val="14"/>
          <w:color w:val="auto"/>
        </w:rPr>
      </w:pPr>
    </w:p>
    <w:p>
      <w:pPr>
        <w:ind w:left="1020" w:right="359" w:hanging="332"/>
        <w:spacing w:after="0" w:line="277" w:lineRule="auto"/>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if any, other than or in addition to The City of New York, of payment, transfer, conversion and/or exchange of the debt securities;</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offered debt securities will be issued;</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any sinking fund;</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restrictive covenants;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series of debt securities are issuable in certificated form;</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defeasance or covenant defeasance;</w:t>
      </w:r>
    </w:p>
    <w:p>
      <w:pPr>
        <w:spacing w:after="0" w:line="98" w:lineRule="exact"/>
        <w:rPr>
          <w:rFonts w:ascii="Times New Roman" w:cs="Times New Roman" w:eastAsia="Times New Roman" w:hAnsi="Times New Roman"/>
          <w:sz w:val="14"/>
          <w:szCs w:val="14"/>
          <w:color w:val="auto"/>
        </w:rPr>
      </w:pPr>
    </w:p>
    <w:p>
      <w:pPr>
        <w:ind w:left="1020" w:right="419" w:hanging="332"/>
        <w:spacing w:after="0" w:line="277" w:lineRule="auto"/>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special federal income tax implications, including, if applicable, federal income tax considerations relating to original issue discount, or OID;</w:t>
      </w:r>
    </w:p>
    <w:p>
      <w:pPr>
        <w:spacing w:after="0" w:line="53" w:lineRule="exact"/>
        <w:rPr>
          <w:rFonts w:ascii="Times New Roman" w:cs="Times New Roman" w:eastAsia="Times New Roman" w:hAnsi="Times New Roman"/>
          <w:sz w:val="14"/>
          <w:szCs w:val="14"/>
          <w:color w:val="auto"/>
        </w:rPr>
      </w:pPr>
    </w:p>
    <w:p>
      <w:pPr>
        <w:ind w:left="1020" w:right="319" w:hanging="332"/>
        <w:spacing w:after="0" w:line="277" w:lineRule="auto"/>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convertibility or exchangeability of the debt securities into or for any other securities;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subject to subordination and the terms of such subordination;</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listing, if any, on a securities exchange; and</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59" w:right="1440" w:bottom="1440" w:gutter="0" w:footer="0" w:header="0"/>
        </w:sectPr>
      </w:pPr>
    </w:p>
    <w:bookmarkStart w:id="76" w:name="page77"/>
    <w:bookmarkEnd w:id="76"/>
    <w:p>
      <w:pPr>
        <w:ind w:left="280" w:right="319" w:firstLine="338"/>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The debt securities may be secured or unsecured obligations. Under the provisions of the 1940 Act, we are permitted, as a BDC, to issue debt only in amounts such that we are in compliance with our asset coverage ratio, as defined in the 1940 Act, after each issuance of debt. Unless the prospectus supplement states otherwise, principal (and premium, if any) and interest, if any, will be paid by us in immediately available funds.</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left="280" w:right="399" w:firstLine="338"/>
        <w:spacing w:after="0" w:line="262" w:lineRule="auto"/>
        <w:rPr>
          <w:sz w:val="20"/>
          <w:szCs w:val="20"/>
          <w:color w:val="auto"/>
        </w:rPr>
      </w:pPr>
      <w:r>
        <w:rPr>
          <w:rFonts w:ascii="Times New Roman" w:cs="Times New Roman" w:eastAsia="Times New Roman" w:hAnsi="Times New Roman"/>
          <w:sz w:val="14"/>
          <w:szCs w:val="14"/>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36" w:lineRule="exact"/>
        <w:rPr>
          <w:sz w:val="20"/>
          <w:szCs w:val="20"/>
          <w:color w:val="auto"/>
        </w:rPr>
      </w:pPr>
    </w:p>
    <w:p>
      <w:pPr>
        <w:ind w:left="280" w:right="739" w:firstLine="338"/>
        <w:spacing w:after="0" w:line="277" w:lineRule="auto"/>
        <w:rPr>
          <w:sz w:val="20"/>
          <w:szCs w:val="20"/>
          <w:color w:val="auto"/>
        </w:rPr>
      </w:pPr>
      <w:r>
        <w:rPr>
          <w:rFonts w:ascii="Times New Roman" w:cs="Times New Roman" w:eastAsia="Times New Roman" w:hAnsi="Times New Roman"/>
          <w:sz w:val="14"/>
          <w:szCs w:val="14"/>
          <w:color w:val="auto"/>
        </w:rPr>
        <w:t>For purposes of this prospectus, any reference to the payment of principal of, or premium or interest, if any, on, debt securities will include additional amounts if required by the terms of the debt securities.</w:t>
      </w:r>
    </w:p>
    <w:p>
      <w:pPr>
        <w:spacing w:after="0" w:line="126" w:lineRule="exact"/>
        <w:rPr>
          <w:sz w:val="20"/>
          <w:szCs w:val="20"/>
          <w:color w:val="auto"/>
        </w:rPr>
      </w:pPr>
    </w:p>
    <w:p>
      <w:pPr>
        <w:ind w:left="280" w:right="379" w:firstLine="338"/>
        <w:spacing w:after="0" w:line="251" w:lineRule="auto"/>
        <w:rPr>
          <w:sz w:val="20"/>
          <w:szCs w:val="20"/>
          <w:color w:val="auto"/>
        </w:rPr>
      </w:pPr>
      <w:r>
        <w:rPr>
          <w:rFonts w:ascii="Times New Roman" w:cs="Times New Roman" w:eastAsia="Times New Roman" w:hAnsi="Times New Roman"/>
          <w:sz w:val="14"/>
          <w:szCs w:val="14"/>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46" w:lineRule="exact"/>
        <w:rPr>
          <w:sz w:val="20"/>
          <w:szCs w:val="20"/>
          <w:color w:val="auto"/>
        </w:rPr>
      </w:pPr>
    </w:p>
    <w:p>
      <w:pPr>
        <w:ind w:left="280" w:right="359" w:firstLine="338"/>
        <w:spacing w:after="0" w:line="277" w:lineRule="auto"/>
        <w:rPr>
          <w:sz w:val="20"/>
          <w:szCs w:val="20"/>
          <w:color w:val="auto"/>
        </w:rPr>
      </w:pPr>
      <w:r>
        <w:rPr>
          <w:rFonts w:ascii="Times New Roman" w:cs="Times New Roman" w:eastAsia="Times New Roman" w:hAnsi="Times New Roman"/>
          <w:sz w:val="14"/>
          <w:szCs w:val="14"/>
          <w:color w:val="auto"/>
        </w:rPr>
        <w:t>The indenture does not contain any provisions that give you protection in the event we issue a large amount of debt or we are acquired by another entity.</w:t>
      </w:r>
    </w:p>
    <w:p>
      <w:pPr>
        <w:spacing w:after="0" w:line="126" w:lineRule="exact"/>
        <w:rPr>
          <w:sz w:val="20"/>
          <w:szCs w:val="20"/>
          <w:color w:val="auto"/>
        </w:rPr>
      </w:pPr>
    </w:p>
    <w:p>
      <w:pPr>
        <w:ind w:left="280" w:right="319" w:firstLine="338"/>
        <w:spacing w:after="0" w:line="277" w:lineRule="auto"/>
        <w:rPr>
          <w:sz w:val="20"/>
          <w:szCs w:val="20"/>
          <w:color w:val="auto"/>
        </w:rPr>
      </w:pPr>
      <w:r>
        <w:rPr>
          <w:rFonts w:ascii="Times New Roman" w:cs="Times New Roman" w:eastAsia="Times New Roman" w:hAnsi="Times New Roman"/>
          <w:sz w:val="14"/>
          <w:szCs w:val="14"/>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26" w:lineRule="exact"/>
        <w:rPr>
          <w:sz w:val="20"/>
          <w:szCs w:val="20"/>
          <w:color w:val="auto"/>
        </w:rPr>
      </w:pPr>
    </w:p>
    <w:p>
      <w:pPr>
        <w:ind w:left="280" w:right="359" w:firstLine="338"/>
        <w:spacing w:after="0" w:line="262" w:lineRule="auto"/>
        <w:rPr>
          <w:sz w:val="20"/>
          <w:szCs w:val="20"/>
          <w:color w:val="auto"/>
        </w:rPr>
      </w:pPr>
      <w:r>
        <w:rPr>
          <w:rFonts w:ascii="Times New Roman" w:cs="Times New Roman" w:eastAsia="Times New Roman" w:hAnsi="Times New Roman"/>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36" w:lineRule="exact"/>
        <w:rPr>
          <w:sz w:val="20"/>
          <w:szCs w:val="20"/>
          <w:color w:val="auto"/>
        </w:rPr>
      </w:pPr>
    </w:p>
    <w:p>
      <w:pPr>
        <w:ind w:left="280" w:right="479" w:firstLine="338"/>
        <w:spacing w:after="0" w:line="254" w:lineRule="auto"/>
        <w:rPr>
          <w:sz w:val="20"/>
          <w:szCs w:val="20"/>
          <w:color w:val="auto"/>
        </w:rPr>
      </w:pPr>
      <w:r>
        <w:rPr>
          <w:rFonts w:ascii="Times New Roman" w:cs="Times New Roman" w:eastAsia="Times New Roman" w:hAnsi="Times New Roman"/>
          <w:sz w:val="14"/>
          <w:szCs w:val="14"/>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Conversion and Exchange</w:t>
      </w:r>
    </w:p>
    <w:p>
      <w:pPr>
        <w:spacing w:after="0" w:line="90" w:lineRule="exact"/>
        <w:rPr>
          <w:sz w:val="20"/>
          <w:szCs w:val="20"/>
          <w:color w:val="auto"/>
        </w:rPr>
      </w:pPr>
    </w:p>
    <w:p>
      <w:pPr>
        <w:jc w:val="both"/>
        <w:ind w:left="280" w:right="319" w:firstLine="338"/>
        <w:spacing w:after="0" w:line="262" w:lineRule="auto"/>
        <w:rPr>
          <w:sz w:val="20"/>
          <w:szCs w:val="20"/>
          <w:color w:val="auto"/>
        </w:rPr>
      </w:pPr>
      <w:r>
        <w:rPr>
          <w:rFonts w:ascii="Times New Roman" w:cs="Times New Roman" w:eastAsia="Times New Roman" w:hAnsi="Times New Roman"/>
          <w:sz w:val="14"/>
          <w:szCs w:val="14"/>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59" w:right="1440" w:bottom="1440" w:gutter="0" w:footer="0" w:header="0"/>
        </w:sectPr>
      </w:pPr>
    </w:p>
    <w:bookmarkStart w:id="77" w:name="page78"/>
    <w:bookmarkEnd w:id="77"/>
    <w:p>
      <w:pPr>
        <w:ind w:left="280" w:right="45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202805" cy="45720"/>
                    </a:xfrm>
                    <a:prstGeom prst="rect">
                      <a:avLst/>
                    </a:prstGeom>
                    <a:noFill/>
                  </pic:spPr>
                </pic:pic>
              </a:graphicData>
            </a:graphic>
          </wp:anchor>
        </w:drawing>
        <w:t>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Issuance of Securities in Registered Form</w:t>
      </w:r>
    </w:p>
    <w:p>
      <w:pPr>
        <w:spacing w:after="0" w:line="90" w:lineRule="exact"/>
        <w:rPr>
          <w:sz w:val="20"/>
          <w:szCs w:val="20"/>
          <w:color w:val="auto"/>
        </w:rPr>
      </w:pPr>
    </w:p>
    <w:p>
      <w:pPr>
        <w:ind w:left="280" w:right="419" w:firstLine="338"/>
        <w:spacing w:after="0" w:line="262" w:lineRule="auto"/>
        <w:rPr>
          <w:sz w:val="20"/>
          <w:szCs w:val="20"/>
          <w:color w:val="auto"/>
        </w:rPr>
      </w:pPr>
      <w:r>
        <w:rPr>
          <w:rFonts w:ascii="Times New Roman" w:cs="Times New Roman" w:eastAsia="Times New Roman" w:hAnsi="Times New Roman"/>
          <w:sz w:val="14"/>
          <w:szCs w:val="14"/>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36" w:lineRule="exact"/>
        <w:rPr>
          <w:sz w:val="20"/>
          <w:szCs w:val="20"/>
          <w:color w:val="auto"/>
        </w:rPr>
      </w:pPr>
    </w:p>
    <w:p>
      <w:pPr>
        <w:ind w:left="280" w:right="559" w:firstLine="338"/>
        <w:spacing w:after="0" w:line="279" w:lineRule="auto"/>
        <w:rPr>
          <w:sz w:val="20"/>
          <w:szCs w:val="20"/>
          <w:color w:val="auto"/>
        </w:rPr>
      </w:pPr>
      <w:r>
        <w:rPr>
          <w:rFonts w:ascii="Times New Roman" w:cs="Times New Roman" w:eastAsia="Times New Roman" w:hAnsi="Times New Roman"/>
          <w:sz w:val="13"/>
          <w:szCs w:val="13"/>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Book-Entry Holders</w:t>
      </w:r>
    </w:p>
    <w:p>
      <w:pPr>
        <w:spacing w:after="0" w:line="90" w:lineRule="exact"/>
        <w:rPr>
          <w:sz w:val="20"/>
          <w:szCs w:val="20"/>
          <w:color w:val="auto"/>
        </w:rPr>
      </w:pPr>
    </w:p>
    <w:p>
      <w:pPr>
        <w:ind w:left="280" w:right="339" w:firstLine="338"/>
        <w:spacing w:after="0" w:line="257" w:lineRule="auto"/>
        <w:rPr>
          <w:sz w:val="20"/>
          <w:szCs w:val="20"/>
          <w:color w:val="auto"/>
        </w:rPr>
      </w:pPr>
      <w:r>
        <w:rPr>
          <w:rFonts w:ascii="Times New Roman" w:cs="Times New Roman" w:eastAsia="Times New Roman" w:hAnsi="Times New Roman"/>
          <w:sz w:val="14"/>
          <w:szCs w:val="14"/>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40" w:lineRule="exact"/>
        <w:rPr>
          <w:sz w:val="20"/>
          <w:szCs w:val="20"/>
          <w:color w:val="auto"/>
        </w:rPr>
      </w:pPr>
    </w:p>
    <w:p>
      <w:pPr>
        <w:ind w:left="280" w:right="279" w:firstLine="338"/>
        <w:spacing w:after="0" w:line="254" w:lineRule="auto"/>
        <w:rPr>
          <w:sz w:val="20"/>
          <w:szCs w:val="20"/>
          <w:color w:val="auto"/>
        </w:rPr>
      </w:pPr>
      <w:r>
        <w:rPr>
          <w:rFonts w:ascii="Times New Roman" w:cs="Times New Roman" w:eastAsia="Times New Roman" w:hAnsi="Times New Roman"/>
          <w:sz w:val="14"/>
          <w:szCs w:val="14"/>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44" w:lineRule="exact"/>
        <w:rPr>
          <w:sz w:val="20"/>
          <w:szCs w:val="20"/>
          <w:color w:val="auto"/>
        </w:rPr>
      </w:pPr>
    </w:p>
    <w:p>
      <w:pPr>
        <w:jc w:val="both"/>
        <w:ind w:left="280" w:right="299" w:firstLine="338"/>
        <w:spacing w:after="0" w:line="262" w:lineRule="auto"/>
        <w:rPr>
          <w:sz w:val="20"/>
          <w:szCs w:val="20"/>
          <w:color w:val="auto"/>
        </w:rPr>
      </w:pPr>
      <w:r>
        <w:rPr>
          <w:rFonts w:ascii="Times New Roman" w:cs="Times New Roman" w:eastAsia="Times New Roman" w:hAnsi="Times New Roman"/>
          <w:sz w:val="14"/>
          <w:szCs w:val="14"/>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Street Name Holders</w:t>
      </w:r>
    </w:p>
    <w:p>
      <w:pPr>
        <w:spacing w:after="0" w:line="90" w:lineRule="exact"/>
        <w:rPr>
          <w:sz w:val="20"/>
          <w:szCs w:val="20"/>
          <w:color w:val="auto"/>
        </w:rPr>
      </w:pPr>
    </w:p>
    <w:p>
      <w:pPr>
        <w:ind w:left="280" w:right="379" w:firstLine="338"/>
        <w:spacing w:after="0" w:line="257" w:lineRule="auto"/>
        <w:rPr>
          <w:sz w:val="20"/>
          <w:szCs w:val="20"/>
          <w:color w:val="auto"/>
        </w:rPr>
      </w:pPr>
      <w:r>
        <w:rPr>
          <w:rFonts w:ascii="Times New Roman" w:cs="Times New Roman" w:eastAsia="Times New Roman" w:hAnsi="Times New Roman"/>
          <w:sz w:val="14"/>
          <w:szCs w:val="14"/>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59" w:right="1440" w:bottom="1440" w:gutter="0" w:footer="0" w:header="0"/>
        </w:sectPr>
      </w:pPr>
    </w:p>
    <w:bookmarkStart w:id="78" w:name="page79"/>
    <w:bookmarkEnd w:id="78"/>
    <w:p>
      <w:pPr>
        <w:ind w:left="280" w:right="339" w:firstLine="338"/>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202805" cy="45720"/>
                    </a:xfrm>
                    <a:prstGeom prst="rect">
                      <a:avLst/>
                    </a:prstGeom>
                    <a:noFill/>
                  </pic:spPr>
                </pic:pic>
              </a:graphicData>
            </a:graphic>
          </wp:anchor>
        </w:drawing>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Legal Holders</w:t>
      </w:r>
    </w:p>
    <w:p>
      <w:pPr>
        <w:spacing w:after="0" w:line="90" w:lineRule="exact"/>
        <w:rPr>
          <w:sz w:val="20"/>
          <w:szCs w:val="20"/>
          <w:color w:val="auto"/>
        </w:rPr>
      </w:pPr>
    </w:p>
    <w:p>
      <w:pPr>
        <w:ind w:left="280" w:right="339" w:firstLine="338"/>
        <w:spacing w:after="0" w:line="257" w:lineRule="auto"/>
        <w:rPr>
          <w:sz w:val="20"/>
          <w:szCs w:val="20"/>
          <w:color w:val="auto"/>
        </w:rPr>
      </w:pPr>
      <w:r>
        <w:rPr>
          <w:rFonts w:ascii="Times New Roman" w:cs="Times New Roman" w:eastAsia="Times New Roman" w:hAnsi="Times New Roman"/>
          <w:sz w:val="14"/>
          <w:szCs w:val="14"/>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0" w:lineRule="exact"/>
        <w:rPr>
          <w:sz w:val="20"/>
          <w:szCs w:val="20"/>
          <w:color w:val="auto"/>
        </w:rPr>
      </w:pPr>
    </w:p>
    <w:p>
      <w:pPr>
        <w:ind w:left="280" w:right="359" w:firstLine="338"/>
        <w:spacing w:after="0" w:line="254" w:lineRule="auto"/>
        <w:rPr>
          <w:sz w:val="20"/>
          <w:szCs w:val="20"/>
          <w:color w:val="auto"/>
        </w:rPr>
      </w:pPr>
      <w:r>
        <w:rPr>
          <w:rFonts w:ascii="Times New Roman" w:cs="Times New Roman" w:eastAsia="Times New Roman" w:hAnsi="Times New Roman"/>
          <w:sz w:val="14"/>
          <w:szCs w:val="14"/>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4" w:lineRule="exact"/>
        <w:rPr>
          <w:sz w:val="20"/>
          <w:szCs w:val="20"/>
          <w:color w:val="auto"/>
        </w:rPr>
      </w:pPr>
    </w:p>
    <w:p>
      <w:pPr>
        <w:ind w:left="280" w:right="639" w:firstLine="338"/>
        <w:spacing w:after="0" w:line="262" w:lineRule="auto"/>
        <w:rPr>
          <w:sz w:val="20"/>
          <w:szCs w:val="20"/>
          <w:color w:val="auto"/>
        </w:rPr>
      </w:pPr>
      <w:r>
        <w:rPr>
          <w:rFonts w:ascii="Times New Roman" w:cs="Times New Roman" w:eastAsia="Times New Roman" w:hAnsi="Times New Roman"/>
          <w:sz w:val="14"/>
          <w:szCs w:val="14"/>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Special Considerations for Indirect Holders</w:t>
      </w:r>
    </w:p>
    <w:p>
      <w:pPr>
        <w:spacing w:after="0" w:line="90" w:lineRule="exact"/>
        <w:rPr>
          <w:sz w:val="20"/>
          <w:szCs w:val="20"/>
          <w:color w:val="auto"/>
        </w:rPr>
      </w:pPr>
    </w:p>
    <w:p>
      <w:pPr>
        <w:ind w:left="280" w:right="419" w:firstLine="338"/>
        <w:spacing w:after="0" w:line="277" w:lineRule="auto"/>
        <w:rPr>
          <w:sz w:val="20"/>
          <w:szCs w:val="20"/>
          <w:color w:val="auto"/>
        </w:rPr>
      </w:pPr>
      <w:r>
        <w:rPr>
          <w:rFonts w:ascii="Times New Roman" w:cs="Times New Roman" w:eastAsia="Times New Roman" w:hAnsi="Times New Roman"/>
          <w:sz w:val="14"/>
          <w:szCs w:val="14"/>
          <w:color w:val="auto"/>
        </w:rPr>
        <w:t>If you hold debt securities through a bank, broker or other financial institution, either in book-entry form or in street name, we urge you to check with that institution to find out:</w:t>
      </w:r>
    </w:p>
    <w:p>
      <w:pPr>
        <w:spacing w:after="0" w:line="54" w:lineRule="exact"/>
        <w:rPr>
          <w:sz w:val="20"/>
          <w:szCs w:val="20"/>
          <w:color w:val="auto"/>
        </w:rPr>
      </w:pPr>
    </w:p>
    <w:p>
      <w:pPr>
        <w:ind w:left="1020" w:hanging="332"/>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handles securities payments and notices;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imposes fees or charges;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handle a request for the holders’ consent, if ever required;</w:t>
      </w:r>
    </w:p>
    <w:p>
      <w:pPr>
        <w:spacing w:after="0" w:line="98" w:lineRule="exact"/>
        <w:rPr>
          <w:rFonts w:ascii="Times New Roman" w:cs="Times New Roman" w:eastAsia="Times New Roman" w:hAnsi="Times New Roman"/>
          <w:sz w:val="14"/>
          <w:szCs w:val="14"/>
          <w:color w:val="auto"/>
        </w:rPr>
      </w:pPr>
    </w:p>
    <w:p>
      <w:pPr>
        <w:ind w:left="1020" w:right="399" w:hanging="332"/>
        <w:spacing w:after="0" w:line="277" w:lineRule="auto"/>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how you can instruct it to send you debt securities registered in your own name so you can be a holder, if that is permitted in the future for a particular series of debt securities;</w:t>
      </w:r>
    </w:p>
    <w:p>
      <w:pPr>
        <w:spacing w:after="0" w:line="53" w:lineRule="exact"/>
        <w:rPr>
          <w:rFonts w:ascii="Times New Roman" w:cs="Times New Roman" w:eastAsia="Times New Roman" w:hAnsi="Times New Roman"/>
          <w:sz w:val="14"/>
          <w:szCs w:val="14"/>
          <w:color w:val="auto"/>
        </w:rPr>
      </w:pPr>
    </w:p>
    <w:p>
      <w:pPr>
        <w:ind w:left="1020" w:right="379" w:hanging="332"/>
        <w:spacing w:after="0" w:line="277" w:lineRule="auto"/>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exercise rights under the debt securities if there were a default or other event triggering the need for holders to act to protect their interests; and</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are in book-entry form, how the depositary’s rules and procedures will affect these matters.</w:t>
      </w:r>
    </w:p>
    <w:p>
      <w:pPr>
        <w:spacing w:after="0" w:line="2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90" w:lineRule="exact"/>
        <w:rPr>
          <w:sz w:val="20"/>
          <w:szCs w:val="20"/>
          <w:color w:val="auto"/>
        </w:rPr>
      </w:pPr>
    </w:p>
    <w:p>
      <w:pPr>
        <w:ind w:left="280" w:right="459" w:firstLine="338"/>
        <w:spacing w:after="0" w:line="277" w:lineRule="auto"/>
        <w:rPr>
          <w:sz w:val="20"/>
          <w:szCs w:val="20"/>
          <w:color w:val="auto"/>
        </w:rPr>
      </w:pPr>
      <w:r>
        <w:rPr>
          <w:rFonts w:ascii="Times New Roman" w:cs="Times New Roman" w:eastAsia="Times New Roman" w:hAnsi="Times New Roman"/>
          <w:sz w:val="14"/>
          <w:szCs w:val="14"/>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9019"/>
          </w:cols>
          <w:pgMar w:left="1440" w:top="259" w:right="1440" w:bottom="1440" w:gutter="0" w:footer="0" w:header="0"/>
        </w:sectPr>
      </w:pPr>
    </w:p>
    <w:bookmarkStart w:id="79" w:name="page80"/>
    <w:bookmarkEnd w:id="79"/>
    <w:p>
      <w:pPr>
        <w:ind w:left="280" w:right="399" w:firstLine="338"/>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202805" cy="45720"/>
                    </a:xfrm>
                    <a:prstGeom prst="rect">
                      <a:avLst/>
                    </a:prstGeom>
                    <a:noFill/>
                  </pic:spPr>
                </pic:pic>
              </a:graphicData>
            </a:graphic>
          </wp:anchor>
        </w:drawing>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0" w:lineRule="exact"/>
        <w:rPr>
          <w:sz w:val="20"/>
          <w:szCs w:val="20"/>
          <w:color w:val="auto"/>
        </w:rPr>
      </w:pPr>
    </w:p>
    <w:p>
      <w:pPr>
        <w:ind w:left="280" w:right="299" w:firstLine="338"/>
        <w:spacing w:after="0" w:line="252" w:lineRule="auto"/>
        <w:rPr>
          <w:sz w:val="20"/>
          <w:szCs w:val="20"/>
          <w:color w:val="auto"/>
        </w:rPr>
      </w:pPr>
      <w:r>
        <w:rPr>
          <w:rFonts w:ascii="Times New Roman" w:cs="Times New Roman" w:eastAsia="Times New Roman" w:hAnsi="Times New Roman"/>
          <w:sz w:val="14"/>
          <w:szCs w:val="14"/>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Special Considerations for Global Securities</w:t>
      </w:r>
    </w:p>
    <w:p>
      <w:pPr>
        <w:spacing w:after="0" w:line="173" w:lineRule="exact"/>
        <w:rPr>
          <w:sz w:val="20"/>
          <w:szCs w:val="20"/>
          <w:color w:val="auto"/>
        </w:rPr>
      </w:pPr>
    </w:p>
    <w:p>
      <w:pPr>
        <w:jc w:val="both"/>
        <w:ind w:left="280" w:right="419" w:firstLine="338"/>
        <w:spacing w:after="0" w:line="262" w:lineRule="auto"/>
        <w:rPr>
          <w:sz w:val="20"/>
          <w:szCs w:val="20"/>
          <w:color w:val="auto"/>
        </w:rPr>
      </w:pPr>
      <w:r>
        <w:rPr>
          <w:rFonts w:ascii="Times New Roman" w:cs="Times New Roman" w:eastAsia="Times New Roman" w:hAnsi="Times New Roman"/>
          <w:sz w:val="14"/>
          <w:szCs w:val="14"/>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If debt securities are issued only in the form of a global security, an investor should be aware of the following:</w:t>
      </w:r>
    </w:p>
    <w:p>
      <w:pPr>
        <w:spacing w:after="0" w:line="98" w:lineRule="exact"/>
        <w:rPr>
          <w:sz w:val="20"/>
          <w:szCs w:val="20"/>
          <w:color w:val="auto"/>
        </w:rPr>
      </w:pPr>
    </w:p>
    <w:p>
      <w:pPr>
        <w:ind w:left="1020" w:right="499" w:hanging="332"/>
        <w:spacing w:after="0" w:line="277" w:lineRule="auto"/>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cannot cause the debt securities to be registered in his or her name and cannot obtain certificates for his or her interest in the debt securities, except in the special situations we describe below;</w:t>
      </w:r>
    </w:p>
    <w:p>
      <w:pPr>
        <w:spacing w:after="0" w:line="53" w:lineRule="exact"/>
        <w:rPr>
          <w:rFonts w:ascii="Times New Roman" w:cs="Times New Roman" w:eastAsia="Times New Roman" w:hAnsi="Times New Roman"/>
          <w:sz w:val="14"/>
          <w:szCs w:val="14"/>
          <w:color w:val="auto"/>
        </w:rPr>
      </w:pPr>
    </w:p>
    <w:p>
      <w:pPr>
        <w:ind w:left="1020" w:right="379" w:hanging="332"/>
        <w:spacing w:after="0" w:line="262" w:lineRule="auto"/>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63" w:lineRule="exact"/>
        <w:rPr>
          <w:rFonts w:ascii="Times New Roman" w:cs="Times New Roman" w:eastAsia="Times New Roman" w:hAnsi="Times New Roman"/>
          <w:sz w:val="14"/>
          <w:szCs w:val="14"/>
          <w:color w:val="auto"/>
        </w:rPr>
      </w:pPr>
    </w:p>
    <w:p>
      <w:pPr>
        <w:ind w:left="1020" w:right="459" w:hanging="332"/>
        <w:spacing w:after="0" w:line="277" w:lineRule="auto"/>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sell interests in the debt securities to some insurance companies and other institutions that are required by law to own their securities in non-book-entry form;</w:t>
      </w:r>
    </w:p>
    <w:p>
      <w:pPr>
        <w:spacing w:after="0" w:line="53" w:lineRule="exact"/>
        <w:rPr>
          <w:rFonts w:ascii="Times New Roman" w:cs="Times New Roman" w:eastAsia="Times New Roman" w:hAnsi="Times New Roman"/>
          <w:sz w:val="14"/>
          <w:szCs w:val="14"/>
          <w:color w:val="auto"/>
        </w:rPr>
      </w:pPr>
    </w:p>
    <w:p>
      <w:pPr>
        <w:ind w:left="1020" w:right="679" w:hanging="332"/>
        <w:spacing w:after="0" w:line="277" w:lineRule="auto"/>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3" w:lineRule="exact"/>
        <w:rPr>
          <w:rFonts w:ascii="Times New Roman" w:cs="Times New Roman" w:eastAsia="Times New Roman" w:hAnsi="Times New Roman"/>
          <w:sz w:val="14"/>
          <w:szCs w:val="14"/>
          <w:color w:val="auto"/>
        </w:rPr>
      </w:pPr>
    </w:p>
    <w:p>
      <w:pPr>
        <w:jc w:val="both"/>
        <w:ind w:left="1020" w:right="339" w:hanging="332"/>
        <w:spacing w:after="0" w:line="262" w:lineRule="auto"/>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63" w:lineRule="exact"/>
        <w:rPr>
          <w:rFonts w:ascii="Times New Roman" w:cs="Times New Roman" w:eastAsia="Times New Roman" w:hAnsi="Times New Roman"/>
          <w:sz w:val="14"/>
          <w:szCs w:val="14"/>
          <w:color w:val="auto"/>
        </w:rPr>
      </w:pPr>
    </w:p>
    <w:p>
      <w:pPr>
        <w:ind w:left="1020" w:right="399" w:hanging="332"/>
        <w:spacing w:after="0" w:line="277" w:lineRule="auto"/>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redeem less than all the debt securities of a particular series being redeemed, DTC’s practice is to determine by lot the amount to be redeemed from each of its participants holding that series;</w:t>
      </w:r>
    </w:p>
    <w:p>
      <w:pPr>
        <w:spacing w:after="0" w:line="53" w:lineRule="exact"/>
        <w:rPr>
          <w:rFonts w:ascii="Times New Roman" w:cs="Times New Roman" w:eastAsia="Times New Roman" w:hAnsi="Times New Roman"/>
          <w:sz w:val="14"/>
          <w:szCs w:val="14"/>
          <w:color w:val="auto"/>
        </w:rPr>
      </w:pPr>
    </w:p>
    <w:p>
      <w:pPr>
        <w:jc w:val="both"/>
        <w:ind w:left="1020" w:right="659" w:hanging="332"/>
        <w:spacing w:after="0" w:line="262" w:lineRule="auto"/>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63" w:lineRule="exact"/>
        <w:rPr>
          <w:rFonts w:ascii="Times New Roman" w:cs="Times New Roman" w:eastAsia="Times New Roman" w:hAnsi="Times New Roman"/>
          <w:sz w:val="14"/>
          <w:szCs w:val="14"/>
          <w:color w:val="auto"/>
        </w:rPr>
      </w:pPr>
    </w:p>
    <w:p>
      <w:pPr>
        <w:ind w:left="1020" w:right="419" w:hanging="332"/>
        <w:spacing w:after="0" w:line="262" w:lineRule="auto"/>
        <w:tabs>
          <w:tab w:leader="none" w:pos="10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9019"/>
          </w:cols>
          <w:pgMar w:left="1440" w:top="259" w:right="1440" w:bottom="1440" w:gutter="0" w:footer="0" w:header="0"/>
        </w:sectPr>
      </w:pPr>
    </w:p>
    <w:bookmarkStart w:id="80" w:name="page81"/>
    <w:bookmarkEnd w:id="80"/>
    <w:p>
      <w:pPr>
        <w:ind w:left="1020" w:right="359" w:hanging="332"/>
        <w:spacing w:after="0" w:line="257" w:lineRule="auto"/>
        <w:tabs>
          <w:tab w:leader="none" w:pos="10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02805" cy="45720"/>
                    </a:xfrm>
                    <a:prstGeom prst="rect">
                      <a:avLst/>
                    </a:prstGeom>
                    <a:noFill/>
                  </pic:spPr>
                </pic:pic>
              </a:graphicData>
            </a:graphic>
          </wp:anchor>
        </w:drawing>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Special Situations when a Global Security Will Be Terminated</w:t>
      </w:r>
    </w:p>
    <w:p>
      <w:pPr>
        <w:spacing w:after="0" w:line="90" w:lineRule="exact"/>
        <w:rPr>
          <w:sz w:val="20"/>
          <w:szCs w:val="20"/>
          <w:color w:val="auto"/>
        </w:rPr>
      </w:pPr>
    </w:p>
    <w:p>
      <w:pPr>
        <w:ind w:left="280" w:right="319" w:firstLine="338"/>
        <w:spacing w:after="0" w:line="254" w:lineRule="auto"/>
        <w:rPr>
          <w:sz w:val="20"/>
          <w:szCs w:val="20"/>
          <w:color w:val="auto"/>
        </w:rPr>
      </w:pPr>
      <w:r>
        <w:rPr>
          <w:rFonts w:ascii="Times New Roman" w:cs="Times New Roman" w:eastAsia="Times New Roman" w:hAnsi="Times New Roman"/>
          <w:sz w:val="14"/>
          <w:szCs w:val="14"/>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special situations for termination of a global security are as follows:</w:t>
      </w:r>
    </w:p>
    <w:p>
      <w:pPr>
        <w:spacing w:after="0" w:line="98" w:lineRule="exact"/>
        <w:rPr>
          <w:sz w:val="20"/>
          <w:szCs w:val="20"/>
          <w:color w:val="auto"/>
        </w:rPr>
      </w:pPr>
    </w:p>
    <w:p>
      <w:pPr>
        <w:ind w:left="1020" w:right="419" w:hanging="332"/>
        <w:spacing w:after="0" w:line="277" w:lineRule="auto"/>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depositary notifies us that it is unwilling, unable or no longer qualified to continue as depositary for that global security, and we are unable to appoint another institution to act as depositary;</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notify the trustee that we wish to terminate that global security; or</w:t>
      </w:r>
    </w:p>
    <w:p>
      <w:pPr>
        <w:spacing w:after="0" w:line="98" w:lineRule="exact"/>
        <w:rPr>
          <w:rFonts w:ascii="Times New Roman" w:cs="Times New Roman" w:eastAsia="Times New Roman" w:hAnsi="Times New Roman"/>
          <w:sz w:val="14"/>
          <w:szCs w:val="14"/>
          <w:color w:val="auto"/>
        </w:rPr>
      </w:pPr>
    </w:p>
    <w:p>
      <w:pPr>
        <w:ind w:left="1020" w:right="399" w:hanging="332"/>
        <w:spacing w:after="0" w:line="277" w:lineRule="auto"/>
        <w:tabs>
          <w:tab w:leader="none" w:pos="1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26" w:lineRule="exact"/>
        <w:rPr>
          <w:sz w:val="20"/>
          <w:szCs w:val="20"/>
          <w:color w:val="auto"/>
        </w:rPr>
      </w:pPr>
    </w:p>
    <w:p>
      <w:pPr>
        <w:ind w:left="280" w:right="319" w:firstLine="338"/>
        <w:spacing w:after="0" w:line="257" w:lineRule="auto"/>
        <w:rPr>
          <w:sz w:val="20"/>
          <w:szCs w:val="20"/>
          <w:color w:val="auto"/>
        </w:rPr>
      </w:pPr>
      <w:r>
        <w:rPr>
          <w:rFonts w:ascii="Times New Roman" w:cs="Times New Roman" w:eastAsia="Times New Roman" w:hAnsi="Times New Roman"/>
          <w:sz w:val="14"/>
          <w:szCs w:val="14"/>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90" w:lineRule="exact"/>
        <w:rPr>
          <w:sz w:val="20"/>
          <w:szCs w:val="20"/>
          <w:color w:val="auto"/>
        </w:rPr>
      </w:pPr>
    </w:p>
    <w:p>
      <w:pPr>
        <w:ind w:left="280" w:right="359" w:firstLine="338"/>
        <w:spacing w:after="0" w:line="253" w:lineRule="auto"/>
        <w:rPr>
          <w:sz w:val="20"/>
          <w:szCs w:val="20"/>
          <w:color w:val="auto"/>
        </w:rPr>
      </w:pPr>
      <w:r>
        <w:rPr>
          <w:rFonts w:ascii="Times New Roman" w:cs="Times New Roman" w:eastAsia="Times New Roman" w:hAnsi="Times New Roman"/>
          <w:sz w:val="14"/>
          <w:szCs w:val="14"/>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Payments on Global Securities</w:t>
      </w:r>
    </w:p>
    <w:p>
      <w:pPr>
        <w:spacing w:after="0" w:line="90" w:lineRule="exact"/>
        <w:rPr>
          <w:sz w:val="20"/>
          <w:szCs w:val="20"/>
          <w:color w:val="auto"/>
        </w:rPr>
      </w:pPr>
    </w:p>
    <w:p>
      <w:pPr>
        <w:ind w:left="280" w:right="579" w:firstLine="338"/>
        <w:spacing w:after="0" w:line="257" w:lineRule="auto"/>
        <w:rPr>
          <w:sz w:val="20"/>
          <w:szCs w:val="20"/>
          <w:color w:val="auto"/>
        </w:rPr>
      </w:pPr>
      <w:r>
        <w:rPr>
          <w:rFonts w:ascii="Times New Roman" w:cs="Times New Roman" w:eastAsia="Times New Roman" w:hAnsi="Times New Roman"/>
          <w:sz w:val="14"/>
          <w:szCs w:val="14"/>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9019"/>
          </w:cols>
          <w:pgMar w:left="1440" w:top="259" w:right="1440" w:bottom="1440" w:gutter="0" w:footer="0" w:header="0"/>
        </w:sectPr>
      </w:pPr>
    </w:p>
    <w:bookmarkStart w:id="81" w:name="page82"/>
    <w:bookmarkEnd w:id="81"/>
    <w:p>
      <w:pPr>
        <w:ind w:left="28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02805" cy="45720"/>
                    </a:xfrm>
                    <a:prstGeom prst="rect">
                      <a:avLst/>
                    </a:prstGeom>
                    <a:noFill/>
                  </pic:spPr>
                </pic:pic>
              </a:graphicData>
            </a:graphic>
          </wp:anchor>
        </w:drawing>
        <w:t>Payments on Certificated Securities</w:t>
      </w:r>
    </w:p>
    <w:p>
      <w:pPr>
        <w:spacing w:after="0" w:line="90" w:lineRule="exact"/>
        <w:rPr>
          <w:sz w:val="20"/>
          <w:szCs w:val="20"/>
          <w:color w:val="auto"/>
        </w:rPr>
      </w:pPr>
    </w:p>
    <w:p>
      <w:pPr>
        <w:jc w:val="both"/>
        <w:ind w:left="280" w:right="359" w:firstLine="338"/>
        <w:spacing w:after="0" w:line="257" w:lineRule="auto"/>
        <w:rPr>
          <w:sz w:val="20"/>
          <w:szCs w:val="20"/>
          <w:color w:val="auto"/>
        </w:rPr>
      </w:pPr>
      <w:r>
        <w:rPr>
          <w:rFonts w:ascii="Times New Roman" w:cs="Times New Roman" w:eastAsia="Times New Roman" w:hAnsi="Times New Roman"/>
          <w:sz w:val="14"/>
          <w:szCs w:val="14"/>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40" w:lineRule="exact"/>
        <w:rPr>
          <w:sz w:val="20"/>
          <w:szCs w:val="20"/>
          <w:color w:val="auto"/>
        </w:rPr>
      </w:pPr>
    </w:p>
    <w:p>
      <w:pPr>
        <w:ind w:left="280" w:right="299" w:firstLine="338"/>
        <w:spacing w:after="0" w:line="254" w:lineRule="auto"/>
        <w:rPr>
          <w:sz w:val="20"/>
          <w:szCs w:val="20"/>
          <w:color w:val="auto"/>
        </w:rPr>
      </w:pPr>
      <w:r>
        <w:rPr>
          <w:rFonts w:ascii="Times New Roman" w:cs="Times New Roman" w:eastAsia="Times New Roman" w:hAnsi="Times New Roman"/>
          <w:sz w:val="14"/>
          <w:szCs w:val="14"/>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Payment When Offices Are Closed</w:t>
      </w:r>
    </w:p>
    <w:p>
      <w:pPr>
        <w:spacing w:after="0" w:line="90" w:lineRule="exact"/>
        <w:rPr>
          <w:sz w:val="20"/>
          <w:szCs w:val="20"/>
          <w:color w:val="auto"/>
        </w:rPr>
      </w:pPr>
    </w:p>
    <w:p>
      <w:pPr>
        <w:ind w:left="280" w:right="539" w:firstLine="338"/>
        <w:spacing w:after="0" w:line="257" w:lineRule="auto"/>
        <w:rPr>
          <w:sz w:val="20"/>
          <w:szCs w:val="20"/>
          <w:color w:val="auto"/>
        </w:rPr>
      </w:pPr>
      <w:r>
        <w:rPr>
          <w:rFonts w:ascii="Times New Roman" w:cs="Times New Roman" w:eastAsia="Times New Roman" w:hAnsi="Times New Roman"/>
          <w:sz w:val="14"/>
          <w:szCs w:val="14"/>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0" w:lineRule="exact"/>
        <w:rPr>
          <w:sz w:val="20"/>
          <w:szCs w:val="20"/>
          <w:color w:val="auto"/>
        </w:rPr>
      </w:pPr>
    </w:p>
    <w:p>
      <w:pPr>
        <w:ind w:left="280" w:right="659" w:firstLine="338"/>
        <w:spacing w:after="0" w:line="277" w:lineRule="auto"/>
        <w:rPr>
          <w:sz w:val="20"/>
          <w:szCs w:val="20"/>
          <w:color w:val="auto"/>
        </w:rPr>
      </w:pPr>
      <w:r>
        <w:rPr>
          <w:rFonts w:ascii="Times New Roman" w:cs="Times New Roman" w:eastAsia="Times New Roman" w:hAnsi="Times New Roman"/>
          <w:sz w:val="14"/>
          <w:szCs w:val="14"/>
          <w:color w:val="auto"/>
        </w:rPr>
        <w:t>Book-entry and other indirect holders should consult their banks or brokers for information on how they will receive payments on their debt securities.</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0" w:lineRule="exact"/>
        <w:rPr>
          <w:sz w:val="20"/>
          <w:szCs w:val="20"/>
          <w:color w:val="auto"/>
        </w:rPr>
      </w:pPr>
    </w:p>
    <w:p>
      <w:pPr>
        <w:ind w:left="280" w:right="799" w:firstLine="338"/>
        <w:spacing w:after="0" w:line="277" w:lineRule="auto"/>
        <w:rPr>
          <w:sz w:val="20"/>
          <w:szCs w:val="20"/>
          <w:color w:val="auto"/>
        </w:rPr>
      </w:pPr>
      <w:r>
        <w:rPr>
          <w:rFonts w:ascii="Times New Roman" w:cs="Times New Roman" w:eastAsia="Times New Roman" w:hAnsi="Times New Roman"/>
          <w:sz w:val="14"/>
          <w:szCs w:val="14"/>
          <w:color w:val="auto"/>
        </w:rPr>
        <w:t>You will have rights if an Event of Default occurs in respect of the debt securities of your series and is not cured, as described later in this subsection.</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term “Event of Default” in respect of the debt securities of your series means any of the following:</w:t>
      </w:r>
    </w:p>
    <w:p>
      <w:pPr>
        <w:spacing w:after="0" w:line="98" w:lineRule="exact"/>
        <w:rPr>
          <w:sz w:val="20"/>
          <w:szCs w:val="20"/>
          <w:color w:val="auto"/>
        </w:rPr>
      </w:pPr>
    </w:p>
    <w:p>
      <w:pPr>
        <w:ind w:left="1020" w:hanging="332"/>
        <w:spacing w:after="0"/>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the principal of, or any premium on, a debt security of the series on its due date;</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pay interest on a debt security of the series within 30 days of its due date;</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deposit any sinking fund payment in respect of debt securities of the series on its due date;</w:t>
      </w:r>
    </w:p>
    <w:p>
      <w:pPr>
        <w:spacing w:after="0" w:line="98" w:lineRule="exact"/>
        <w:rPr>
          <w:rFonts w:ascii="Times New Roman" w:cs="Times New Roman" w:eastAsia="Times New Roman" w:hAnsi="Times New Roman"/>
          <w:sz w:val="14"/>
          <w:szCs w:val="14"/>
          <w:color w:val="auto"/>
        </w:rPr>
      </w:pPr>
    </w:p>
    <w:p>
      <w:pPr>
        <w:ind w:left="1020" w:right="399" w:hanging="332"/>
        <w:spacing w:after="0" w:line="262" w:lineRule="auto"/>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6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file for bankruptcy or certain other events of bankruptcy, insolvency or reorganization occur; and</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in respect of debt securities of the series described in the prospectus supplement occurs.</w:t>
      </w:r>
    </w:p>
    <w:p>
      <w:pPr>
        <w:spacing w:after="0" w:line="171" w:lineRule="exact"/>
        <w:rPr>
          <w:sz w:val="20"/>
          <w:szCs w:val="20"/>
          <w:color w:val="auto"/>
        </w:rPr>
      </w:pPr>
    </w:p>
    <w:p>
      <w:pPr>
        <w:ind w:left="280" w:right="519" w:firstLine="338"/>
        <w:spacing w:after="0" w:line="262" w:lineRule="auto"/>
        <w:rPr>
          <w:sz w:val="20"/>
          <w:szCs w:val="20"/>
          <w:color w:val="auto"/>
        </w:rPr>
      </w:pPr>
      <w:r>
        <w:rPr>
          <w:rFonts w:ascii="Times New Roman" w:cs="Times New Roman" w:eastAsia="Times New Roman" w:hAnsi="Times New Roman"/>
          <w:sz w:val="14"/>
          <w:szCs w:val="14"/>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9019"/>
          </w:cols>
          <w:pgMar w:left="1440" w:top="258" w:right="1440" w:bottom="1440" w:gutter="0" w:footer="0" w:header="0"/>
        </w:sectPr>
      </w:pPr>
    </w:p>
    <w:bookmarkStart w:id="82" w:name="page83"/>
    <w:bookmarkEnd w:id="82"/>
    <w:p>
      <w:pPr>
        <w:ind w:left="28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Remedies if an Event of Default Occurs</w:t>
      </w:r>
    </w:p>
    <w:p>
      <w:pPr>
        <w:spacing w:after="0" w:line="90" w:lineRule="exact"/>
        <w:rPr>
          <w:sz w:val="20"/>
          <w:szCs w:val="20"/>
          <w:color w:val="auto"/>
        </w:rPr>
      </w:pPr>
    </w:p>
    <w:p>
      <w:pPr>
        <w:ind w:left="280" w:right="439" w:firstLine="338"/>
        <w:spacing w:after="0" w:line="257" w:lineRule="auto"/>
        <w:rPr>
          <w:sz w:val="20"/>
          <w:szCs w:val="20"/>
          <w:color w:val="auto"/>
        </w:rPr>
      </w:pPr>
      <w:r>
        <w:rPr>
          <w:rFonts w:ascii="Times New Roman" w:cs="Times New Roman" w:eastAsia="Times New Roman" w:hAnsi="Times New Roman"/>
          <w:sz w:val="14"/>
          <w:szCs w:val="14"/>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40" w:lineRule="exact"/>
        <w:rPr>
          <w:sz w:val="20"/>
          <w:szCs w:val="20"/>
          <w:color w:val="auto"/>
        </w:rPr>
      </w:pPr>
    </w:p>
    <w:p>
      <w:pPr>
        <w:ind w:left="280" w:right="359" w:firstLine="338"/>
        <w:spacing w:after="0" w:line="253" w:lineRule="auto"/>
        <w:rPr>
          <w:sz w:val="20"/>
          <w:szCs w:val="20"/>
          <w:color w:val="auto"/>
        </w:rPr>
      </w:pPr>
      <w:r>
        <w:rPr>
          <w:rFonts w:ascii="Times New Roman" w:cs="Times New Roman" w:eastAsia="Times New Roman" w:hAnsi="Times New Roman"/>
          <w:sz w:val="14"/>
          <w:szCs w:val="14"/>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43" w:lineRule="exact"/>
        <w:rPr>
          <w:sz w:val="20"/>
          <w:szCs w:val="20"/>
          <w:color w:val="auto"/>
        </w:rPr>
      </w:pPr>
    </w:p>
    <w:p>
      <w:pPr>
        <w:ind w:left="280" w:right="339" w:firstLine="338"/>
        <w:spacing w:after="0" w:line="277" w:lineRule="auto"/>
        <w:rPr>
          <w:sz w:val="20"/>
          <w:szCs w:val="20"/>
          <w:color w:val="auto"/>
        </w:rPr>
      </w:pPr>
      <w:r>
        <w:rPr>
          <w:rFonts w:ascii="Times New Roman" w:cs="Times New Roman" w:eastAsia="Times New Roman" w:hAnsi="Times New Roman"/>
          <w:sz w:val="14"/>
          <w:szCs w:val="14"/>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4" w:lineRule="exact"/>
        <w:rPr>
          <w:sz w:val="20"/>
          <w:szCs w:val="20"/>
          <w:color w:val="auto"/>
        </w:rPr>
      </w:pPr>
    </w:p>
    <w:p>
      <w:pPr>
        <w:ind w:left="1020" w:hanging="332"/>
        <w:spacing w:after="0"/>
        <w:tabs>
          <w:tab w:leader="none" w:pos="10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must give the trustee written notice that an Event of Default has occurred and remains uncured;</w:t>
      </w:r>
    </w:p>
    <w:p>
      <w:pPr>
        <w:spacing w:after="0" w:line="98" w:lineRule="exact"/>
        <w:rPr>
          <w:rFonts w:ascii="Times New Roman" w:cs="Times New Roman" w:eastAsia="Times New Roman" w:hAnsi="Times New Roman"/>
          <w:sz w:val="14"/>
          <w:szCs w:val="14"/>
          <w:color w:val="auto"/>
        </w:rPr>
      </w:pPr>
    </w:p>
    <w:p>
      <w:pPr>
        <w:ind w:left="1020" w:right="359" w:hanging="332"/>
        <w:spacing w:after="0" w:line="262" w:lineRule="auto"/>
        <w:tabs>
          <w:tab w:leader="none" w:pos="10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6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must not have taken action for 60 days after receipt of the above notice and offer of indemnity; and</w:t>
      </w:r>
    </w:p>
    <w:p>
      <w:pPr>
        <w:spacing w:after="0" w:line="98" w:lineRule="exact"/>
        <w:rPr>
          <w:rFonts w:ascii="Times New Roman" w:cs="Times New Roman" w:eastAsia="Times New Roman" w:hAnsi="Times New Roman"/>
          <w:sz w:val="14"/>
          <w:szCs w:val="14"/>
          <w:color w:val="auto"/>
        </w:rPr>
      </w:pPr>
    </w:p>
    <w:p>
      <w:pPr>
        <w:ind w:left="1020" w:right="419" w:hanging="332"/>
        <w:spacing w:after="0" w:line="277" w:lineRule="auto"/>
        <w:tabs>
          <w:tab w:leader="none" w:pos="10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 majority in principal amount of the debt securities must not have given the trustee a direction inconsistent with the above notice during that 60-day period.</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However, you are entitled at any time to bring a lawsuit for the payment of money due on your debt securities on or after the due date.</w:t>
      </w:r>
    </w:p>
    <w:p>
      <w:pPr>
        <w:spacing w:after="0" w:line="169" w:lineRule="exact"/>
        <w:rPr>
          <w:sz w:val="20"/>
          <w:szCs w:val="20"/>
          <w:color w:val="auto"/>
        </w:rPr>
      </w:pPr>
    </w:p>
    <w:p>
      <w:pPr>
        <w:ind w:left="280" w:right="299" w:firstLine="338"/>
        <w:spacing w:after="0" w:line="280" w:lineRule="auto"/>
        <w:rPr>
          <w:sz w:val="20"/>
          <w:szCs w:val="20"/>
          <w:color w:val="auto"/>
        </w:rPr>
      </w:pPr>
      <w:r>
        <w:rPr>
          <w:rFonts w:ascii="Times New Roman" w:cs="Times New Roman" w:eastAsia="Times New Roman" w:hAnsi="Times New Roman"/>
          <w:sz w:val="14"/>
          <w:szCs w:val="14"/>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4" w:lineRule="exact"/>
        <w:rPr>
          <w:sz w:val="20"/>
          <w:szCs w:val="20"/>
          <w:color w:val="auto"/>
        </w:rPr>
      </w:pPr>
    </w:p>
    <w:p>
      <w:pPr>
        <w:ind w:left="280" w:right="559" w:firstLine="338"/>
        <w:spacing w:after="0" w:line="277" w:lineRule="auto"/>
        <w:rPr>
          <w:sz w:val="20"/>
          <w:szCs w:val="20"/>
          <w:color w:val="auto"/>
        </w:rPr>
      </w:pPr>
      <w:r>
        <w:rPr>
          <w:rFonts w:ascii="Times New Roman" w:cs="Times New Roman" w:eastAsia="Times New Roman" w:hAnsi="Times New Roman"/>
          <w:sz w:val="14"/>
          <w:szCs w:val="14"/>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Waiver of Default</w:t>
      </w:r>
    </w:p>
    <w:p>
      <w:pPr>
        <w:spacing w:after="0" w:line="90" w:lineRule="exact"/>
        <w:rPr>
          <w:sz w:val="20"/>
          <w:szCs w:val="20"/>
          <w:color w:val="auto"/>
        </w:rPr>
      </w:pPr>
    </w:p>
    <w:p>
      <w:pPr>
        <w:ind w:left="280" w:right="359" w:firstLine="338"/>
        <w:spacing w:after="0" w:line="262" w:lineRule="auto"/>
        <w:rPr>
          <w:sz w:val="20"/>
          <w:szCs w:val="20"/>
          <w:color w:val="auto"/>
        </w:rPr>
      </w:pPr>
      <w:r>
        <w:rPr>
          <w:rFonts w:ascii="Times New Roman" w:cs="Times New Roman" w:eastAsia="Times New Roman" w:hAnsi="Times New Roman"/>
          <w:sz w:val="14"/>
          <w:szCs w:val="14"/>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Merger or Consolidation</w:t>
      </w:r>
    </w:p>
    <w:p>
      <w:pPr>
        <w:spacing w:after="0" w:line="90" w:lineRule="exact"/>
        <w:rPr>
          <w:sz w:val="20"/>
          <w:szCs w:val="20"/>
          <w:color w:val="auto"/>
        </w:rPr>
      </w:pPr>
    </w:p>
    <w:p>
      <w:pPr>
        <w:ind w:left="280" w:right="699" w:firstLine="338"/>
        <w:spacing w:after="0" w:line="277" w:lineRule="auto"/>
        <w:rPr>
          <w:sz w:val="20"/>
          <w:szCs w:val="20"/>
          <w:color w:val="auto"/>
        </w:rPr>
      </w:pPr>
      <w:r>
        <w:rPr>
          <w:rFonts w:ascii="Times New Roman" w:cs="Times New Roman" w:eastAsia="Times New Roman" w:hAnsi="Times New Roman"/>
          <w:sz w:val="14"/>
          <w:szCs w:val="14"/>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147" w:lineRule="exact"/>
        <w:rPr>
          <w:sz w:val="20"/>
          <w:szCs w:val="20"/>
          <w:color w:val="auto"/>
        </w:rPr>
      </w:pPr>
    </w:p>
    <w:p>
      <w:pPr>
        <w:ind w:left="1020" w:right="479" w:hanging="332"/>
        <w:spacing w:after="0" w:line="277" w:lineRule="auto"/>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we merge out of existence or sell our assets, the resulting entity must agree to be legally responsible for our obligations under the debt securities;</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alternatively, we must be the surviving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9019"/>
          </w:cols>
          <w:pgMar w:left="1440" w:top="258" w:right="1440" w:bottom="1440" w:gutter="0" w:footer="0" w:header="0"/>
        </w:sectPr>
      </w:pPr>
    </w:p>
    <w:bookmarkStart w:id="83" w:name="page84"/>
    <w:bookmarkEnd w:id="83"/>
    <w:p>
      <w:pPr>
        <w:ind w:left="1020" w:hanging="332"/>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02805" cy="45720"/>
                    </a:xfrm>
                    <a:prstGeom prst="rect">
                      <a:avLst/>
                    </a:prstGeom>
                    <a:noFill/>
                  </pic:spPr>
                </pic:pic>
              </a:graphicData>
            </a:graphic>
          </wp:anchor>
        </w:drawing>
        <w:t>immediately after the transaction no event of default will exist;</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certain certificates and documents to the trustee; and</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satisfy any other requirements specified in the prospectus supplement relating to a particular series of debt securities.</w:t>
      </w:r>
    </w:p>
    <w:p>
      <w:pPr>
        <w:spacing w:after="0" w:line="2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Modification or Waiver</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There are three types of changes we can make to the indenture and the debt securities issued thereunder.</w:t>
      </w:r>
    </w:p>
    <w:p>
      <w:pPr>
        <w:spacing w:after="0" w:line="2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Changes Requiring Your Approval</w:t>
      </w:r>
    </w:p>
    <w:p>
      <w:pPr>
        <w:spacing w:after="0" w:line="90" w:lineRule="exact"/>
        <w:rPr>
          <w:sz w:val="20"/>
          <w:szCs w:val="20"/>
          <w:color w:val="auto"/>
        </w:rPr>
      </w:pPr>
    </w:p>
    <w:p>
      <w:pPr>
        <w:ind w:left="280" w:right="739" w:firstLine="338"/>
        <w:spacing w:after="0" w:line="277" w:lineRule="auto"/>
        <w:rPr>
          <w:sz w:val="20"/>
          <w:szCs w:val="20"/>
          <w:color w:val="auto"/>
        </w:rPr>
      </w:pPr>
      <w:r>
        <w:rPr>
          <w:rFonts w:ascii="Times New Roman" w:cs="Times New Roman" w:eastAsia="Times New Roman" w:hAnsi="Times New Roman"/>
          <w:sz w:val="14"/>
          <w:szCs w:val="14"/>
          <w:color w:val="auto"/>
        </w:rPr>
        <w:t>First, there are changes that we cannot make to your debt securities without your specific approval. The following is a list of those types of changes:</w:t>
      </w:r>
    </w:p>
    <w:p>
      <w:pPr>
        <w:spacing w:after="0" w:line="54" w:lineRule="exact"/>
        <w:rPr>
          <w:sz w:val="20"/>
          <w:szCs w:val="20"/>
          <w:color w:val="auto"/>
        </w:rPr>
      </w:pPr>
    </w:p>
    <w:p>
      <w:pPr>
        <w:ind w:left="1020" w:hanging="33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interest on a debt security;</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any amounts due on a debt security;</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principal payable upon acceleration of the maturity of a security following a default;</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any right of repayment at the holder’s option;</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or currency of payment on a debt security (except as otherwise described in the prospectus or prospectus supplement);</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your right to sue for payment;</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any right to convert or exchange a debt security in accordance with its terms;</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debt securities whose consent is needed to modify or amend the indenture;</w:t>
      </w:r>
    </w:p>
    <w:p>
      <w:pPr>
        <w:spacing w:after="0" w:line="98" w:lineRule="exact"/>
        <w:rPr>
          <w:rFonts w:ascii="Times New Roman" w:cs="Times New Roman" w:eastAsia="Times New Roman" w:hAnsi="Times New Roman"/>
          <w:sz w:val="14"/>
          <w:szCs w:val="14"/>
          <w:color w:val="auto"/>
        </w:rPr>
      </w:pPr>
    </w:p>
    <w:p>
      <w:pPr>
        <w:ind w:left="1020" w:right="299" w:hanging="332"/>
        <w:spacing w:after="0" w:line="277"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debt securities whose consent is needed to waive compliance with certain provisions of the indenture or to waive certain defaults;</w:t>
      </w:r>
    </w:p>
    <w:p>
      <w:pPr>
        <w:spacing w:after="0" w:line="53" w:lineRule="exact"/>
        <w:rPr>
          <w:rFonts w:ascii="Times New Roman" w:cs="Times New Roman" w:eastAsia="Times New Roman" w:hAnsi="Times New Roman"/>
          <w:sz w:val="14"/>
          <w:szCs w:val="14"/>
          <w:color w:val="auto"/>
        </w:rPr>
      </w:pPr>
    </w:p>
    <w:p>
      <w:pPr>
        <w:ind w:left="1020" w:right="359" w:hanging="332"/>
        <w:spacing w:after="0" w:line="277"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obligation we have to pay additional amounts.</w:t>
      </w:r>
    </w:p>
    <w:p>
      <w:pPr>
        <w:spacing w:after="0" w:line="2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Changes Not Requiring Approval</w:t>
      </w:r>
    </w:p>
    <w:p>
      <w:pPr>
        <w:spacing w:after="0" w:line="90" w:lineRule="exact"/>
        <w:rPr>
          <w:sz w:val="20"/>
          <w:szCs w:val="20"/>
          <w:color w:val="auto"/>
        </w:rPr>
      </w:pPr>
    </w:p>
    <w:p>
      <w:pPr>
        <w:ind w:left="280" w:right="319" w:firstLine="338"/>
        <w:spacing w:after="0" w:line="262" w:lineRule="auto"/>
        <w:rPr>
          <w:sz w:val="20"/>
          <w:szCs w:val="20"/>
          <w:color w:val="auto"/>
        </w:rPr>
      </w:pPr>
      <w:r>
        <w:rPr>
          <w:rFonts w:ascii="Times New Roman" w:cs="Times New Roman" w:eastAsia="Times New Roman" w:hAnsi="Times New Roman"/>
          <w:sz w:val="14"/>
          <w:szCs w:val="14"/>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Changes Requiring Majority Approval</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Any other change to the indenture and the debt securities would require the following approval:</w:t>
      </w:r>
    </w:p>
    <w:p>
      <w:pPr>
        <w:spacing w:after="0" w:line="98" w:lineRule="exact"/>
        <w:rPr>
          <w:sz w:val="20"/>
          <w:szCs w:val="20"/>
          <w:color w:val="auto"/>
        </w:rPr>
      </w:pPr>
    </w:p>
    <w:p>
      <w:pPr>
        <w:ind w:left="1020" w:right="419" w:hanging="332"/>
        <w:spacing w:after="0" w:line="277" w:lineRule="auto"/>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one series of debt securities, it must be approved by the holders of a majority in principal amount of that series; and</w:t>
      </w:r>
    </w:p>
    <w:p>
      <w:pPr>
        <w:spacing w:after="0" w:line="53" w:lineRule="exact"/>
        <w:rPr>
          <w:rFonts w:ascii="Times New Roman" w:cs="Times New Roman" w:eastAsia="Times New Roman" w:hAnsi="Times New Roman"/>
          <w:sz w:val="14"/>
          <w:szCs w:val="14"/>
          <w:color w:val="auto"/>
        </w:rPr>
      </w:pPr>
    </w:p>
    <w:p>
      <w:pPr>
        <w:ind w:left="1020" w:right="299" w:hanging="332"/>
        <w:spacing w:after="0" w:line="317" w:lineRule="auto"/>
        <w:tabs>
          <w:tab w:leader="none" w:pos="102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9019"/>
          </w:cols>
          <w:pgMar w:left="1440" w:top="259" w:right="1440" w:bottom="1440" w:gutter="0" w:footer="0" w:header="0"/>
        </w:sectPr>
      </w:pPr>
    </w:p>
    <w:bookmarkStart w:id="84" w:name="page85"/>
    <w:bookmarkEnd w:id="84"/>
    <w:p>
      <w:pPr>
        <w:ind w:left="6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02805" cy="45720"/>
                    </a:xfrm>
                    <a:prstGeom prst="rect">
                      <a:avLst/>
                    </a:prstGeom>
                    <a:noFill/>
                  </pic:spPr>
                </pic:pic>
              </a:graphicData>
            </a:graphic>
          </wp:anchor>
        </w:drawing>
        <w:t>In each case, the required approval must be given by written consent.</w:t>
      </w:r>
    </w:p>
    <w:p>
      <w:pPr>
        <w:sectPr>
          <w:pgSz w:w="11900" w:h="16838" w:orient="portrait"/>
          <w:cols w:equalWidth="0" w:num="1">
            <w:col w:w="9019"/>
          </w:cols>
          <w:pgMar w:left="1440" w:top="259" w:right="1440" w:bottom="1440" w:gutter="0" w:footer="0" w:header="0"/>
        </w:sectPr>
      </w:pPr>
    </w:p>
    <w:bookmarkStart w:id="85" w:name="page86"/>
    <w:bookmarkEnd w:id="85"/>
    <w:p>
      <w:pPr>
        <w:ind w:left="280" w:right="299" w:firstLine="338"/>
        <w:spacing w:after="0" w:line="257" w:lineRule="auto"/>
        <w:rPr>
          <w:sz w:val="20"/>
          <w:szCs w:val="20"/>
          <w:color w:val="auto"/>
        </w:rPr>
      </w:pPr>
      <w:r>
        <w:rPr>
          <w:rFonts w:ascii="Times New Roman" w:cs="Times New Roman" w:eastAsia="Times New Roman" w:hAnsi="Times New Roman"/>
          <w:sz w:val="14"/>
          <w:szCs w:val="14"/>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Further Details Concerning Voting</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When taking a vote, we will use the following rules to decide how much principal to attribute to a debt security:</w:t>
      </w:r>
    </w:p>
    <w:p>
      <w:pPr>
        <w:spacing w:after="0" w:line="98" w:lineRule="exact"/>
        <w:rPr>
          <w:sz w:val="20"/>
          <w:szCs w:val="20"/>
          <w:color w:val="auto"/>
        </w:rPr>
      </w:pPr>
    </w:p>
    <w:p>
      <w:pPr>
        <w:ind w:left="1020" w:right="819" w:hanging="332"/>
        <w:spacing w:after="0" w:line="277" w:lineRule="auto"/>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OID securities, we will use the principal amount that would be due and payable on the voting date if the maturity of these debt securities were accelerated to that date because of a default;</w:t>
      </w:r>
    </w:p>
    <w:p>
      <w:pPr>
        <w:spacing w:after="0" w:line="53" w:lineRule="exact"/>
        <w:rPr>
          <w:rFonts w:ascii="Times New Roman" w:cs="Times New Roman" w:eastAsia="Times New Roman" w:hAnsi="Times New Roman"/>
          <w:sz w:val="14"/>
          <w:szCs w:val="14"/>
          <w:color w:val="auto"/>
        </w:rPr>
      </w:pPr>
    </w:p>
    <w:p>
      <w:pPr>
        <w:ind w:left="1020" w:right="439" w:hanging="332"/>
        <w:spacing w:after="0" w:line="277" w:lineRule="auto"/>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debt securities whose principal amount is not known (for example, because it is based on an index), we will use a special rule for that debt security described in the prospectus supplement; and</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debt securities denominated in one or more foreign currencies, we will use the U.S. dollar equivalent.</w:t>
      </w:r>
    </w:p>
    <w:p>
      <w:pPr>
        <w:spacing w:after="0" w:line="171" w:lineRule="exact"/>
        <w:rPr>
          <w:sz w:val="20"/>
          <w:szCs w:val="20"/>
          <w:color w:val="auto"/>
        </w:rPr>
      </w:pPr>
    </w:p>
    <w:p>
      <w:pPr>
        <w:ind w:left="280" w:right="299" w:firstLine="338"/>
        <w:spacing w:after="0" w:line="253" w:lineRule="auto"/>
        <w:rPr>
          <w:sz w:val="20"/>
          <w:szCs w:val="20"/>
          <w:color w:val="auto"/>
        </w:rPr>
      </w:pPr>
      <w:r>
        <w:rPr>
          <w:rFonts w:ascii="Times New Roman" w:cs="Times New Roman" w:eastAsia="Times New Roman" w:hAnsi="Times New Roman"/>
          <w:sz w:val="14"/>
          <w:szCs w:val="14"/>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41" w:lineRule="exact"/>
        <w:rPr>
          <w:sz w:val="20"/>
          <w:szCs w:val="20"/>
          <w:color w:val="auto"/>
        </w:rPr>
      </w:pPr>
    </w:p>
    <w:p>
      <w:pPr>
        <w:ind w:left="280" w:right="399" w:firstLine="338"/>
        <w:spacing w:after="0" w:line="280" w:lineRule="auto"/>
        <w:rPr>
          <w:sz w:val="20"/>
          <w:szCs w:val="20"/>
          <w:color w:val="auto"/>
        </w:rPr>
      </w:pPr>
      <w:r>
        <w:rPr>
          <w:rFonts w:ascii="Times New Roman" w:cs="Times New Roman" w:eastAsia="Times New Roman" w:hAnsi="Times New Roman"/>
          <w:sz w:val="14"/>
          <w:szCs w:val="14"/>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90" w:lineRule="exact"/>
        <w:rPr>
          <w:sz w:val="20"/>
          <w:szCs w:val="20"/>
          <w:color w:val="auto"/>
        </w:rPr>
      </w:pPr>
    </w:p>
    <w:p>
      <w:pPr>
        <w:ind w:left="280" w:right="679" w:firstLine="338"/>
        <w:spacing w:after="0" w:line="277" w:lineRule="auto"/>
        <w:rPr>
          <w:sz w:val="20"/>
          <w:szCs w:val="20"/>
          <w:color w:val="auto"/>
        </w:rPr>
      </w:pPr>
      <w:r>
        <w:rPr>
          <w:rFonts w:ascii="Times New Roman" w:cs="Times New Roman" w:eastAsia="Times New Roman" w:hAnsi="Times New Roman"/>
          <w:sz w:val="14"/>
          <w:szCs w:val="14"/>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Covenant Defeasance</w:t>
      </w:r>
    </w:p>
    <w:p>
      <w:pPr>
        <w:spacing w:after="0" w:line="90" w:lineRule="exact"/>
        <w:rPr>
          <w:sz w:val="20"/>
          <w:szCs w:val="20"/>
          <w:color w:val="auto"/>
        </w:rPr>
      </w:pPr>
    </w:p>
    <w:p>
      <w:pPr>
        <w:ind w:left="280" w:right="379" w:firstLine="338"/>
        <w:spacing w:after="0" w:line="254" w:lineRule="auto"/>
        <w:rPr>
          <w:sz w:val="20"/>
          <w:szCs w:val="20"/>
          <w:color w:val="auto"/>
        </w:rPr>
      </w:pPr>
      <w:r>
        <w:rPr>
          <w:rFonts w:ascii="Times New Roman" w:cs="Times New Roman" w:eastAsia="Times New Roman" w:hAnsi="Times New Roman"/>
          <w:sz w:val="14"/>
          <w:szCs w:val="14"/>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71" w:lineRule="exact"/>
        <w:rPr>
          <w:sz w:val="20"/>
          <w:szCs w:val="20"/>
          <w:color w:val="auto"/>
        </w:rPr>
      </w:pPr>
    </w:p>
    <w:p>
      <w:pPr>
        <w:ind w:left="1020" w:right="359" w:hanging="332"/>
        <w:spacing w:after="0" w:line="262" w:lineRule="auto"/>
        <w:tabs>
          <w:tab w:leader="none" w:pos="1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9019"/>
          </w:cols>
          <w:pgMar w:left="1440" w:top="125" w:right="1440" w:bottom="1440" w:gutter="0" w:footer="0" w:header="0"/>
        </w:sectPr>
      </w:pPr>
    </w:p>
    <w:bookmarkStart w:id="86" w:name="page87"/>
    <w:bookmarkEnd w:id="86"/>
    <w:p>
      <w:pPr>
        <w:ind w:left="1020" w:right="359" w:hanging="332"/>
        <w:spacing w:after="0" w:line="262" w:lineRule="auto"/>
        <w:tabs>
          <w:tab w:leader="none" w:pos="1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36" w:lineRule="exact"/>
        <w:rPr>
          <w:sz w:val="20"/>
          <w:szCs w:val="20"/>
          <w:color w:val="auto"/>
        </w:rPr>
      </w:pPr>
    </w:p>
    <w:p>
      <w:pPr>
        <w:ind w:left="280" w:right="379" w:firstLine="338"/>
        <w:spacing w:after="0" w:line="277" w:lineRule="auto"/>
        <w:rPr>
          <w:sz w:val="20"/>
          <w:szCs w:val="20"/>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6" w:lineRule="exact"/>
        <w:rPr>
          <w:sz w:val="20"/>
          <w:szCs w:val="20"/>
          <w:color w:val="auto"/>
        </w:rPr>
      </w:pPr>
    </w:p>
    <w:p>
      <w:pPr>
        <w:ind w:left="280" w:right="419" w:firstLine="338"/>
        <w:spacing w:after="0" w:line="257" w:lineRule="auto"/>
        <w:rPr>
          <w:sz w:val="20"/>
          <w:szCs w:val="20"/>
          <w:color w:val="auto"/>
        </w:rPr>
      </w:pPr>
      <w:r>
        <w:rPr>
          <w:rFonts w:ascii="Times New Roman" w:cs="Times New Roman" w:eastAsia="Times New Roman" w:hAnsi="Times New Roman"/>
          <w:sz w:val="14"/>
          <w:szCs w:val="14"/>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i w:val="1"/>
          <w:iCs w:val="1"/>
          <w:color w:val="auto"/>
        </w:rPr>
        <w:t>Full Defeasance</w:t>
      </w:r>
    </w:p>
    <w:p>
      <w:pPr>
        <w:spacing w:after="0" w:line="90" w:lineRule="exact"/>
        <w:rPr>
          <w:sz w:val="20"/>
          <w:szCs w:val="20"/>
          <w:color w:val="auto"/>
        </w:rPr>
      </w:pPr>
    </w:p>
    <w:p>
      <w:pPr>
        <w:ind w:left="280" w:right="299" w:firstLine="338"/>
        <w:spacing w:after="0" w:line="277" w:lineRule="auto"/>
        <w:rPr>
          <w:sz w:val="20"/>
          <w:szCs w:val="20"/>
          <w:color w:val="auto"/>
        </w:rPr>
      </w:pPr>
      <w:r>
        <w:rPr>
          <w:rFonts w:ascii="Times New Roman" w:cs="Times New Roman" w:eastAsia="Times New Roman" w:hAnsi="Times New Roman"/>
          <w:sz w:val="14"/>
          <w:szCs w:val="14"/>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4" w:lineRule="exact"/>
        <w:rPr>
          <w:sz w:val="20"/>
          <w:szCs w:val="20"/>
          <w:color w:val="auto"/>
        </w:rPr>
      </w:pPr>
    </w:p>
    <w:p>
      <w:pPr>
        <w:ind w:left="1020" w:right="359" w:hanging="332"/>
        <w:spacing w:after="0" w:line="262" w:lineRule="auto"/>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63" w:lineRule="exact"/>
        <w:rPr>
          <w:rFonts w:ascii="Times New Roman" w:cs="Times New Roman" w:eastAsia="Times New Roman" w:hAnsi="Times New Roman"/>
          <w:sz w:val="14"/>
          <w:szCs w:val="14"/>
          <w:color w:val="auto"/>
        </w:rPr>
      </w:pPr>
    </w:p>
    <w:p>
      <w:pPr>
        <w:ind w:left="1020" w:right="339" w:hanging="332"/>
        <w:spacing w:after="0" w:line="253" w:lineRule="auto"/>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70" w:lineRule="exact"/>
        <w:rPr>
          <w:rFonts w:ascii="Times New Roman" w:cs="Times New Roman" w:eastAsia="Times New Roman" w:hAnsi="Times New Roman"/>
          <w:sz w:val="14"/>
          <w:szCs w:val="14"/>
          <w:color w:val="auto"/>
        </w:rPr>
      </w:pPr>
    </w:p>
    <w:p>
      <w:pPr>
        <w:ind w:left="1020" w:right="559" w:hanging="332"/>
        <w:spacing w:after="0" w:line="277" w:lineRule="auto"/>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26" w:lineRule="exact"/>
        <w:rPr>
          <w:sz w:val="20"/>
          <w:szCs w:val="20"/>
          <w:color w:val="auto"/>
        </w:rPr>
      </w:pPr>
    </w:p>
    <w:p>
      <w:pPr>
        <w:ind w:left="280" w:right="319" w:firstLine="338"/>
        <w:spacing w:after="0" w:line="257" w:lineRule="auto"/>
        <w:rPr>
          <w:sz w:val="20"/>
          <w:szCs w:val="20"/>
          <w:color w:val="auto"/>
        </w:rPr>
      </w:pPr>
      <w:r>
        <w:rPr>
          <w:rFonts w:ascii="Times New Roman" w:cs="Times New Roman" w:eastAsia="Times New Roman" w:hAnsi="Times New Roman"/>
          <w:sz w:val="14"/>
          <w:szCs w:val="14"/>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Form, Exchange and Transfer of Certificated Registered Securities</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If registered debt securities cease to be issued in book-entry form, they will be issued:</w:t>
      </w:r>
    </w:p>
    <w:p>
      <w:pPr>
        <w:spacing w:after="0" w:line="98" w:lineRule="exact"/>
        <w:rPr>
          <w:sz w:val="20"/>
          <w:szCs w:val="20"/>
          <w:color w:val="auto"/>
        </w:rPr>
      </w:pPr>
    </w:p>
    <w:p>
      <w:pPr>
        <w:ind w:left="1020" w:hanging="332"/>
        <w:spacing w:after="0"/>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in fully registered certificated form;</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interest coupons; and</w:t>
      </w:r>
    </w:p>
    <w:p>
      <w:pPr>
        <w:spacing w:after="0" w:line="98"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we indicate otherwise in the prospectus supplement, in denominations of $1,000 and amounts that are multiples of $1,000.</w:t>
      </w:r>
    </w:p>
    <w:p>
      <w:pPr>
        <w:spacing w:after="0" w:line="118" w:lineRule="exact"/>
        <w:rPr>
          <w:rFonts w:ascii="Times New Roman" w:cs="Times New Roman" w:eastAsia="Times New Roman" w:hAnsi="Times New Roman"/>
          <w:sz w:val="14"/>
          <w:szCs w:val="14"/>
          <w:color w:val="auto"/>
        </w:rPr>
      </w:pPr>
    </w:p>
    <w:p>
      <w:pPr>
        <w:ind w:left="4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58</w:t>
      </w:r>
    </w:p>
    <w:p>
      <w:pPr>
        <w:sectPr>
          <w:pgSz w:w="11900" w:h="16838" w:orient="portrait"/>
          <w:cols w:equalWidth="0" w:num="1">
            <w:col w:w="9019"/>
          </w:cols>
          <w:pgMar w:left="1440" w:top="259" w:right="1440" w:bottom="1440" w:gutter="0" w:footer="0" w:header="0"/>
        </w:sectPr>
      </w:pPr>
    </w:p>
    <w:bookmarkStart w:id="87" w:name="page88"/>
    <w:bookmarkEnd w:id="87"/>
    <w:p>
      <w:pPr>
        <w:ind w:left="280" w:right="519" w:firstLine="338"/>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Holders may exchange their certificated securities for debt securities of smaller denominations or combined into fewer debt securities of larger denominations, as long as the total principal amount is not changed.</w:t>
      </w:r>
    </w:p>
    <w:p>
      <w:pPr>
        <w:spacing w:after="0" w:line="126" w:lineRule="exact"/>
        <w:rPr>
          <w:sz w:val="20"/>
          <w:szCs w:val="20"/>
          <w:color w:val="auto"/>
        </w:rPr>
      </w:pPr>
    </w:p>
    <w:p>
      <w:pPr>
        <w:ind w:left="280" w:right="299" w:firstLine="338"/>
        <w:spacing w:after="0" w:line="262" w:lineRule="auto"/>
        <w:rPr>
          <w:sz w:val="20"/>
          <w:szCs w:val="20"/>
          <w:color w:val="auto"/>
        </w:rPr>
      </w:pPr>
      <w:r>
        <w:rPr>
          <w:rFonts w:ascii="Times New Roman" w:cs="Times New Roman" w:eastAsia="Times New Roman" w:hAnsi="Times New Roman"/>
          <w:sz w:val="14"/>
          <w:szCs w:val="14"/>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36" w:lineRule="exact"/>
        <w:rPr>
          <w:sz w:val="20"/>
          <w:szCs w:val="20"/>
          <w:color w:val="auto"/>
        </w:rPr>
      </w:pPr>
    </w:p>
    <w:p>
      <w:pPr>
        <w:jc w:val="both"/>
        <w:ind w:left="280" w:right="319" w:firstLine="338"/>
        <w:spacing w:after="0" w:line="262" w:lineRule="auto"/>
        <w:rPr>
          <w:sz w:val="20"/>
          <w:szCs w:val="20"/>
          <w:color w:val="auto"/>
        </w:rPr>
      </w:pPr>
      <w:r>
        <w:rPr>
          <w:rFonts w:ascii="Times New Roman" w:cs="Times New Roman" w:eastAsia="Times New Roman" w:hAnsi="Times New Roman"/>
          <w:sz w:val="14"/>
          <w:szCs w:val="14"/>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36" w:lineRule="exact"/>
        <w:rPr>
          <w:sz w:val="20"/>
          <w:szCs w:val="20"/>
          <w:color w:val="auto"/>
        </w:rPr>
      </w:pPr>
    </w:p>
    <w:p>
      <w:pPr>
        <w:ind w:left="280" w:right="599" w:firstLine="338"/>
        <w:spacing w:after="0" w:line="262" w:lineRule="auto"/>
        <w:rPr>
          <w:sz w:val="20"/>
          <w:szCs w:val="20"/>
          <w:color w:val="auto"/>
        </w:rPr>
      </w:pPr>
      <w:r>
        <w:rPr>
          <w:rFonts w:ascii="Times New Roman" w:cs="Times New Roman" w:eastAsia="Times New Roman" w:hAnsi="Times New Roman"/>
          <w:sz w:val="14"/>
          <w:szCs w:val="14"/>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36" w:lineRule="exact"/>
        <w:rPr>
          <w:sz w:val="20"/>
          <w:szCs w:val="20"/>
          <w:color w:val="auto"/>
        </w:rPr>
      </w:pPr>
    </w:p>
    <w:p>
      <w:pPr>
        <w:ind w:left="280" w:right="339" w:firstLine="338"/>
        <w:spacing w:after="0" w:line="254" w:lineRule="auto"/>
        <w:rPr>
          <w:sz w:val="20"/>
          <w:szCs w:val="20"/>
          <w:color w:val="auto"/>
        </w:rPr>
      </w:pPr>
      <w:r>
        <w:rPr>
          <w:rFonts w:ascii="Times New Roman" w:cs="Times New Roman" w:eastAsia="Times New Roman" w:hAnsi="Times New Roman"/>
          <w:sz w:val="14"/>
          <w:szCs w:val="14"/>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44" w:lineRule="exact"/>
        <w:rPr>
          <w:sz w:val="20"/>
          <w:szCs w:val="20"/>
          <w:color w:val="auto"/>
        </w:rPr>
      </w:pPr>
    </w:p>
    <w:p>
      <w:pPr>
        <w:ind w:left="280" w:right="819" w:firstLine="338"/>
        <w:spacing w:after="0" w:line="277" w:lineRule="auto"/>
        <w:rPr>
          <w:sz w:val="20"/>
          <w:szCs w:val="20"/>
          <w:color w:val="auto"/>
        </w:rPr>
      </w:pPr>
      <w:r>
        <w:rPr>
          <w:rFonts w:ascii="Times New Roman" w:cs="Times New Roman" w:eastAsia="Times New Roman" w:hAnsi="Times New Roman"/>
          <w:sz w:val="14"/>
          <w:szCs w:val="14"/>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Resignation of Trustee</w:t>
      </w:r>
    </w:p>
    <w:p>
      <w:pPr>
        <w:spacing w:after="0" w:line="173" w:lineRule="exact"/>
        <w:rPr>
          <w:sz w:val="20"/>
          <w:szCs w:val="20"/>
          <w:color w:val="auto"/>
        </w:rPr>
      </w:pPr>
    </w:p>
    <w:p>
      <w:pPr>
        <w:ind w:left="280" w:right="299" w:firstLine="338"/>
        <w:spacing w:after="0" w:line="262" w:lineRule="auto"/>
        <w:rPr>
          <w:sz w:val="20"/>
          <w:szCs w:val="20"/>
          <w:color w:val="auto"/>
        </w:rPr>
      </w:pPr>
      <w:r>
        <w:rPr>
          <w:rFonts w:ascii="Times New Roman" w:cs="Times New Roman" w:eastAsia="Times New Roman" w:hAnsi="Times New Roman"/>
          <w:sz w:val="14"/>
          <w:szCs w:val="14"/>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Indenture Provisions—Subordination</w:t>
      </w:r>
    </w:p>
    <w:p>
      <w:pPr>
        <w:spacing w:after="0" w:line="173" w:lineRule="exact"/>
        <w:rPr>
          <w:sz w:val="20"/>
          <w:szCs w:val="20"/>
          <w:color w:val="auto"/>
        </w:rPr>
      </w:pPr>
    </w:p>
    <w:p>
      <w:pPr>
        <w:ind w:left="280" w:right="319" w:firstLine="338"/>
        <w:spacing w:after="0" w:line="252" w:lineRule="auto"/>
        <w:rPr>
          <w:sz w:val="20"/>
          <w:szCs w:val="20"/>
          <w:color w:val="auto"/>
        </w:rPr>
      </w:pPr>
      <w:r>
        <w:rPr>
          <w:rFonts w:ascii="Times New Roman" w:cs="Times New Roman" w:eastAsia="Times New Roman" w:hAnsi="Times New Roman"/>
          <w:sz w:val="14"/>
          <w:szCs w:val="14"/>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44" w:lineRule="exact"/>
        <w:rPr>
          <w:sz w:val="20"/>
          <w:szCs w:val="20"/>
          <w:color w:val="auto"/>
        </w:rPr>
      </w:pPr>
    </w:p>
    <w:p>
      <w:pPr>
        <w:ind w:left="280" w:right="359" w:firstLine="338"/>
        <w:spacing w:after="0" w:line="254" w:lineRule="auto"/>
        <w:rPr>
          <w:sz w:val="20"/>
          <w:szCs w:val="20"/>
          <w:color w:val="auto"/>
        </w:rPr>
      </w:pPr>
      <w:r>
        <w:rPr>
          <w:rFonts w:ascii="Times New Roman" w:cs="Times New Roman" w:eastAsia="Times New Roman" w:hAnsi="Times New Roman"/>
          <w:sz w:val="14"/>
          <w:szCs w:val="14"/>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9019"/>
          </w:cols>
          <w:pgMar w:left="1440" w:top="259" w:right="1440" w:bottom="1440" w:gutter="0" w:footer="0" w:header="0"/>
        </w:sectPr>
      </w:pPr>
    </w:p>
    <w:bookmarkStart w:id="88" w:name="page89"/>
    <w:bookmarkEnd w:id="88"/>
    <w:p>
      <w:pPr>
        <w:ind w:left="280" w:right="339"/>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202805" cy="45720"/>
                    </a:xfrm>
                    <a:prstGeom prst="rect">
                      <a:avLst/>
                    </a:prstGeom>
                    <a:noFill/>
                  </pic:spPr>
                </pic:pic>
              </a:graphicData>
            </a:graphic>
          </wp:anchor>
        </w:drawing>
        <w:t>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6" w:lineRule="exact"/>
        <w:rPr>
          <w:sz w:val="20"/>
          <w:szCs w:val="20"/>
          <w:color w:val="auto"/>
        </w:rPr>
      </w:pPr>
    </w:p>
    <w:p>
      <w:pPr>
        <w:ind w:left="280" w:right="379" w:firstLine="338"/>
        <w:spacing w:after="0" w:line="262" w:lineRule="auto"/>
        <w:rPr>
          <w:sz w:val="20"/>
          <w:szCs w:val="20"/>
          <w:color w:val="auto"/>
        </w:rPr>
      </w:pPr>
      <w:r>
        <w:rPr>
          <w:rFonts w:ascii="Times New Roman" w:cs="Times New Roman" w:eastAsia="Times New Roman" w:hAnsi="Times New Roman"/>
          <w:sz w:val="14"/>
          <w:szCs w:val="14"/>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Senior Indebtedness is defined in the indenture as the principal of (and premium, if any) and unpaid interest on:</w:t>
      </w:r>
    </w:p>
    <w:p>
      <w:pPr>
        <w:spacing w:after="0" w:line="98" w:lineRule="exact"/>
        <w:rPr>
          <w:sz w:val="20"/>
          <w:szCs w:val="20"/>
          <w:color w:val="auto"/>
        </w:rPr>
      </w:pPr>
    </w:p>
    <w:p>
      <w:pPr>
        <w:ind w:left="1020" w:right="559" w:hanging="332"/>
        <w:spacing w:after="0" w:line="257" w:lineRule="auto"/>
        <w:tabs>
          <w:tab w:leader="none" w:pos="10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7"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renewals, extensions, modifications and refinancings of any of this indebtedness.</w:t>
      </w:r>
    </w:p>
    <w:p>
      <w:pPr>
        <w:spacing w:after="0" w:line="171" w:lineRule="exact"/>
        <w:rPr>
          <w:sz w:val="20"/>
          <w:szCs w:val="20"/>
          <w:color w:val="auto"/>
        </w:rPr>
      </w:pPr>
    </w:p>
    <w:p>
      <w:pPr>
        <w:ind w:left="280" w:right="319" w:firstLine="338"/>
        <w:spacing w:after="0" w:line="277" w:lineRule="auto"/>
        <w:rPr>
          <w:sz w:val="20"/>
          <w:szCs w:val="20"/>
          <w:color w:val="auto"/>
        </w:rPr>
      </w:pPr>
      <w:r>
        <w:rPr>
          <w:rFonts w:ascii="Times New Roman" w:cs="Times New Roman" w:eastAsia="Times New Roman" w:hAnsi="Times New Roman"/>
          <w:sz w:val="14"/>
          <w:szCs w:val="14"/>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The Trustee under the Indenture</w:t>
      </w:r>
    </w:p>
    <w:p>
      <w:pPr>
        <w:spacing w:after="0" w:line="90" w:lineRule="exact"/>
        <w:rPr>
          <w:sz w:val="20"/>
          <w:szCs w:val="20"/>
          <w:color w:val="auto"/>
        </w:rPr>
      </w:pPr>
    </w:p>
    <w:p>
      <w:pPr>
        <w:ind w:left="280" w:right="339" w:firstLine="338"/>
        <w:spacing w:after="0" w:line="277" w:lineRule="auto"/>
        <w:rPr>
          <w:sz w:val="20"/>
          <w:szCs w:val="20"/>
          <w:color w:val="auto"/>
        </w:rPr>
      </w:pPr>
      <w:r>
        <w:rPr>
          <w:rFonts w:ascii="Times New Roman" w:cs="Times New Roman" w:eastAsia="Times New Roman" w:hAnsi="Times New Roman"/>
          <w:sz w:val="14"/>
          <w:szCs w:val="14"/>
          <w:color w:val="auto"/>
        </w:rPr>
        <w:t>American Stock Transfer &amp; Trust Company, LLC is the trustee under the indenture and the 2026 Notes. Mishmeret Trust Company, Ltd. serves as trustee for our 2023 Notes.</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Certain Considerations Relating to Foreign Currencies</w:t>
      </w:r>
    </w:p>
    <w:p>
      <w:pPr>
        <w:spacing w:after="0" w:line="90" w:lineRule="exact"/>
        <w:rPr>
          <w:sz w:val="20"/>
          <w:szCs w:val="20"/>
          <w:color w:val="auto"/>
        </w:rPr>
      </w:pPr>
    </w:p>
    <w:p>
      <w:pPr>
        <w:ind w:left="280" w:right="679" w:firstLine="338"/>
        <w:spacing w:after="0" w:line="257" w:lineRule="auto"/>
        <w:rPr>
          <w:sz w:val="20"/>
          <w:szCs w:val="20"/>
          <w:color w:val="auto"/>
        </w:rPr>
      </w:pPr>
      <w:r>
        <w:rPr>
          <w:rFonts w:ascii="Times New Roman" w:cs="Times New Roman" w:eastAsia="Times New Roman" w:hAnsi="Times New Roman"/>
          <w:sz w:val="14"/>
          <w:szCs w:val="14"/>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BROKERAGE ALLOCATIONS AND OTHER PRACTICES</w:t>
      </w:r>
    </w:p>
    <w:p>
      <w:pPr>
        <w:spacing w:after="0" w:line="173" w:lineRule="exact"/>
        <w:rPr>
          <w:sz w:val="20"/>
          <w:szCs w:val="20"/>
          <w:color w:val="auto"/>
        </w:rPr>
      </w:pPr>
    </w:p>
    <w:p>
      <w:pPr>
        <w:ind w:left="280" w:right="379" w:firstLine="338"/>
        <w:spacing w:after="0" w:line="250" w:lineRule="auto"/>
        <w:rPr>
          <w:sz w:val="20"/>
          <w:szCs w:val="20"/>
          <w:color w:val="auto"/>
        </w:rPr>
      </w:pPr>
      <w:r>
        <w:rPr>
          <w:rFonts w:ascii="Times New Roman" w:cs="Times New Roman" w:eastAsia="Times New Roman" w:hAnsi="Times New Roman"/>
          <w:sz w:val="14"/>
          <w:szCs w:val="14"/>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9019"/>
          </w:cols>
          <w:pgMar w:left="1440" w:top="260"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02805" cy="45720"/>
                    </a:xfrm>
                    <a:prstGeom prst="rect">
                      <a:avLst/>
                    </a:prstGeom>
                    <a:noFill/>
                  </pic:spPr>
                </pic:pic>
              </a:graphicData>
            </a:graphic>
          </wp:anchor>
        </w:drawing>
        <w:t>MATERIAL U.S. FEDERAL INCOME TAX CONSIDERATIONS</w:t>
      </w:r>
    </w:p>
    <w:p>
      <w:pPr>
        <w:spacing w:after="0" w:line="173" w:lineRule="exact"/>
        <w:rPr>
          <w:sz w:val="20"/>
          <w:szCs w:val="20"/>
          <w:color w:val="auto"/>
        </w:rPr>
      </w:pPr>
    </w:p>
    <w:p>
      <w:pPr>
        <w:ind w:left="280" w:right="279" w:firstLine="338"/>
        <w:spacing w:after="0" w:line="250" w:lineRule="auto"/>
        <w:rPr>
          <w:sz w:val="20"/>
          <w:szCs w:val="20"/>
          <w:color w:val="auto"/>
        </w:rPr>
      </w:pPr>
      <w:r>
        <w:rPr>
          <w:rFonts w:ascii="Times New Roman" w:cs="Times New Roman" w:eastAsia="Times New Roman" w:hAnsi="Times New Roman"/>
          <w:sz w:val="14"/>
          <w:szCs w:val="14"/>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 “U.S. stockholder” generally is a beneficial owner of shares of our common stock that is for U.S. federal income tax purposes:</w:t>
      </w:r>
    </w:p>
    <w:p>
      <w:pPr>
        <w:spacing w:after="0" w:line="98" w:lineRule="exact"/>
        <w:rPr>
          <w:sz w:val="20"/>
          <w:szCs w:val="20"/>
          <w:color w:val="auto"/>
        </w:rPr>
      </w:pPr>
    </w:p>
    <w:p>
      <w:pPr>
        <w:ind w:left="1020" w:hanging="332"/>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citizen or individual resident of the United States;</w:t>
      </w:r>
    </w:p>
    <w:p>
      <w:pPr>
        <w:spacing w:after="0" w:line="98" w:lineRule="exact"/>
        <w:rPr>
          <w:rFonts w:ascii="Times New Roman" w:cs="Times New Roman" w:eastAsia="Times New Roman" w:hAnsi="Times New Roman"/>
          <w:sz w:val="14"/>
          <w:szCs w:val="14"/>
          <w:color w:val="auto"/>
        </w:rPr>
      </w:pPr>
    </w:p>
    <w:p>
      <w:pPr>
        <w:ind w:left="1020" w:right="339" w:hanging="332"/>
        <w:spacing w:after="0" w:line="277" w:lineRule="auto"/>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treated as a corporation for U.S. federal income tax purposes, created or organized in or under the laws of the United States or any state thereof or the District of Columbia; or</w:t>
      </w:r>
    </w:p>
    <w:p>
      <w:pPr>
        <w:spacing w:after="0" w:line="53" w:lineRule="exact"/>
        <w:rPr>
          <w:rFonts w:ascii="Times New Roman" w:cs="Times New Roman" w:eastAsia="Times New Roman" w:hAnsi="Times New Roman"/>
          <w:sz w:val="14"/>
          <w:szCs w:val="14"/>
          <w:color w:val="auto"/>
        </w:rPr>
      </w:pPr>
    </w:p>
    <w:p>
      <w:pPr>
        <w:ind w:left="1020" w:right="479" w:hanging="332"/>
        <w:spacing w:after="0" w:line="262" w:lineRule="auto"/>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6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w:t>
      </w:r>
    </w:p>
    <w:p>
      <w:pPr>
        <w:spacing w:after="0" w:line="171" w:lineRule="exact"/>
        <w:rPr>
          <w:sz w:val="20"/>
          <w:szCs w:val="20"/>
          <w:color w:val="auto"/>
        </w:rPr>
      </w:pPr>
    </w:p>
    <w:p>
      <w:pPr>
        <w:ind w:left="280" w:right="319" w:firstLine="338"/>
        <w:spacing w:after="0" w:line="277" w:lineRule="auto"/>
        <w:rPr>
          <w:sz w:val="20"/>
          <w:szCs w:val="20"/>
          <w:color w:val="auto"/>
        </w:rPr>
      </w:pPr>
      <w:r>
        <w:rPr>
          <w:rFonts w:ascii="Times New Roman" w:cs="Times New Roman" w:eastAsia="Times New Roman" w:hAnsi="Times New Roman"/>
          <w:sz w:val="14"/>
          <w:szCs w:val="14"/>
          <w:color w:val="auto"/>
        </w:rPr>
        <w:t>A “Non-U.S. stockholder” is a beneficial owner of shares of our common stock that is neither a U.S. stockholder nor a partnership for U.S. federal income tax purposes.</w:t>
      </w:r>
    </w:p>
    <w:p>
      <w:pPr>
        <w:spacing w:after="0" w:line="126" w:lineRule="exact"/>
        <w:rPr>
          <w:sz w:val="20"/>
          <w:szCs w:val="20"/>
          <w:color w:val="auto"/>
        </w:rPr>
      </w:pPr>
    </w:p>
    <w:p>
      <w:pPr>
        <w:ind w:left="280" w:right="339" w:firstLine="338"/>
        <w:spacing w:after="0" w:line="257" w:lineRule="auto"/>
        <w:rPr>
          <w:sz w:val="20"/>
          <w:szCs w:val="20"/>
          <w:color w:val="auto"/>
        </w:rPr>
      </w:pPr>
      <w:r>
        <w:rPr>
          <w:rFonts w:ascii="Times New Roman" w:cs="Times New Roman" w:eastAsia="Times New Roman" w:hAnsi="Times New Roman"/>
          <w:sz w:val="14"/>
          <w:szCs w:val="14"/>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0" w:lineRule="exact"/>
        <w:rPr>
          <w:sz w:val="20"/>
          <w:szCs w:val="20"/>
          <w:color w:val="auto"/>
        </w:rPr>
      </w:pPr>
    </w:p>
    <w:p>
      <w:pPr>
        <w:jc w:val="both"/>
        <w:ind w:left="280" w:right="379" w:firstLine="338"/>
        <w:spacing w:after="0" w:line="257" w:lineRule="auto"/>
        <w:rPr>
          <w:sz w:val="20"/>
          <w:szCs w:val="20"/>
          <w:color w:val="auto"/>
        </w:rPr>
      </w:pPr>
      <w:r>
        <w:rPr>
          <w:rFonts w:ascii="Times New Roman" w:cs="Times New Roman" w:eastAsia="Times New Roman" w:hAnsi="Times New Roman"/>
          <w:sz w:val="14"/>
          <w:szCs w:val="14"/>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Taxation in Connection with Holding Securities other than our Common Stock</w:t>
      </w:r>
    </w:p>
    <w:p>
      <w:pPr>
        <w:spacing w:after="0" w:line="90" w:lineRule="exact"/>
        <w:rPr>
          <w:sz w:val="20"/>
          <w:szCs w:val="20"/>
          <w:color w:val="auto"/>
        </w:rPr>
      </w:pPr>
    </w:p>
    <w:p>
      <w:pPr>
        <w:ind w:left="280" w:right="419" w:firstLine="338"/>
        <w:spacing w:after="0" w:line="291" w:lineRule="auto"/>
        <w:rPr>
          <w:sz w:val="20"/>
          <w:szCs w:val="20"/>
          <w:color w:val="auto"/>
        </w:rPr>
      </w:pPr>
      <w:r>
        <w:rPr>
          <w:rFonts w:ascii="Times New Roman" w:cs="Times New Roman" w:eastAsia="Times New Roman" w:hAnsi="Times New Roman"/>
          <w:sz w:val="13"/>
          <w:szCs w:val="13"/>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9019"/>
          </w:cols>
          <w:pgMar w:left="1440" w:top="258" w:right="1440" w:bottom="1440" w:gutter="0" w:footer="0" w:header="0"/>
        </w:sectPr>
      </w:pPr>
    </w:p>
    <w:bookmarkStart w:id="90" w:name="page91"/>
    <w:bookmarkEnd w:id="90"/>
    <w:p>
      <w:pPr>
        <w:ind w:left="280" w:right="299"/>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Election to be Taxed as a RIC</w:t>
      </w:r>
    </w:p>
    <w:p>
      <w:pPr>
        <w:spacing w:after="0" w:line="90" w:lineRule="exact"/>
        <w:rPr>
          <w:sz w:val="20"/>
          <w:szCs w:val="20"/>
          <w:color w:val="auto"/>
        </w:rPr>
      </w:pPr>
    </w:p>
    <w:p>
      <w:pPr>
        <w:ind w:left="280" w:right="399" w:firstLine="338"/>
        <w:spacing w:after="0" w:line="253" w:lineRule="auto"/>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In order to qualify as a RIC for federal income tax purposes, we must:</w:t>
      </w:r>
    </w:p>
    <w:p>
      <w:pPr>
        <w:spacing w:after="0" w:line="98" w:lineRule="exact"/>
        <w:rPr>
          <w:sz w:val="20"/>
          <w:szCs w:val="20"/>
          <w:color w:val="auto"/>
        </w:rPr>
      </w:pPr>
    </w:p>
    <w:p>
      <w:pPr>
        <w:ind w:left="1020" w:hanging="332"/>
        <w:spacing w:after="0"/>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 election to be treated as a BDC under the 1940 Act at all times during each taxable year;</w:t>
      </w:r>
    </w:p>
    <w:p>
      <w:pPr>
        <w:spacing w:after="0" w:line="98" w:lineRule="exact"/>
        <w:rPr>
          <w:rFonts w:ascii="Times New Roman" w:cs="Times New Roman" w:eastAsia="Times New Roman" w:hAnsi="Times New Roman"/>
          <w:sz w:val="14"/>
          <w:szCs w:val="14"/>
          <w:color w:val="auto"/>
        </w:rPr>
      </w:pPr>
    </w:p>
    <w:p>
      <w:pPr>
        <w:ind w:left="1020" w:right="319" w:hanging="332"/>
        <w:spacing w:after="0" w:line="262" w:lineRule="auto"/>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6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diversify our holdings, or the Diversification Tests, so that at the end of each quarter of the taxable year:</w:t>
      </w:r>
    </w:p>
    <w:p>
      <w:pPr>
        <w:spacing w:after="0" w:line="98" w:lineRule="exact"/>
        <w:rPr>
          <w:rFonts w:ascii="Times New Roman" w:cs="Times New Roman" w:eastAsia="Times New Roman" w:hAnsi="Times New Roman"/>
          <w:sz w:val="14"/>
          <w:szCs w:val="14"/>
          <w:color w:val="auto"/>
        </w:rPr>
      </w:pPr>
    </w:p>
    <w:p>
      <w:pPr>
        <w:ind w:left="1360" w:right="439" w:hanging="330"/>
        <w:spacing w:after="0" w:line="262" w:lineRule="auto"/>
        <w:tabs>
          <w:tab w:leader="none" w:pos="136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63" w:lineRule="exact"/>
        <w:rPr>
          <w:rFonts w:ascii="Times New Roman" w:cs="Times New Roman" w:eastAsia="Times New Roman" w:hAnsi="Times New Roman"/>
          <w:sz w:val="14"/>
          <w:szCs w:val="14"/>
          <w:color w:val="auto"/>
        </w:rPr>
      </w:pPr>
    </w:p>
    <w:p>
      <w:pPr>
        <w:jc w:val="both"/>
        <w:ind w:left="1360" w:right="299" w:hanging="330"/>
        <w:spacing w:after="0" w:line="262" w:lineRule="auto"/>
        <w:tabs>
          <w:tab w:leader="none" w:pos="136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36" w:lineRule="exact"/>
        <w:rPr>
          <w:sz w:val="20"/>
          <w:szCs w:val="20"/>
          <w:color w:val="auto"/>
        </w:rPr>
      </w:pPr>
    </w:p>
    <w:p>
      <w:pPr>
        <w:ind w:left="280" w:right="299" w:firstLine="338"/>
        <w:spacing w:after="0" w:line="251"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44" w:lineRule="exact"/>
        <w:rPr>
          <w:sz w:val="20"/>
          <w:szCs w:val="20"/>
          <w:color w:val="auto"/>
        </w:rPr>
      </w:pPr>
    </w:p>
    <w:p>
      <w:pPr>
        <w:jc w:val="both"/>
        <w:ind w:left="280" w:right="319" w:firstLine="338"/>
        <w:spacing w:after="0" w:line="262" w:lineRule="auto"/>
        <w:rPr>
          <w:sz w:val="20"/>
          <w:szCs w:val="20"/>
          <w:color w:val="auto"/>
        </w:rPr>
      </w:pPr>
      <w:r>
        <w:rPr>
          <w:rFonts w:ascii="Times New Roman" w:cs="Times New Roman" w:eastAsia="Times New Roman" w:hAnsi="Times New Roman"/>
          <w:sz w:val="14"/>
          <w:szCs w:val="14"/>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9019"/>
          </w:cols>
          <w:pgMar w:left="1440" w:top="259" w:right="1440" w:bottom="1440" w:gutter="0" w:footer="0" w:header="0"/>
        </w:sectPr>
      </w:pPr>
    </w:p>
    <w:bookmarkStart w:id="91" w:name="page92"/>
    <w:bookmarkEnd w:id="91"/>
    <w:p>
      <w:pPr>
        <w:ind w:left="280" w:right="699"/>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202805" cy="45720"/>
                    </a:xfrm>
                    <a:prstGeom prst="rect">
                      <a:avLst/>
                    </a:prstGeom>
                    <a:noFill/>
                  </pic:spPr>
                </pic:pic>
              </a:graphicData>
            </a:graphic>
          </wp:anchor>
        </w:drawing>
        <w:t>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26" w:lineRule="exact"/>
        <w:rPr>
          <w:sz w:val="20"/>
          <w:szCs w:val="20"/>
          <w:color w:val="auto"/>
        </w:rPr>
      </w:pPr>
    </w:p>
    <w:p>
      <w:pPr>
        <w:ind w:left="280" w:right="359" w:firstLine="338"/>
        <w:spacing w:after="0" w:line="254" w:lineRule="auto"/>
        <w:rPr>
          <w:sz w:val="20"/>
          <w:szCs w:val="20"/>
          <w:color w:val="auto"/>
        </w:rPr>
      </w:pPr>
      <w:r>
        <w:rPr>
          <w:rFonts w:ascii="Times New Roman" w:cs="Times New Roman" w:eastAsia="Times New Roman" w:hAnsi="Times New Roman"/>
          <w:sz w:val="14"/>
          <w:szCs w:val="14"/>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Taxation as a RIC</w:t>
      </w:r>
    </w:p>
    <w:p>
      <w:pPr>
        <w:spacing w:after="0" w:line="90" w:lineRule="exact"/>
        <w:rPr>
          <w:sz w:val="20"/>
          <w:szCs w:val="20"/>
          <w:color w:val="auto"/>
        </w:rPr>
      </w:pPr>
    </w:p>
    <w:p>
      <w:pPr>
        <w:ind w:left="280" w:right="299" w:firstLine="338"/>
        <w:spacing w:after="0" w:line="253" w:lineRule="auto"/>
        <w:rPr>
          <w:sz w:val="20"/>
          <w:szCs w:val="20"/>
          <w:color w:val="auto"/>
        </w:rPr>
      </w:pPr>
      <w:r>
        <w:rPr>
          <w:rFonts w:ascii="Times New Roman" w:cs="Times New Roman" w:eastAsia="Times New Roman" w:hAnsi="Times New Roman"/>
          <w:sz w:val="14"/>
          <w:szCs w:val="14"/>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43" w:lineRule="exact"/>
        <w:rPr>
          <w:sz w:val="20"/>
          <w:szCs w:val="20"/>
          <w:color w:val="auto"/>
        </w:rPr>
      </w:pPr>
    </w:p>
    <w:p>
      <w:pPr>
        <w:ind w:left="280" w:right="279" w:firstLine="338"/>
        <w:spacing w:after="0" w:line="253" w:lineRule="auto"/>
        <w:rPr>
          <w:sz w:val="20"/>
          <w:szCs w:val="20"/>
          <w:color w:val="auto"/>
        </w:rPr>
      </w:pPr>
      <w:r>
        <w:rPr>
          <w:rFonts w:ascii="Times New Roman" w:cs="Times New Roman" w:eastAsia="Times New Roman" w:hAnsi="Times New Roman"/>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43" w:lineRule="exact"/>
        <w:rPr>
          <w:sz w:val="20"/>
          <w:szCs w:val="20"/>
          <w:color w:val="auto"/>
        </w:rPr>
      </w:pPr>
    </w:p>
    <w:p>
      <w:pPr>
        <w:ind w:left="280" w:right="359" w:firstLine="338"/>
        <w:spacing w:after="0" w:line="254" w:lineRule="auto"/>
        <w:rPr>
          <w:sz w:val="20"/>
          <w:szCs w:val="20"/>
          <w:color w:val="auto"/>
        </w:rPr>
      </w:pPr>
      <w:r>
        <w:rPr>
          <w:rFonts w:ascii="Times New Roman" w:cs="Times New Roman" w:eastAsia="Times New Roman" w:hAnsi="Times New Roman"/>
          <w:sz w:val="14"/>
          <w:szCs w:val="14"/>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44" w:lineRule="exact"/>
        <w:rPr>
          <w:sz w:val="20"/>
          <w:szCs w:val="20"/>
          <w:color w:val="auto"/>
        </w:rPr>
      </w:pPr>
    </w:p>
    <w:p>
      <w:pPr>
        <w:ind w:left="280" w:right="339" w:firstLine="338"/>
        <w:spacing w:after="0" w:line="251" w:lineRule="auto"/>
        <w:rPr>
          <w:sz w:val="20"/>
          <w:szCs w:val="20"/>
          <w:color w:val="auto"/>
        </w:rPr>
      </w:pPr>
      <w:r>
        <w:rPr>
          <w:rFonts w:ascii="Times New Roman" w:cs="Times New Roman" w:eastAsia="Times New Roman" w:hAnsi="Times New Roman"/>
          <w:sz w:val="14"/>
          <w:szCs w:val="14"/>
          <w:color w:val="auto"/>
        </w:rPr>
        <w:t>In order to enable us to make distributions to stockholders that will be sufficient to enable us to satisfy the Annual Distribution Requirement and the Excise Tax Avoidance Requirement we may need to liquidate or sell some of our assets at times or at prices that are not advantageous, raise additional equity or debt capital, take out loans, forego new investment opportunities or otherwise take actions that are disadvantageous to our business (or be unable to take actions that are advantageous to our business). If we borrow money, we may be prevented by loan covenants from declaring and paying dividends in certain circumstances. Even if we are authorized to borrow funds and to sell assets in order to satisfy distribution requirements, under the 1940 Act, we are generally not permitted to make distributions to our stockholders while our debt obligations and senior securities are outstanding unless certain “asset coverage” tests or other financial covenants are met. Limits on our payment of dividends may prevent us from meeting the Annual Distribution Requirement, and may, therefore, jeopardize our qualification for taxation as a RIC, or subject us to the 4% excise tax on undistributed income.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9019"/>
          </w:cols>
          <w:pgMar w:left="1440" w:top="259" w:right="1440" w:bottom="1440" w:gutter="0" w:footer="0" w:header="0"/>
        </w:sectPr>
      </w:pPr>
    </w:p>
    <w:bookmarkStart w:id="92" w:name="page93"/>
    <w:bookmarkEnd w:id="92"/>
    <w:p>
      <w:pPr>
        <w:ind w:left="280" w:right="339" w:firstLine="338"/>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202805" cy="45720"/>
                    </a:xfrm>
                    <a:prstGeom prst="rect">
                      <a:avLst/>
                    </a:prstGeom>
                    <a:noFill/>
                  </pic:spPr>
                </pic:pic>
              </a:graphicData>
            </a:graphic>
          </wp:anchor>
        </w:drawing>
        <w:t>A portfolio company in which we invest may face financial difficulty that requires us to work-out, modify or otherwise restructure our investment in the portfolio company. Any such restructuring could, depending on the specific terms of the restructuring, cause us to recognize taxable income without a corresponding receipt of cash, which could affect our ability to satisfy the Annual Distribution Requirement or the Excise Tax Avoidance Requirement, or result in unusable capital losses and future non-cash income. Any such restructuring could also result in our receiving assets that give rise to non-qualifying gross income for purposes of the 90% Income Test.</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Certain of our investment practices may be subject to special and complex U.S. federal income tax provisions that may, among other things,</w:t>
      </w:r>
    </w:p>
    <w:p>
      <w:pPr>
        <w:spacing w:after="0" w:line="20" w:lineRule="exact"/>
        <w:rPr>
          <w:sz w:val="20"/>
          <w:szCs w:val="20"/>
          <w:color w:val="auto"/>
        </w:rPr>
      </w:pPr>
    </w:p>
    <w:p>
      <w:pPr>
        <w:ind w:left="280" w:right="339" w:hanging="7"/>
        <w:spacing w:after="0" w:line="248" w:lineRule="auto"/>
        <w:tabs>
          <w:tab w:leader="none" w:pos="46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disallow, suspend or otherwise limit the allowance of certain losses or deductions, (b) convert long-term capital gain (currently taxed at lower rates for non-corporate taxpayers) into higher taxed short-term capital gain or ordinary income, (c) convert an ordinary loss or a deduction into a capital loss (the deductibility of which is more limited), (d) adversely affect the time as to when a purchase or sale of stock or securities is deemed to occur, (e) adversely alter the characterization of certain complex financial transactions, (f) treat dividends that would otherwise constitute qualified dividend income as non- qualified dividend income, (g) cause us to recognize income or gain without receipt of a corresponding cash payment, and (h) produce income that will not be qualifying income for purposes of the 90% Income Test. We will monitor our transactions and may make certain tax elections in order to mitigate the effects of these provisions; however, no assurance can be given that we will be eligible for any such tax elections or that any elections we make will fully mitigate the effects of these provisions.</w:t>
      </w:r>
    </w:p>
    <w:p>
      <w:pPr>
        <w:spacing w:after="0" w:line="147" w:lineRule="exact"/>
        <w:rPr>
          <w:sz w:val="20"/>
          <w:szCs w:val="20"/>
          <w:color w:val="auto"/>
        </w:rPr>
      </w:pPr>
    </w:p>
    <w:p>
      <w:pPr>
        <w:ind w:left="280" w:right="739" w:firstLine="338"/>
        <w:spacing w:after="0" w:line="262" w:lineRule="auto"/>
        <w:rPr>
          <w:sz w:val="20"/>
          <w:szCs w:val="20"/>
          <w:color w:val="auto"/>
        </w:rPr>
      </w:pPr>
      <w:r>
        <w:rPr>
          <w:rFonts w:ascii="Times New Roman" w:cs="Times New Roman" w:eastAsia="Times New Roman" w:hAnsi="Times New Roman"/>
          <w:sz w:val="14"/>
          <w:szCs w:val="14"/>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36" w:lineRule="exact"/>
        <w:rPr>
          <w:sz w:val="20"/>
          <w:szCs w:val="20"/>
          <w:color w:val="auto"/>
        </w:rPr>
      </w:pPr>
    </w:p>
    <w:p>
      <w:pPr>
        <w:ind w:left="280" w:right="379" w:firstLine="338"/>
        <w:spacing w:after="0" w:line="253" w:lineRule="auto"/>
        <w:rPr>
          <w:sz w:val="20"/>
          <w:szCs w:val="20"/>
          <w:color w:val="auto"/>
        </w:rPr>
      </w:pPr>
      <w:r>
        <w:rPr>
          <w:rFonts w:ascii="Times New Roman" w:cs="Times New Roman" w:eastAsia="Times New Roman" w:hAnsi="Times New Roman"/>
          <w:sz w:val="14"/>
          <w:szCs w:val="14"/>
          <w:color w:val="auto"/>
        </w:rPr>
        <w:t>We are authorized to borrow funds and to sell assets in order to satisfy our Annual Distribution Requirement or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3" w:lineRule="exact"/>
        <w:rPr>
          <w:sz w:val="20"/>
          <w:szCs w:val="20"/>
          <w:color w:val="auto"/>
        </w:rPr>
      </w:pPr>
    </w:p>
    <w:p>
      <w:pPr>
        <w:ind w:left="280" w:right="339" w:firstLine="338"/>
        <w:spacing w:after="0" w:line="254" w:lineRule="auto"/>
        <w:rPr>
          <w:sz w:val="20"/>
          <w:szCs w:val="20"/>
          <w:color w:val="auto"/>
        </w:rPr>
      </w:pPr>
      <w:r>
        <w:rPr>
          <w:rFonts w:ascii="Times New Roman" w:cs="Times New Roman" w:eastAsia="Times New Roman" w:hAnsi="Times New Roman"/>
          <w:sz w:val="14"/>
          <w:szCs w:val="14"/>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144" w:lineRule="exact"/>
        <w:rPr>
          <w:sz w:val="20"/>
          <w:szCs w:val="20"/>
          <w:color w:val="auto"/>
        </w:rPr>
      </w:pPr>
    </w:p>
    <w:p>
      <w:pPr>
        <w:ind w:left="280" w:right="319" w:firstLine="338"/>
        <w:spacing w:after="0" w:line="251" w:lineRule="auto"/>
        <w:rPr>
          <w:sz w:val="20"/>
          <w:szCs w:val="20"/>
          <w:color w:val="auto"/>
        </w:rPr>
      </w:pPr>
      <w:r>
        <w:rPr>
          <w:rFonts w:ascii="Times New Roman" w:cs="Times New Roman" w:eastAsia="Times New Roman" w:hAnsi="Times New Roman"/>
          <w:sz w:val="14"/>
          <w:szCs w:val="14"/>
          <w:color w:val="auto"/>
        </w:rPr>
        <w:t>Our investment in non-U.S. securities may be subject to non-U.S. income, withholding and other taxes. In that case, our yield on those securities would be decreased. Stockholders will generally not be entitled to claim a U.S. foreign tax credit or deduction with respect to non-U.S. taxes paid by us. If we acquire shares in a passive foreign investment company, or “PFIC,” we may be subject to U.S. federal income tax on a portion of any “excess distribution” received on, or gain from the disposition of, such shares, even if such income is distributed as a taxable dividend by us to our stockholders. Additional charges in the nature of interest may be imposed on us in respect of deferred taxes arising from such distributions or gains. Furthermore, if we hold shares in a PFIC and elect to treat the PFIC as a qualified electing fund, or “QEF,” under the Code, in lieu of the foregoing requirements, we will be required to include in income each year a portion of the ordinary earnings and net capital gain of the QEF, even if such income is not distributed to us. Alternatively, we may elect to mark-to-market at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9019"/>
          </w:cols>
          <w:pgMar w:left="1440" w:top="259" w:right="1440" w:bottom="1440" w:gutter="0" w:footer="0" w:header="0"/>
        </w:sectPr>
      </w:pPr>
    </w:p>
    <w:bookmarkStart w:id="93" w:name="page94"/>
    <w:bookmarkEnd w:id="93"/>
    <w:p>
      <w:pPr>
        <w:ind w:left="280" w:right="29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end of each taxable year our shares in such PFIC; in this case, we will recognize as ordinary income any increase in the value of such shares, and as ordinary loss any decrease in such value to the extent it does not exceed prior increases included in income. Our ability to make either election will depend on factors beyond our control, and we are subject to restrictions that may limit the availability or benefit of these elections. Under either election, we may be required to recognize in any year income in excess of our distributions from PFICs and our proceeds from dispositions of PFIC stock during that year, and such income will nevertheless be subject to the Annual Distribution Requirement and will be taken into account for purposes of determining whether we satisfy the Excise Tax Avoidance Requirement.</w:t>
      </w:r>
    </w:p>
    <w:p>
      <w:pPr>
        <w:spacing w:after="0" w:line="143" w:lineRule="exact"/>
        <w:rPr>
          <w:sz w:val="20"/>
          <w:szCs w:val="20"/>
          <w:color w:val="auto"/>
        </w:rPr>
      </w:pPr>
    </w:p>
    <w:p>
      <w:pPr>
        <w:ind w:left="280" w:right="299" w:firstLine="338"/>
        <w:spacing w:after="0" w:line="272" w:lineRule="auto"/>
        <w:rPr>
          <w:sz w:val="20"/>
          <w:szCs w:val="20"/>
          <w:color w:val="auto"/>
        </w:rPr>
      </w:pPr>
      <w:r>
        <w:rPr>
          <w:rFonts w:ascii="Times New Roman" w:cs="Times New Roman" w:eastAsia="Times New Roman" w:hAnsi="Times New Roman"/>
          <w:sz w:val="13"/>
          <w:szCs w:val="13"/>
          <w:color w:val="auto"/>
        </w:rPr>
        <w:t>If we are deemed to own ten percent (10%) or more (by vote or value) of the stock of a non-U.S. corporation that qualifies as a “controlled foreign corporation,” or “CFC,” for U.S. federal income tax purposes, we would be required to include in income the amount of the CFC’s “Subpart F income” to which it would have been entitled had the CFC currently distributed all of its earnings. Additionally, all or any part of any gain resulting from the sale or exchange of stock of the CFC could be treated as a dividend. For this purpose, a non-U.S. corporation is generally considered a CFC if more than 50% of the corporation’s stock (by vote or value) is owned, directly or indirectly or through application of certain constructive ownership rules, by U.S. persons who each own, directly or indirectly or constructively, 10% or more (by vote or value) of the non-U.S. corporation’s voting stock, or a “U.S. Shareholder.” If we are treated as receiving a deemed inclusion of income from a CFC, we would be required to include such distribution in our investment company taxable income regardless of whether we receive any distributions from such CFC, and we would be required to include such deemed inclusion of income in determining our satisfaction of the Annual Distribution Requirement and the Excise Tax Avoidance Requirement.</w:t>
      </w:r>
    </w:p>
    <w:p>
      <w:pPr>
        <w:spacing w:after="0" w:line="134" w:lineRule="exact"/>
        <w:rPr>
          <w:sz w:val="20"/>
          <w:szCs w:val="20"/>
          <w:color w:val="auto"/>
        </w:rPr>
      </w:pPr>
    </w:p>
    <w:p>
      <w:pPr>
        <w:ind w:left="280" w:right="319" w:firstLine="338"/>
        <w:spacing w:after="0" w:line="254" w:lineRule="auto"/>
        <w:rPr>
          <w:sz w:val="20"/>
          <w:szCs w:val="20"/>
          <w:color w:val="auto"/>
        </w:rPr>
      </w:pPr>
      <w:r>
        <w:rPr>
          <w:rFonts w:ascii="Times New Roman" w:cs="Times New Roman" w:eastAsia="Times New Roman" w:hAnsi="Times New Roman"/>
          <w:sz w:val="14"/>
          <w:szCs w:val="14"/>
          <w:color w:val="auto"/>
        </w:rPr>
        <w:t>The PFIC rules would not apply to us with respect to any investment for any period during which the CFC rules were applicable to such investment. Furthermore, in determining the amount of any deemed inclusion of income from any CFC, we are required to include in gross income each taxable year our share of any “global intangible low-taxed income,” or “GILTI.” Rules relating to GILTI and CFCs are complex. As such, shareholders should consult their own tax advisors about the applicability and U.S. federal income tax consequences of the CFC rules to their investment in our shares, including the potential impact of rules governing the inclusion of Subpart F income and the related GILTI rules.</w:t>
      </w:r>
    </w:p>
    <w:p>
      <w:pPr>
        <w:spacing w:after="0" w:line="144" w:lineRule="exact"/>
        <w:rPr>
          <w:sz w:val="20"/>
          <w:szCs w:val="20"/>
          <w:color w:val="auto"/>
        </w:rPr>
      </w:pPr>
    </w:p>
    <w:p>
      <w:pPr>
        <w:ind w:left="280" w:right="359" w:firstLine="338"/>
        <w:spacing w:after="0" w:line="270" w:lineRule="auto"/>
        <w:rPr>
          <w:sz w:val="20"/>
          <w:szCs w:val="20"/>
          <w:color w:val="auto"/>
        </w:rPr>
      </w:pPr>
      <w:r>
        <w:rPr>
          <w:rFonts w:ascii="Times New Roman" w:cs="Times New Roman" w:eastAsia="Times New Roman" w:hAnsi="Times New Roman"/>
          <w:sz w:val="13"/>
          <w:szCs w:val="13"/>
          <w:color w:val="auto"/>
        </w:rPr>
        <w:t>Our functional currency is the U.S. dollar for U.S. federal income tax purposes. Under Section 988 of the Code, gains or losses attributable to fluctuations in exchange rates between the time we accrue income, expenses or other liabilities denominated in a foreign currency and the time we actually collect such income or pay such expenses or liabilities may be treated as ordinary income or loss. Similarly, gains or losses on foreign currency forward contracts, the disposition of debt denominated in a foreign currency and other financial transactions denominated in foreign currency, to the extent attributable to fluctuations in exchange rates between the acquisition and disposition dates, may also be treated as ordinary income or loss. Some of the income and fees that we recognize, may not satisfy the 90% Income Test. In order to ensure that such income and fees do not disqualify us as a RIC for a failure to satisfy the 90% Income Test, we may be required to recognize such income or fees through one or more entities treated as U.S. corporations for U.S. federal income tax purposes, such as the Taxable Subsidiary. While we expect that recognizing such income through such corporations will assist us in satisfying the 90% Income Test, no assurance can be given that this structure will be respected for U.S. federal income tax purposes, which could result in such income not being counted towards satisfying the 90% Income Test. If the amount of such income were too great and we were otherwise unable to mitigate this effect, it could result in our disqualification as a RIC. If, as we expect, the structure is respected, such corporations will be required to pay U.S. corporate income tax on their earnings, which ultimately will reduce the yield on such income and fees.</w:t>
      </w:r>
    </w:p>
    <w:p>
      <w:pPr>
        <w:spacing w:after="0" w:line="139" w:lineRule="exact"/>
        <w:rPr>
          <w:sz w:val="20"/>
          <w:szCs w:val="20"/>
          <w:color w:val="auto"/>
        </w:rPr>
      </w:pPr>
    </w:p>
    <w:p>
      <w:pPr>
        <w:jc w:val="both"/>
        <w:ind w:left="280" w:right="399" w:firstLine="338"/>
        <w:spacing w:after="0" w:line="262" w:lineRule="auto"/>
        <w:rPr>
          <w:sz w:val="20"/>
          <w:szCs w:val="20"/>
          <w:color w:val="auto"/>
        </w:rPr>
      </w:pPr>
      <w:r>
        <w:rPr>
          <w:rFonts w:ascii="Times New Roman" w:cs="Times New Roman" w:eastAsia="Times New Roman" w:hAnsi="Times New Roman"/>
          <w:sz w:val="14"/>
          <w:szCs w:val="14"/>
          <w:color w:val="auto"/>
        </w:rPr>
        <w:t>We are limited in our ability to deduct expenses in excess of our investment company taxable income. If our expenses in a given year exceed our investment company taxable income, we will have a net operating loss for that year. However, we are not permitted to carry forward our net operating losses to subsequent years, so these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9019"/>
          </w:cols>
          <w:pgMar w:left="1440" w:top="259" w:right="1440" w:bottom="1440" w:gutter="0" w:footer="0" w:header="0"/>
        </w:sectPr>
      </w:pPr>
    </w:p>
    <w:bookmarkStart w:id="94" w:name="page95"/>
    <w:bookmarkEnd w:id="94"/>
    <w:p>
      <w:pPr>
        <w:ind w:left="280" w:right="3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202805" cy="45720"/>
                    </a:xfrm>
                    <a:prstGeom prst="rect">
                      <a:avLst/>
                    </a:prstGeom>
                    <a:noFill/>
                  </pic:spPr>
                </pic:pic>
              </a:graphicData>
            </a:graphic>
          </wp:anchor>
        </w:drawing>
        <w:t>net operating losses generally will not pass through to our stockholders. In addition, expenses can be used only to offset investment company taxable income, and may not be used to offset net capital gain. As a RIC, we may not use any net capital losses (that is, realized capital losses in excess of realized capital gains) to offset our investment company taxable income, but may carry forward those losses, and use them to offset future capital gains, indefinitely. Further, our deduction of net business interest expense is generally limited to 30% of our “adjusted taxable income” plus “floor plan financing interest expense.”</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Failure to Qualify as a RIC</w:t>
      </w:r>
    </w:p>
    <w:p>
      <w:pPr>
        <w:spacing w:after="0" w:line="90" w:lineRule="exact"/>
        <w:rPr>
          <w:sz w:val="20"/>
          <w:szCs w:val="20"/>
          <w:color w:val="auto"/>
        </w:rPr>
      </w:pPr>
    </w:p>
    <w:p>
      <w:pPr>
        <w:ind w:left="280" w:right="359" w:firstLine="338"/>
        <w:spacing w:after="0" w:line="254" w:lineRule="auto"/>
        <w:rPr>
          <w:sz w:val="20"/>
          <w:szCs w:val="20"/>
          <w:color w:val="auto"/>
        </w:rPr>
      </w:pPr>
      <w:r>
        <w:rPr>
          <w:rFonts w:ascii="Times New Roman" w:cs="Times New Roman" w:eastAsia="Times New Roman" w:hAnsi="Times New Roman"/>
          <w:sz w:val="14"/>
          <w:szCs w:val="14"/>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44" w:lineRule="exact"/>
        <w:rPr>
          <w:sz w:val="20"/>
          <w:szCs w:val="20"/>
          <w:color w:val="auto"/>
        </w:rPr>
      </w:pPr>
    </w:p>
    <w:p>
      <w:pPr>
        <w:ind w:left="280" w:right="319" w:firstLine="338"/>
        <w:spacing w:after="0" w:line="249" w:lineRule="auto"/>
        <w:rPr>
          <w:sz w:val="20"/>
          <w:szCs w:val="20"/>
          <w:color w:val="auto"/>
        </w:rPr>
      </w:pPr>
      <w:r>
        <w:rPr>
          <w:rFonts w:ascii="Times New Roman" w:cs="Times New Roman" w:eastAsia="Times New Roman" w:hAnsi="Times New Roman"/>
          <w:sz w:val="14"/>
          <w:szCs w:val="14"/>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remainder of this discussion assumes that we qualify as a RIC and have satisfied the Annual Distribution Requirement.</w:t>
      </w:r>
    </w:p>
    <w:p>
      <w:pPr>
        <w:spacing w:after="0" w:line="2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Taxation of U.S. Stockholders</w:t>
      </w:r>
    </w:p>
    <w:p>
      <w:pPr>
        <w:spacing w:after="0" w:line="90" w:lineRule="exact"/>
        <w:rPr>
          <w:sz w:val="20"/>
          <w:szCs w:val="20"/>
          <w:color w:val="auto"/>
        </w:rPr>
      </w:pPr>
    </w:p>
    <w:p>
      <w:pPr>
        <w:ind w:left="280" w:right="419" w:firstLine="338"/>
        <w:spacing w:after="0" w:line="251" w:lineRule="auto"/>
        <w:rPr>
          <w:sz w:val="20"/>
          <w:szCs w:val="20"/>
          <w:color w:val="auto"/>
        </w:rPr>
      </w:pPr>
      <w:r>
        <w:rPr>
          <w:rFonts w:ascii="Times New Roman" w:cs="Times New Roman" w:eastAsia="Times New Roman" w:hAnsi="Times New Roman"/>
          <w:sz w:val="14"/>
          <w:szCs w:val="14"/>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We have the ability to declare and pay a large portion of any distribution qualifying as a dividend for U.S. federal income tax purposes in shares of our stock. The IRS has published guidance for publicly offered RICs stating that as long as at least 20% of the dividends are paid in cash and if certain other requirements are met, stockholders will be subject to tax on 100% of such dividends in the same manner as a cash dividend, even though most of the dividends were paid in shares of common stock.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9019"/>
          </w:cols>
          <w:pgMar w:left="1440" w:top="259" w:right="1440" w:bottom="1440" w:gutter="0" w:footer="0" w:header="0"/>
        </w:sectPr>
      </w:pPr>
    </w:p>
    <w:bookmarkStart w:id="95" w:name="page96"/>
    <w:bookmarkEnd w:id="95"/>
    <w:p>
      <w:pPr>
        <w:ind w:left="280" w:right="339" w:firstLine="338"/>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To the extent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However, it is anticipated that distributions paid by us generally will not be attributable to dividends and, therefore, generally will not qualify for the preferential rates applicable to qualified dividends or the dividends received deduction available to corporations under the Code. A corporate U.S. stockholder may be required to reduce its basis in our common stock with respect to certain “extraordinary dividends,” as defined in Section 1059 of the Code. Corporate U.S. stockholders should consult their own tax advisors in determining the application of these rules in their particular circumstances.</w:t>
      </w:r>
    </w:p>
    <w:p>
      <w:pPr>
        <w:spacing w:after="0" w:line="144" w:lineRule="exact"/>
        <w:rPr>
          <w:sz w:val="20"/>
          <w:szCs w:val="20"/>
          <w:color w:val="auto"/>
        </w:rPr>
      </w:pPr>
    </w:p>
    <w:p>
      <w:pPr>
        <w:ind w:left="280" w:right="319" w:firstLine="338"/>
        <w:spacing w:after="0" w:line="254" w:lineRule="auto"/>
        <w:rPr>
          <w:sz w:val="20"/>
          <w:szCs w:val="20"/>
          <w:color w:val="auto"/>
        </w:rPr>
      </w:pPr>
      <w:r>
        <w:rPr>
          <w:rFonts w:ascii="Times New Roman" w:cs="Times New Roman" w:eastAsia="Times New Roman" w:hAnsi="Times New Roman"/>
          <w:sz w:val="14"/>
          <w:szCs w:val="14"/>
          <w:color w:val="auto"/>
        </w:rPr>
        <w:t>Distributions of our net capital gains (which is generally our realized net long-term capital gains in excess of realized net short- 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44" w:lineRule="exact"/>
        <w:rPr>
          <w:sz w:val="20"/>
          <w:szCs w:val="20"/>
          <w:color w:val="auto"/>
        </w:rPr>
      </w:pPr>
    </w:p>
    <w:p>
      <w:pPr>
        <w:ind w:left="280" w:right="359" w:firstLine="338"/>
        <w:spacing w:after="0" w:line="277" w:lineRule="auto"/>
        <w:rPr>
          <w:sz w:val="20"/>
          <w:szCs w:val="20"/>
          <w:color w:val="auto"/>
        </w:rPr>
      </w:pPr>
      <w:r>
        <w:rPr>
          <w:rFonts w:ascii="Times New Roman" w:cs="Times New Roman" w:eastAsia="Times New Roman" w:hAnsi="Times New Roman"/>
          <w:sz w:val="14"/>
          <w:szCs w:val="14"/>
          <w:color w:val="auto"/>
        </w:rPr>
        <w:t>Distributions out of our current and accumulated earnings and profits will not be eligible for the 20% pass through deduction under Section 199A of the Code.</w:t>
      </w:r>
    </w:p>
    <w:p>
      <w:pPr>
        <w:spacing w:after="0" w:line="126" w:lineRule="exact"/>
        <w:rPr>
          <w:sz w:val="20"/>
          <w:szCs w:val="20"/>
          <w:color w:val="auto"/>
        </w:rPr>
      </w:pPr>
    </w:p>
    <w:p>
      <w:pPr>
        <w:ind w:left="280" w:right="319" w:firstLine="338"/>
        <w:spacing w:after="0" w:line="253" w:lineRule="auto"/>
        <w:rPr>
          <w:sz w:val="20"/>
          <w:szCs w:val="20"/>
          <w:color w:val="auto"/>
        </w:rPr>
      </w:pPr>
      <w:r>
        <w:rPr>
          <w:rFonts w:ascii="Times New Roman" w:cs="Times New Roman" w:eastAsia="Times New Roman" w:hAnsi="Times New Roman"/>
          <w:sz w:val="14"/>
          <w:szCs w:val="14"/>
          <w:color w:val="auto"/>
        </w:rPr>
        <w:t>Certain distributions reported by us as Section 163(j) interest dividends may be treated as interest income by U.S. stockholders for purposes of the tax rules applicable to interest expense limitations under Section 163(j) of the Code. Such treatment by U.S. stockholders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spacing w:after="0" w:line="143" w:lineRule="exact"/>
        <w:rPr>
          <w:sz w:val="20"/>
          <w:szCs w:val="20"/>
          <w:color w:val="auto"/>
        </w:rPr>
      </w:pPr>
    </w:p>
    <w:p>
      <w:pPr>
        <w:ind w:left="280" w:right="339" w:firstLine="338"/>
        <w:spacing w:after="0" w:line="249" w:lineRule="auto"/>
        <w:rPr>
          <w:sz w:val="20"/>
          <w:szCs w:val="20"/>
          <w:color w:val="auto"/>
        </w:rPr>
      </w:pPr>
      <w:r>
        <w:rPr>
          <w:rFonts w:ascii="Times New Roman" w:cs="Times New Roman" w:eastAsia="Times New Roman" w:hAnsi="Times New Roman"/>
          <w:sz w:val="14"/>
          <w:szCs w:val="14"/>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51" w:lineRule="exact"/>
        <w:rPr>
          <w:sz w:val="20"/>
          <w:szCs w:val="20"/>
          <w:color w:val="auto"/>
        </w:rPr>
      </w:pPr>
    </w:p>
    <w:p>
      <w:pPr>
        <w:ind w:left="280" w:right="319" w:firstLine="338"/>
        <w:spacing w:after="0" w:line="262" w:lineRule="auto"/>
        <w:rPr>
          <w:sz w:val="20"/>
          <w:szCs w:val="20"/>
          <w:color w:val="auto"/>
        </w:rPr>
      </w:pPr>
      <w:r>
        <w:rPr>
          <w:rFonts w:ascii="Times New Roman" w:cs="Times New Roman" w:eastAsia="Times New Roman" w:hAnsi="Times New Roman"/>
          <w:sz w:val="14"/>
          <w:szCs w:val="14"/>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9019"/>
          </w:cols>
          <w:pgMar w:left="1440" w:top="259" w:right="1440" w:bottom="1440" w:gutter="0" w:footer="0" w:header="0"/>
        </w:sectPr>
      </w:pPr>
    </w:p>
    <w:bookmarkStart w:id="96" w:name="page97"/>
    <w:bookmarkEnd w:id="96"/>
    <w:p>
      <w:pPr>
        <w:ind w:left="280" w:right="37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202805" cy="45720"/>
                    </a:xfrm>
                    <a:prstGeom prst="rect">
                      <a:avLst/>
                    </a:prstGeom>
                    <a:noFill/>
                  </pic:spPr>
                </pic:pic>
              </a:graphicData>
            </a:graphic>
          </wp:anchor>
        </w:drawing>
        <w:t>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40" w:lineRule="exact"/>
        <w:rPr>
          <w:sz w:val="20"/>
          <w:szCs w:val="20"/>
          <w:color w:val="auto"/>
        </w:rPr>
      </w:pPr>
    </w:p>
    <w:p>
      <w:pPr>
        <w:jc w:val="both"/>
        <w:ind w:left="280" w:right="359" w:firstLine="338"/>
        <w:spacing w:after="0" w:line="317" w:lineRule="auto"/>
        <w:rPr>
          <w:sz w:val="20"/>
          <w:szCs w:val="20"/>
          <w:color w:val="auto"/>
        </w:rPr>
      </w:pPr>
      <w:r>
        <w:rPr>
          <w:rFonts w:ascii="Times New Roman" w:cs="Times New Roman" w:eastAsia="Times New Roman" w:hAnsi="Times New Roman"/>
          <w:sz w:val="13"/>
          <w:szCs w:val="13"/>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03" w:lineRule="exact"/>
        <w:rPr>
          <w:sz w:val="20"/>
          <w:szCs w:val="20"/>
          <w:color w:val="auto"/>
        </w:rPr>
      </w:pPr>
    </w:p>
    <w:p>
      <w:pPr>
        <w:ind w:left="280" w:right="299" w:firstLine="338"/>
        <w:spacing w:after="0" w:line="257" w:lineRule="auto"/>
        <w:rPr>
          <w:sz w:val="20"/>
          <w:szCs w:val="20"/>
          <w:color w:val="auto"/>
        </w:rPr>
      </w:pPr>
      <w:r>
        <w:rPr>
          <w:rFonts w:ascii="Times New Roman" w:cs="Times New Roman" w:eastAsia="Times New Roman" w:hAnsi="Times New Roman"/>
          <w:sz w:val="14"/>
          <w:szCs w:val="14"/>
          <w:color w:val="auto"/>
        </w:rPr>
        <w:t>The IRS currently requires that a RIC that has two or more classes of stock allocate to each such class proportionate amounts of each type of its income (such as ordinary income and capital gains) based upon the percentage of total dividends paid to each class for the tax year. Accordingly, if we issue preferred stock, we intend each year to allocate capital gain dividends, if any, between our shares of common stock and shares of preferred stock in proportion to the total dividends paid to each class with respect to such tax year.</w:t>
      </w:r>
    </w:p>
    <w:p>
      <w:pPr>
        <w:spacing w:after="0" w:line="140" w:lineRule="exact"/>
        <w:rPr>
          <w:sz w:val="20"/>
          <w:szCs w:val="20"/>
          <w:color w:val="auto"/>
        </w:rPr>
      </w:pPr>
    </w:p>
    <w:p>
      <w:pPr>
        <w:ind w:left="280" w:right="319" w:firstLine="338"/>
        <w:spacing w:after="0" w:line="252" w:lineRule="auto"/>
        <w:rPr>
          <w:sz w:val="20"/>
          <w:szCs w:val="20"/>
          <w:color w:val="auto"/>
        </w:rPr>
      </w:pPr>
      <w:r>
        <w:rPr>
          <w:rFonts w:ascii="Times New Roman" w:cs="Times New Roman" w:eastAsia="Times New Roman" w:hAnsi="Times New Roman"/>
          <w:sz w:val="14"/>
          <w:szCs w:val="14"/>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4" w:lineRule="exact"/>
        <w:rPr>
          <w:sz w:val="20"/>
          <w:szCs w:val="20"/>
          <w:color w:val="auto"/>
        </w:rPr>
      </w:pPr>
    </w:p>
    <w:p>
      <w:pPr>
        <w:ind w:left="280" w:right="299" w:firstLine="338"/>
        <w:spacing w:after="0" w:line="251" w:lineRule="auto"/>
        <w:rPr>
          <w:sz w:val="20"/>
          <w:szCs w:val="20"/>
          <w:color w:val="auto"/>
        </w:rPr>
      </w:pPr>
      <w:r>
        <w:rPr>
          <w:rFonts w:ascii="Times New Roman" w:cs="Times New Roman" w:eastAsia="Times New Roman" w:hAnsi="Times New Roman"/>
          <w:sz w:val="14"/>
          <w:szCs w:val="14"/>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taxable years or carry forward such losses for five taxable years.</w:t>
      </w:r>
    </w:p>
    <w:p>
      <w:pPr>
        <w:spacing w:after="0" w:line="144" w:lineRule="exact"/>
        <w:rPr>
          <w:sz w:val="20"/>
          <w:szCs w:val="20"/>
          <w:color w:val="auto"/>
        </w:rPr>
      </w:pPr>
    </w:p>
    <w:p>
      <w:pPr>
        <w:ind w:left="280" w:right="299" w:firstLine="338"/>
        <w:spacing w:after="0" w:line="257" w:lineRule="auto"/>
        <w:rPr>
          <w:sz w:val="20"/>
          <w:szCs w:val="20"/>
          <w:color w:val="auto"/>
        </w:rPr>
      </w:pPr>
      <w:r>
        <w:rPr>
          <w:rFonts w:ascii="Times New Roman" w:cs="Times New Roman" w:eastAsia="Times New Roman" w:hAnsi="Times New Roman"/>
          <w:sz w:val="14"/>
          <w:szCs w:val="14"/>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40" w:lineRule="exact"/>
        <w:rPr>
          <w:sz w:val="20"/>
          <w:szCs w:val="20"/>
          <w:color w:val="auto"/>
        </w:rPr>
      </w:pPr>
    </w:p>
    <w:p>
      <w:pPr>
        <w:ind w:left="280" w:right="299" w:firstLine="338"/>
        <w:spacing w:after="0" w:line="254" w:lineRule="auto"/>
        <w:rPr>
          <w:sz w:val="20"/>
          <w:szCs w:val="20"/>
          <w:color w:val="auto"/>
        </w:rPr>
      </w:pPr>
      <w:r>
        <w:rPr>
          <w:rFonts w:ascii="Times New Roman" w:cs="Times New Roman" w:eastAsia="Times New Roman" w:hAnsi="Times New Roman"/>
          <w:sz w:val="14"/>
          <w:szCs w:val="14"/>
          <w:color w:val="auto"/>
        </w:rPr>
        <w:t>Under U.S. Treasury regulations, if a U.S. Stockholder recognizes a loss with respect to either our preferred stock or common stock of $2 million or more for a non-corporate U.S. Stockholder or $10 million or more for a corporate U.S. stockholder in any single taxable year, such stockholder must file with the IRS a disclosure statement on an IRS Form 8886. Direct U.S. Stockholders of certain “portfolio securities” in many cases are excepted from this reporting requirement, but under current guidance, equity owners of a RIC are not excepted. The fact that a loss is reportable under these U.S. Treasury regulations does not affect the legal determination of</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9019"/>
          </w:cols>
          <w:pgMar w:left="1440" w:top="259" w:right="1440" w:bottom="1440" w:gutter="0" w:footer="0" w:header="0"/>
        </w:sectPr>
      </w:pPr>
    </w:p>
    <w:bookmarkStart w:id="97" w:name="page98"/>
    <w:bookmarkEnd w:id="97"/>
    <w:p>
      <w:pPr>
        <w:ind w:left="280" w:right="33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202805" cy="45720"/>
                    </a:xfrm>
                    <a:prstGeom prst="rect">
                      <a:avLst/>
                    </a:prstGeom>
                    <a:noFill/>
                  </pic:spPr>
                </pic:pic>
              </a:graphicData>
            </a:graphic>
          </wp:anchor>
        </w:drawing>
        <w:t>whether the taxpayer’s treatment of the loss is proper. Significant monetary penalties apply to a failure to comply with this reporting requirement. States may also have a similar reporting requirement. U.S. Stockholders should consult their own tax advisors to determine the applicability of these regulations in light of their individual circumstances.</w:t>
      </w:r>
    </w:p>
    <w:p>
      <w:pPr>
        <w:spacing w:after="0" w:line="136" w:lineRule="exact"/>
        <w:rPr>
          <w:sz w:val="20"/>
          <w:szCs w:val="20"/>
          <w:color w:val="auto"/>
        </w:rPr>
      </w:pPr>
    </w:p>
    <w:p>
      <w:pPr>
        <w:ind w:left="280" w:right="339" w:firstLine="338"/>
        <w:spacing w:after="0" w:line="254" w:lineRule="auto"/>
        <w:rPr>
          <w:sz w:val="20"/>
          <w:szCs w:val="20"/>
          <w:color w:val="auto"/>
        </w:rPr>
      </w:pPr>
      <w:r>
        <w:rPr>
          <w:rFonts w:ascii="Times New Roman" w:cs="Times New Roman" w:eastAsia="Times New Roman" w:hAnsi="Times New Roman"/>
          <w:sz w:val="14"/>
          <w:szCs w:val="14"/>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44" w:lineRule="exact"/>
        <w:rPr>
          <w:sz w:val="20"/>
          <w:szCs w:val="20"/>
          <w:color w:val="auto"/>
        </w:rPr>
      </w:pPr>
    </w:p>
    <w:p>
      <w:pPr>
        <w:jc w:val="both"/>
        <w:ind w:left="280" w:right="639" w:firstLine="338"/>
        <w:spacing w:after="0" w:line="262" w:lineRule="auto"/>
        <w:rPr>
          <w:sz w:val="20"/>
          <w:szCs w:val="20"/>
          <w:color w:val="auto"/>
        </w:rPr>
      </w:pPr>
      <w:r>
        <w:rPr>
          <w:rFonts w:ascii="Times New Roman" w:cs="Times New Roman" w:eastAsia="Times New Roman" w:hAnsi="Times New Roman"/>
          <w:sz w:val="14"/>
          <w:szCs w:val="14"/>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36" w:lineRule="exact"/>
        <w:rPr>
          <w:sz w:val="20"/>
          <w:szCs w:val="20"/>
          <w:color w:val="auto"/>
        </w:rPr>
      </w:pPr>
    </w:p>
    <w:p>
      <w:pPr>
        <w:ind w:left="280" w:right="339" w:firstLine="338"/>
        <w:spacing w:after="0" w:line="274" w:lineRule="auto"/>
        <w:rPr>
          <w:sz w:val="20"/>
          <w:szCs w:val="20"/>
          <w:color w:val="auto"/>
        </w:rPr>
      </w:pPr>
      <w:r>
        <w:rPr>
          <w:rFonts w:ascii="Times New Roman" w:cs="Times New Roman" w:eastAsia="Times New Roman" w:hAnsi="Times New Roman"/>
          <w:sz w:val="13"/>
          <w:szCs w:val="13"/>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Taxation of Tax-Exempt U.S. Stockholders</w:t>
      </w:r>
    </w:p>
    <w:p>
      <w:pPr>
        <w:spacing w:after="0" w:line="90" w:lineRule="exact"/>
        <w:rPr>
          <w:sz w:val="20"/>
          <w:szCs w:val="20"/>
          <w:color w:val="auto"/>
        </w:rPr>
      </w:pPr>
    </w:p>
    <w:p>
      <w:pPr>
        <w:ind w:left="280" w:right="339" w:firstLine="338"/>
        <w:spacing w:after="0" w:line="270" w:lineRule="auto"/>
        <w:rPr>
          <w:sz w:val="20"/>
          <w:szCs w:val="20"/>
          <w:color w:val="auto"/>
        </w:rPr>
      </w:pPr>
      <w:r>
        <w:rPr>
          <w:rFonts w:ascii="Times New Roman" w:cs="Times New Roman" w:eastAsia="Times New Roman" w:hAnsi="Times New Roman"/>
          <w:sz w:val="13"/>
          <w:szCs w:val="13"/>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that we propose to conduct could give rise to UBTI. However, a RIC is a corporation for U.S. federal income tax purposes and its business activities generally will not be attributed to its shareholders for purposes of determining their treatment under current law. Therefore, a tax-exempt U.S. stockholder should not be subject to U.S. federal income taxation solely as a result of such stockholder’s direct or indirect ownership of our shares and receipt of distributions with respect to such shares (regardless of whether we incur indebtedness). Moreover, under current law, if we incur indebtedness, such indebtedness will not be attributed to a tax-exempt U.S. stockholder. Therefore, a tax-exempt U.S. stockholder should not be treated as earning income from “debt-financed property” and distributions we pay should not be treated as “unrelated debt-financed income” solely as a result of indebtedness that it incurs. Certain tax-exempt private universities are subject to an additional 1.4% excise tax on their “net investment income,” including income from interest, dividends, and capital gains. Proposals periodically are made to change the treatment of “blocker” investment vehicles interposed between tax-exempt investors and non-qualifying investments. In the event that any such proposals were to be adopted and applied to RICs, the treatment of dividends payable to tax-exempt investors could be adversely affected. In addition, special rules would apply if we were to invest in certain real estate mortgage investment conduits or taxable mortgage pools, which we do not currently plan to do, that could result in a tax-exempt U.S. stockholder recognizing income that would be treated as UBTI.</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9019"/>
          </w:cols>
          <w:pgMar w:left="1440" w:top="260" w:right="1440" w:bottom="1440" w:gutter="0" w:footer="0" w:header="0"/>
        </w:sectPr>
      </w:pPr>
    </w:p>
    <w:bookmarkStart w:id="98" w:name="page99"/>
    <w:bookmarkEnd w:id="98"/>
    <w:p>
      <w:pPr>
        <w:ind w:left="2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202805" cy="45720"/>
                    </a:xfrm>
                    <a:prstGeom prst="rect">
                      <a:avLst/>
                    </a:prstGeom>
                    <a:noFill/>
                  </pic:spPr>
                </pic:pic>
              </a:graphicData>
            </a:graphic>
          </wp:anchor>
        </w:drawing>
        <w:t>Taxation of Non-U.S. Stockholders</w:t>
      </w:r>
    </w:p>
    <w:p>
      <w:pPr>
        <w:spacing w:after="0" w:line="90" w:lineRule="exact"/>
        <w:rPr>
          <w:sz w:val="20"/>
          <w:szCs w:val="20"/>
          <w:color w:val="auto"/>
        </w:rPr>
      </w:pPr>
    </w:p>
    <w:p>
      <w:pPr>
        <w:ind w:left="280" w:right="339" w:firstLine="338"/>
        <w:spacing w:after="0" w:line="262" w:lineRule="auto"/>
        <w:rPr>
          <w:sz w:val="20"/>
          <w:szCs w:val="20"/>
          <w:color w:val="auto"/>
        </w:rPr>
      </w:pPr>
      <w:r>
        <w:rPr>
          <w:rFonts w:ascii="Times New Roman" w:cs="Times New Roman" w:eastAsia="Times New Roman" w:hAnsi="Times New Roman"/>
          <w:sz w:val="14"/>
          <w:szCs w:val="14"/>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36" w:lineRule="exact"/>
        <w:rPr>
          <w:sz w:val="20"/>
          <w:szCs w:val="20"/>
          <w:color w:val="auto"/>
        </w:rPr>
      </w:pPr>
    </w:p>
    <w:p>
      <w:pPr>
        <w:ind w:left="280" w:right="379" w:firstLine="338"/>
        <w:spacing w:after="0" w:line="251" w:lineRule="auto"/>
        <w:rPr>
          <w:sz w:val="20"/>
          <w:szCs w:val="20"/>
          <w:color w:val="auto"/>
        </w:rPr>
      </w:pPr>
      <w:r>
        <w:rPr>
          <w:rFonts w:ascii="Times New Roman" w:cs="Times New Roman" w:eastAsia="Times New Roman" w:hAnsi="Times New Roman"/>
          <w:sz w:val="14"/>
          <w:szCs w:val="14"/>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46" w:lineRule="exact"/>
        <w:rPr>
          <w:sz w:val="20"/>
          <w:szCs w:val="20"/>
          <w:color w:val="auto"/>
        </w:rPr>
      </w:pPr>
    </w:p>
    <w:p>
      <w:pPr>
        <w:ind w:left="280" w:right="319" w:firstLine="338"/>
        <w:spacing w:after="0" w:line="252" w:lineRule="auto"/>
        <w:rPr>
          <w:sz w:val="20"/>
          <w:szCs w:val="20"/>
          <w:color w:val="auto"/>
        </w:rPr>
      </w:pPr>
      <w:r>
        <w:rPr>
          <w:rFonts w:ascii="Times New Roman" w:cs="Times New Roman" w:eastAsia="Times New Roman" w:hAnsi="Times New Roman"/>
          <w:sz w:val="14"/>
          <w:szCs w:val="14"/>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44" w:lineRule="exact"/>
        <w:rPr>
          <w:sz w:val="20"/>
          <w:szCs w:val="20"/>
          <w:color w:val="auto"/>
        </w:rPr>
      </w:pPr>
    </w:p>
    <w:p>
      <w:pPr>
        <w:ind w:left="280" w:right="339" w:firstLine="338"/>
        <w:spacing w:after="0" w:line="253" w:lineRule="auto"/>
        <w:rPr>
          <w:sz w:val="20"/>
          <w:szCs w:val="20"/>
          <w:color w:val="auto"/>
        </w:rPr>
      </w:pPr>
      <w:r>
        <w:rPr>
          <w:rFonts w:ascii="Times New Roman" w:cs="Times New Roman" w:eastAsia="Times New Roman" w:hAnsi="Times New Roman"/>
          <w:sz w:val="14"/>
          <w:szCs w:val="14"/>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43" w:lineRule="exact"/>
        <w:rPr>
          <w:sz w:val="20"/>
          <w:szCs w:val="20"/>
          <w:color w:val="auto"/>
        </w:rPr>
      </w:pPr>
    </w:p>
    <w:p>
      <w:pPr>
        <w:ind w:left="280" w:right="339" w:firstLine="338"/>
        <w:spacing w:after="0" w:line="253" w:lineRule="auto"/>
        <w:rPr>
          <w:sz w:val="20"/>
          <w:szCs w:val="20"/>
          <w:color w:val="auto"/>
        </w:rPr>
      </w:pPr>
      <w:r>
        <w:rPr>
          <w:rFonts w:ascii="Times New Roman" w:cs="Times New Roman" w:eastAsia="Times New Roman" w:hAnsi="Times New Roman"/>
          <w:sz w:val="14"/>
          <w:szCs w:val="14"/>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43" w:lineRule="exact"/>
        <w:rPr>
          <w:sz w:val="20"/>
          <w:szCs w:val="20"/>
          <w:color w:val="auto"/>
        </w:rPr>
      </w:pPr>
    </w:p>
    <w:p>
      <w:pPr>
        <w:ind w:left="280" w:right="479" w:firstLine="338"/>
        <w:spacing w:after="0" w:line="253" w:lineRule="auto"/>
        <w:rPr>
          <w:sz w:val="20"/>
          <w:szCs w:val="20"/>
          <w:color w:val="auto"/>
        </w:rPr>
      </w:pPr>
      <w:r>
        <w:rPr>
          <w:rFonts w:ascii="Times New Roman" w:cs="Times New Roman" w:eastAsia="Times New Roman" w:hAnsi="Times New Roman"/>
          <w:sz w:val="14"/>
          <w:szCs w:val="14"/>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9019"/>
          </w:cols>
          <w:pgMar w:left="1440" w:top="258" w:right="1440" w:bottom="1440" w:gutter="0" w:footer="0" w:header="0"/>
        </w:sectPr>
      </w:pPr>
    </w:p>
    <w:bookmarkStart w:id="99" w:name="page100"/>
    <w:bookmarkEnd w:id="99"/>
    <w:p>
      <w:pPr>
        <w:jc w:val="both"/>
        <w:ind w:left="280" w:right="37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202805" cy="45720"/>
                    </a:xfrm>
                    <a:prstGeom prst="rect">
                      <a:avLst/>
                    </a:prstGeom>
                    <a:noFill/>
                  </pic:spPr>
                </pic:pic>
              </a:graphicData>
            </a:graphic>
          </wp:anchor>
        </w:drawing>
        <w:t>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36" w:lineRule="exact"/>
        <w:rPr>
          <w:sz w:val="20"/>
          <w:szCs w:val="20"/>
          <w:color w:val="auto"/>
        </w:rPr>
      </w:pPr>
    </w:p>
    <w:p>
      <w:pPr>
        <w:ind w:left="280" w:right="299" w:firstLine="338"/>
        <w:spacing w:after="0" w:line="276" w:lineRule="auto"/>
        <w:rPr>
          <w:sz w:val="20"/>
          <w:szCs w:val="20"/>
          <w:color w:val="auto"/>
        </w:rPr>
      </w:pPr>
      <w:r>
        <w:rPr>
          <w:rFonts w:ascii="Times New Roman" w:cs="Times New Roman" w:eastAsia="Times New Roman" w:hAnsi="Times New Roman"/>
          <w:sz w:val="13"/>
          <w:szCs w:val="13"/>
          <w:color w:val="auto"/>
        </w:rPr>
        <w:t>We have the ability to declare and pay a large portion of any distribution qualifying as a dividend for U.S. federal income tax purposes in shares of our stock. Generally, were we to declare such a distribution, each Non-U.S. stockholder generally would be treated as having received a taxable distribution (including for purposes of the application of the withholding tax rules discussed above) on the date the distribution is received in an amount equal to the cash that such Non-U.S. stockholder would have received if the entire distribution had been paid in cash, even if such Non-U.S. stockholder received all or most of the distribution in shares of our stock. In such a circumstance, all or substantially all of the cash that would otherwise be distributed to a Non-U.S. stockholder may be withheld or shares of our stock may be withheld and sold to fund the applicable withholding.</w:t>
      </w:r>
    </w:p>
    <w:p>
      <w:pPr>
        <w:spacing w:after="0" w:line="130" w:lineRule="exact"/>
        <w:rPr>
          <w:sz w:val="20"/>
          <w:szCs w:val="20"/>
          <w:color w:val="auto"/>
        </w:rPr>
      </w:pPr>
    </w:p>
    <w:p>
      <w:pPr>
        <w:ind w:left="280" w:right="319" w:firstLine="338"/>
        <w:spacing w:after="0" w:line="257" w:lineRule="auto"/>
        <w:rPr>
          <w:sz w:val="20"/>
          <w:szCs w:val="20"/>
          <w:color w:val="auto"/>
        </w:rPr>
      </w:pPr>
      <w:r>
        <w:rPr>
          <w:rFonts w:ascii="Times New Roman" w:cs="Times New Roman" w:eastAsia="Times New Roman" w:hAnsi="Times New Roman"/>
          <w:sz w:val="14"/>
          <w:szCs w:val="14"/>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Non-U.S. stockholders may also be subject to U.S. estate tax with respect to their investment in our common shares.</w:t>
      </w:r>
    </w:p>
    <w:p>
      <w:pPr>
        <w:spacing w:after="0" w:line="171" w:lineRule="exact"/>
        <w:rPr>
          <w:sz w:val="20"/>
          <w:szCs w:val="20"/>
          <w:color w:val="auto"/>
        </w:rPr>
      </w:pPr>
    </w:p>
    <w:p>
      <w:pPr>
        <w:ind w:left="280" w:right="659" w:firstLine="338"/>
        <w:spacing w:after="0" w:line="277" w:lineRule="auto"/>
        <w:rPr>
          <w:sz w:val="20"/>
          <w:szCs w:val="20"/>
          <w:color w:val="auto"/>
        </w:rPr>
      </w:pPr>
      <w:r>
        <w:rPr>
          <w:rFonts w:ascii="Times New Roman" w:cs="Times New Roman" w:eastAsia="Times New Roman" w:hAnsi="Times New Roman"/>
          <w:sz w:val="14"/>
          <w:szCs w:val="14"/>
          <w:color w:val="auto"/>
        </w:rPr>
        <w:t>Non-U.S. persons should consult their own tax advisors with respect to the U.S. federal income tax and withholding tax, and state, local and foreign tax consequences of an investment in the shares.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9019"/>
          </w:cols>
          <w:pgMar w:left="1440" w:top="259" w:right="1440"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202805" cy="45720"/>
                    </a:xfrm>
                    <a:prstGeom prst="rect">
                      <a:avLst/>
                    </a:prstGeom>
                    <a:noFill/>
                  </pic:spPr>
                </pic:pic>
              </a:graphicData>
            </a:graphic>
          </wp:anchor>
        </w:drawing>
        <w:t>PLAN OF DISTRIBUTION</w:t>
      </w:r>
    </w:p>
    <w:p>
      <w:pPr>
        <w:spacing w:after="0" w:line="173" w:lineRule="exact"/>
        <w:rPr>
          <w:sz w:val="20"/>
          <w:szCs w:val="20"/>
          <w:color w:val="auto"/>
        </w:rPr>
      </w:pPr>
    </w:p>
    <w:p>
      <w:pPr>
        <w:ind w:left="280" w:right="499" w:firstLine="338"/>
        <w:spacing w:after="0" w:line="257" w:lineRule="auto"/>
        <w:rPr>
          <w:sz w:val="20"/>
          <w:szCs w:val="20"/>
          <w:color w:val="auto"/>
        </w:rPr>
      </w:pPr>
      <w:r>
        <w:rPr>
          <w:rFonts w:ascii="Times New Roman" w:cs="Times New Roman" w:eastAsia="Times New Roman" w:hAnsi="Times New Roman"/>
          <w:sz w:val="14"/>
          <w:szCs w:val="14"/>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67" w:lineRule="exact"/>
        <w:rPr>
          <w:sz w:val="20"/>
          <w:szCs w:val="20"/>
          <w:color w:val="auto"/>
        </w:rPr>
      </w:pPr>
    </w:p>
    <w:p>
      <w:pPr>
        <w:ind w:left="1020" w:hanging="332"/>
        <w:spacing w:after="0"/>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dealers or agents and the amounts of securities underwritten or purchased by each of them;</w:t>
      </w:r>
    </w:p>
    <w:p>
      <w:pPr>
        <w:spacing w:after="0" w:line="98" w:lineRule="exact"/>
        <w:rPr>
          <w:rFonts w:ascii="Times New Roman" w:cs="Times New Roman" w:eastAsia="Times New Roman" w:hAnsi="Times New Roman"/>
          <w:sz w:val="14"/>
          <w:szCs w:val="14"/>
          <w:color w:val="auto"/>
        </w:rPr>
      </w:pPr>
    </w:p>
    <w:p>
      <w:pPr>
        <w:ind w:left="1020" w:right="439" w:hanging="332"/>
        <w:spacing w:after="0" w:line="277" w:lineRule="auto"/>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of the securities and the proceeds to us and any discounts, commissions or concessions allowed or reallowed or paid to dealers; and</w:t>
      </w:r>
    </w:p>
    <w:p>
      <w:pPr>
        <w:spacing w:after="0" w:line="53" w:lineRule="exact"/>
        <w:rPr>
          <w:rFonts w:ascii="Times New Roman" w:cs="Times New Roman" w:eastAsia="Times New Roman" w:hAnsi="Times New Roman"/>
          <w:sz w:val="14"/>
          <w:szCs w:val="14"/>
          <w:color w:val="auto"/>
        </w:rPr>
      </w:pPr>
    </w:p>
    <w:p>
      <w:pPr>
        <w:ind w:left="1020" w:hanging="332"/>
        <w:spacing w:after="0"/>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exchanges on which the securities may be listed.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Any offering price and any discounts or concessions allowed or reallowed or paid to dealers may be changed from time to time.</w:t>
      </w:r>
    </w:p>
    <w:p>
      <w:pPr>
        <w:spacing w:after="0" w:line="171" w:lineRule="exact"/>
        <w:rPr>
          <w:sz w:val="20"/>
          <w:szCs w:val="20"/>
          <w:color w:val="auto"/>
        </w:rPr>
      </w:pPr>
    </w:p>
    <w:p>
      <w:pPr>
        <w:jc w:val="both"/>
        <w:ind w:left="280" w:right="319" w:firstLine="338"/>
        <w:spacing w:after="0" w:line="262" w:lineRule="auto"/>
        <w:rPr>
          <w:sz w:val="20"/>
          <w:szCs w:val="20"/>
          <w:color w:val="auto"/>
        </w:rPr>
      </w:pPr>
      <w:r>
        <w:rPr>
          <w:rFonts w:ascii="Times New Roman" w:cs="Times New Roman" w:eastAsia="Times New Roman" w:hAnsi="Times New Roman"/>
          <w:sz w:val="14"/>
          <w:szCs w:val="14"/>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36" w:lineRule="exact"/>
        <w:rPr>
          <w:sz w:val="20"/>
          <w:szCs w:val="20"/>
          <w:color w:val="auto"/>
        </w:rPr>
      </w:pPr>
    </w:p>
    <w:p>
      <w:pPr>
        <w:ind w:left="280" w:right="339" w:firstLine="338"/>
        <w:spacing w:after="0" w:line="254" w:lineRule="auto"/>
        <w:rPr>
          <w:sz w:val="20"/>
          <w:szCs w:val="20"/>
          <w:color w:val="auto"/>
        </w:rPr>
      </w:pPr>
      <w:r>
        <w:rPr>
          <w:rFonts w:ascii="Times New Roman" w:cs="Times New Roman" w:eastAsia="Times New Roman" w:hAnsi="Times New Roman"/>
          <w:sz w:val="14"/>
          <w:szCs w:val="14"/>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4" w:lineRule="exact"/>
        <w:rPr>
          <w:sz w:val="20"/>
          <w:szCs w:val="20"/>
          <w:color w:val="auto"/>
        </w:rPr>
      </w:pPr>
    </w:p>
    <w:p>
      <w:pPr>
        <w:ind w:left="280" w:right="499" w:firstLine="338"/>
        <w:spacing w:after="0" w:line="262" w:lineRule="auto"/>
        <w:rPr>
          <w:sz w:val="20"/>
          <w:szCs w:val="20"/>
          <w:color w:val="auto"/>
        </w:rPr>
      </w:pPr>
      <w:r>
        <w:rPr>
          <w:rFonts w:ascii="Times New Roman" w:cs="Times New Roman" w:eastAsia="Times New Roman" w:hAnsi="Times New Roman"/>
          <w:sz w:val="14"/>
          <w:szCs w:val="14"/>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36" w:lineRule="exact"/>
        <w:rPr>
          <w:sz w:val="20"/>
          <w:szCs w:val="20"/>
          <w:color w:val="auto"/>
        </w:rPr>
      </w:pPr>
    </w:p>
    <w:p>
      <w:pPr>
        <w:ind w:left="280" w:right="459" w:firstLine="338"/>
        <w:spacing w:after="0" w:line="277" w:lineRule="auto"/>
        <w:rPr>
          <w:sz w:val="20"/>
          <w:szCs w:val="20"/>
          <w:color w:val="auto"/>
        </w:rPr>
      </w:pPr>
      <w:r>
        <w:rPr>
          <w:rFonts w:ascii="Times New Roman" w:cs="Times New Roman" w:eastAsia="Times New Roman" w:hAnsi="Times New Roman"/>
          <w:sz w:val="14"/>
          <w:szCs w:val="14"/>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6" w:lineRule="exact"/>
        <w:rPr>
          <w:sz w:val="20"/>
          <w:szCs w:val="20"/>
          <w:color w:val="auto"/>
        </w:rPr>
      </w:pPr>
    </w:p>
    <w:p>
      <w:pPr>
        <w:ind w:left="280" w:right="379" w:firstLine="338"/>
        <w:spacing w:after="0" w:line="257" w:lineRule="auto"/>
        <w:rPr>
          <w:sz w:val="20"/>
          <w:szCs w:val="20"/>
          <w:color w:val="auto"/>
        </w:rPr>
      </w:pPr>
      <w:r>
        <w:rPr>
          <w:rFonts w:ascii="Times New Roman" w:cs="Times New Roman" w:eastAsia="Times New Roman" w:hAnsi="Times New Roman"/>
          <w:sz w:val="14"/>
          <w:szCs w:val="14"/>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0" w:lineRule="exact"/>
        <w:rPr>
          <w:sz w:val="20"/>
          <w:szCs w:val="20"/>
          <w:color w:val="auto"/>
        </w:rPr>
      </w:pPr>
    </w:p>
    <w:p>
      <w:pPr>
        <w:jc w:val="both"/>
        <w:ind w:left="280" w:right="399" w:firstLine="338"/>
        <w:spacing w:after="0" w:line="257" w:lineRule="auto"/>
        <w:rPr>
          <w:sz w:val="20"/>
          <w:szCs w:val="20"/>
          <w:color w:val="auto"/>
        </w:rPr>
      </w:pPr>
      <w:r>
        <w:rPr>
          <w:rFonts w:ascii="Times New Roman" w:cs="Times New Roman" w:eastAsia="Times New Roman" w:hAnsi="Times New Roman"/>
          <w:sz w:val="14"/>
          <w:szCs w:val="14"/>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9019"/>
          </w:cols>
          <w:pgMar w:left="1440" w:top="257" w:right="1440" w:bottom="1440" w:gutter="0" w:footer="0" w:header="0"/>
        </w:sectPr>
      </w:pPr>
    </w:p>
    <w:bookmarkStart w:id="101" w:name="page102"/>
    <w:bookmarkEnd w:id="101"/>
    <w:p>
      <w:pPr>
        <w:ind w:left="280" w:right="499"/>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202805" cy="45720"/>
                    </a:xfrm>
                    <a:prstGeom prst="rect">
                      <a:avLst/>
                    </a:prstGeom>
                    <a:noFill/>
                  </pic:spPr>
                </pic:pic>
              </a:graphicData>
            </a:graphic>
          </wp:anchor>
        </w:drawing>
        <w:t>pursuant to the foregoing provisions, the Registrant has been informed that in the opinion of the SEC such indemnification is against public policy as expressed in the Securities Act and is therefore unenforceable.</w:t>
      </w:r>
    </w:p>
    <w:p>
      <w:pPr>
        <w:spacing w:after="0" w:line="126" w:lineRule="exact"/>
        <w:rPr>
          <w:sz w:val="20"/>
          <w:szCs w:val="20"/>
          <w:color w:val="auto"/>
        </w:rPr>
      </w:pPr>
    </w:p>
    <w:p>
      <w:pPr>
        <w:ind w:left="280" w:right="339" w:firstLine="338"/>
        <w:spacing w:after="0" w:line="251" w:lineRule="auto"/>
        <w:rPr>
          <w:sz w:val="20"/>
          <w:szCs w:val="20"/>
          <w:color w:val="auto"/>
        </w:rPr>
      </w:pPr>
      <w:r>
        <w:rPr>
          <w:rFonts w:ascii="Times New Roman" w:cs="Times New Roman" w:eastAsia="Times New Roman" w:hAnsi="Times New Roman"/>
          <w:sz w:val="14"/>
          <w:szCs w:val="14"/>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9019"/>
          </w:cols>
          <w:pgMar w:left="1440" w:top="259"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202805" cy="45720"/>
                    </a:xfrm>
                    <a:prstGeom prst="rect">
                      <a:avLst/>
                    </a:prstGeom>
                    <a:noFill/>
                  </pic:spPr>
                </pic:pic>
              </a:graphicData>
            </a:graphic>
          </wp:anchor>
        </w:drawing>
        <w:t>SUB-ADMINISTRATOR, CUSTODIAN, TRANSFER AGENT AND TRUSTEE</w:t>
      </w:r>
    </w:p>
    <w:p>
      <w:pPr>
        <w:spacing w:after="0" w:line="173" w:lineRule="exact"/>
        <w:rPr>
          <w:sz w:val="20"/>
          <w:szCs w:val="20"/>
          <w:color w:val="auto"/>
        </w:rPr>
      </w:pPr>
    </w:p>
    <w:p>
      <w:pPr>
        <w:ind w:left="280" w:right="299" w:firstLine="338"/>
        <w:spacing w:after="0" w:line="253" w:lineRule="auto"/>
        <w:rPr>
          <w:sz w:val="20"/>
          <w:szCs w:val="20"/>
          <w:color w:val="auto"/>
        </w:rPr>
      </w:pPr>
      <w:r>
        <w:rPr>
          <w:rFonts w:ascii="Times New Roman" w:cs="Times New Roman" w:eastAsia="Times New Roman" w:hAnsi="Times New Roman"/>
          <w:sz w:val="14"/>
          <w:szCs w:val="14"/>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AST acts as our transfer agent, distribution paying agent and registrar. AST also serves as trustee under our 2026 Notes. The principal business address of AST is 6201 15th Avenue, 3rd Floor, Brooklyn, NY 11219, telephone number: (800) 937-5449. Mishmeret Trust Company, Ltd. serves as trustee for our 2023 Notes. The principal business address of Mishmeret Trust Company, Ltd. is 46-48 Menachem Begin Road, Tel Aviv, Israel 66184.</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3" w:lineRule="exact"/>
        <w:rPr>
          <w:sz w:val="20"/>
          <w:szCs w:val="20"/>
          <w:color w:val="auto"/>
        </w:rPr>
      </w:pPr>
    </w:p>
    <w:p>
      <w:pPr>
        <w:ind w:left="280" w:right="339" w:firstLine="338"/>
        <w:spacing w:after="0" w:line="262" w:lineRule="auto"/>
        <w:rPr>
          <w:sz w:val="20"/>
          <w:szCs w:val="20"/>
          <w:color w:val="auto"/>
        </w:rPr>
      </w:pPr>
      <w:r>
        <w:rPr>
          <w:rFonts w:ascii="Times New Roman" w:cs="Times New Roman" w:eastAsia="Times New Roman" w:hAnsi="Times New Roman"/>
          <w:sz w:val="14"/>
          <w:szCs w:val="14"/>
          <w:color w:val="auto"/>
        </w:rPr>
        <w:t>Certain legal matters regarding the securities offered by this prospectus will be passed upon for us by Dechert LLP, Boston, Massachusetts and by Venable LLP, as special Maryland counsel. Certain legal matters will be passed upon for underwriters, if any, by the counsel named in the prospectus supplement, if any.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ACCOUNTING FIRM</w:t>
      </w:r>
    </w:p>
    <w:p>
      <w:pPr>
        <w:spacing w:after="0" w:line="173" w:lineRule="exact"/>
        <w:rPr>
          <w:sz w:val="20"/>
          <w:szCs w:val="20"/>
          <w:color w:val="auto"/>
        </w:rPr>
      </w:pPr>
    </w:p>
    <w:p>
      <w:pPr>
        <w:ind w:left="280" w:right="319" w:firstLine="338"/>
        <w:spacing w:after="0" w:line="254" w:lineRule="auto"/>
        <w:rPr>
          <w:sz w:val="20"/>
          <w:szCs w:val="20"/>
          <w:color w:val="auto"/>
        </w:rPr>
      </w:pPr>
      <w:r>
        <w:rPr>
          <w:rFonts w:ascii="Times New Roman" w:cs="Times New Roman" w:eastAsia="Times New Roman" w:hAnsi="Times New Roman"/>
          <w:sz w:val="14"/>
          <w:szCs w:val="14"/>
          <w:color w:val="auto"/>
        </w:rPr>
        <w:t>The consolidated financial statements of PennantPark Floating Rate Capital Ltd. and Subsidiaries as of September 30, 2022 and 2021 and for each of the years in the three-year period ended September 30, 2022 incorporated in this Prospectus by reference from the PennantPark Floating Rate Capital Ltd. Annual Report on Form 10-K for the year ended September 30, 2022 have been audited by RSM US LLP, an independent registered public accounting firm, as stated in their report thereon, incorporated herein by reference, and have been incorporated in this Prospectus and Registration Statement in reliance upon such report and upon the authority of such firm as experts in accounting and auditing.</w:t>
      </w:r>
    </w:p>
    <w:p>
      <w:pPr>
        <w:spacing w:after="0" w:line="144" w:lineRule="exact"/>
        <w:rPr>
          <w:sz w:val="20"/>
          <w:szCs w:val="20"/>
          <w:color w:val="auto"/>
        </w:rPr>
      </w:pPr>
    </w:p>
    <w:p>
      <w:pPr>
        <w:ind w:left="280" w:right="339" w:firstLine="338"/>
        <w:spacing w:after="0" w:line="262" w:lineRule="auto"/>
        <w:rPr>
          <w:sz w:val="20"/>
          <w:szCs w:val="20"/>
          <w:color w:val="auto"/>
        </w:rPr>
      </w:pPr>
      <w:r>
        <w:rPr>
          <w:rFonts w:ascii="Times New Roman" w:cs="Times New Roman" w:eastAsia="Times New Roman" w:hAnsi="Times New Roman"/>
          <w:sz w:val="14"/>
          <w:szCs w:val="14"/>
          <w:color w:val="auto"/>
        </w:rPr>
        <w:t>The senior securities table of the Company incorporated by reference under the heading “Senior Securities” has been incorporated by reference herein in reliance upon the report of RSM US LLP, an independent registered public accounting firm, as stated in their report filed as Exhibit 99.2 to the Company’s Annual Report on Form 10-K for the year ended September 30, 2022, which is incorporated herein by reference.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INDEPENDENT AUDITOR</w:t>
      </w:r>
    </w:p>
    <w:p>
      <w:pPr>
        <w:spacing w:after="0" w:line="173" w:lineRule="exact"/>
        <w:rPr>
          <w:sz w:val="20"/>
          <w:szCs w:val="20"/>
          <w:color w:val="auto"/>
        </w:rPr>
      </w:pPr>
    </w:p>
    <w:p>
      <w:pPr>
        <w:ind w:left="280" w:right="319" w:firstLine="338"/>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of PSSL as of and for the fiscal years ended September 30, 2022 and September 30, 2021 included as Exhibits 99.3 and 99.4, respectively, in our Annual Report on Form 10-K for the fiscal year ended September 30, 2022 have been so included in reliance on the report of RSM US LLP.</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9019"/>
          </w:cols>
          <w:pgMar w:left="1440" w:top="258" w:right="1440"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202805" cy="45720"/>
                    </a:xfrm>
                    <a:prstGeom prst="rect">
                      <a:avLst/>
                    </a:prstGeom>
                    <a:noFill/>
                  </pic:spPr>
                </pic:pic>
              </a:graphicData>
            </a:graphic>
          </wp:anchor>
        </w:drawing>
        <w:t>INCORPORATION BY REFERENCE</w:t>
      </w:r>
    </w:p>
    <w:p>
      <w:pPr>
        <w:spacing w:after="0" w:line="173" w:lineRule="exact"/>
        <w:rPr>
          <w:sz w:val="20"/>
          <w:szCs w:val="20"/>
          <w:color w:val="auto"/>
        </w:rPr>
      </w:pPr>
    </w:p>
    <w:p>
      <w:pPr>
        <w:ind w:left="280" w:right="379" w:firstLine="338"/>
        <w:spacing w:after="0" w:line="257"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40" w:lineRule="exact"/>
        <w:rPr>
          <w:sz w:val="20"/>
          <w:szCs w:val="20"/>
          <w:color w:val="auto"/>
        </w:rPr>
      </w:pPr>
    </w:p>
    <w:p>
      <w:pPr>
        <w:ind w:left="280" w:right="419" w:firstLine="338"/>
        <w:spacing w:after="0" w:line="252" w:lineRule="auto"/>
        <w:rPr>
          <w:sz w:val="20"/>
          <w:szCs w:val="20"/>
          <w:color w:val="auto"/>
        </w:rPr>
      </w:pPr>
      <w:r>
        <w:rPr>
          <w:rFonts w:ascii="Times New Roman" w:cs="Times New Roman" w:eastAsia="Times New Roman" w:hAnsi="Times New Roman"/>
          <w:sz w:val="14"/>
          <w:szCs w:val="14"/>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This prospectus and any prospectus supplement incorporates by reference the documents set forth below that have previously been filed with the</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SEC:</w:t>
      </w:r>
    </w:p>
    <w:p>
      <w:pPr>
        <w:spacing w:after="0" w:line="83" w:lineRule="exact"/>
        <w:rPr>
          <w:sz w:val="20"/>
          <w:szCs w:val="20"/>
          <w:color w:val="auto"/>
        </w:rPr>
      </w:pPr>
    </w:p>
    <w:p>
      <w:pPr>
        <w:jc w:val="both"/>
        <w:ind w:left="1020" w:right="399" w:hanging="332"/>
        <w:spacing w:after="0" w:line="262" w:lineRule="auto"/>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3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September 30, 2022, filed with the SEC on November 17, 2022, including the information specifically incorporated by reference to the Form 10-K from our Definitive Proxy Statement on </w:t>
      </w:r>
      <w:hyperlink r:id="rId37">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December 8, 2022; and</w:t>
      </w:r>
    </w:p>
    <w:p>
      <w:pPr>
        <w:spacing w:after="0" w:line="63" w:lineRule="exact"/>
        <w:rPr>
          <w:rFonts w:ascii="Times New Roman" w:cs="Times New Roman" w:eastAsia="Times New Roman" w:hAnsi="Times New Roman"/>
          <w:sz w:val="14"/>
          <w:szCs w:val="14"/>
          <w:color w:val="auto"/>
        </w:rPr>
      </w:pPr>
    </w:p>
    <w:p>
      <w:pPr>
        <w:ind w:left="1020" w:right="319" w:hanging="332"/>
        <w:spacing w:after="0" w:line="257" w:lineRule="auto"/>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38">
        <w:r>
          <w:rPr>
            <w:rFonts w:ascii="Times New Roman" w:cs="Times New Roman" w:eastAsia="Times New Roman" w:hAnsi="Times New Roman"/>
            <w:sz w:val="14"/>
            <w:szCs w:val="14"/>
            <w:u w:val="single" w:color="auto"/>
            <w:color w:val="0000EE"/>
          </w:rPr>
          <w:t>Exhibit 4.4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of our Annual Report on Form 10-K for the fiscal year ended September 30, 2019 (File No. 814-00891), as filed with the SEC on November 20, 2019, which updated the description thereof referenced in our Registration Statement on </w:t>
      </w:r>
      <w:hyperlink r:id="rId130">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 No. 001-35127), as filed with the SEC on April 7, 2011, including any amendment or report filed for the purpose of updating such description prior to the termination of the offering of the common stock registered hereby.</w:t>
      </w:r>
    </w:p>
    <w:p>
      <w:pPr>
        <w:spacing w:after="0" w:line="140" w:lineRule="exact"/>
        <w:rPr>
          <w:rFonts w:ascii="Times New Roman" w:cs="Times New Roman" w:eastAsia="Times New Roman" w:hAnsi="Times New Roman"/>
          <w:sz w:val="14"/>
          <w:szCs w:val="14"/>
          <w:color w:val="auto"/>
        </w:rPr>
      </w:pPr>
    </w:p>
    <w:p>
      <w:pPr>
        <w:ind w:left="620"/>
        <w:spacing w:after="0"/>
        <w:rPr>
          <w:sz w:val="20"/>
          <w:szCs w:val="20"/>
          <w:color w:val="auto"/>
        </w:rPr>
      </w:pPr>
      <w:r>
        <w:rPr>
          <w:rFonts w:ascii="Times New Roman" w:cs="Times New Roman" w:eastAsia="Times New Roman" w:hAnsi="Times New Roman"/>
          <w:sz w:val="14"/>
          <w:szCs w:val="14"/>
          <w:color w:val="auto"/>
        </w:rPr>
        <w:t>To obtain copies of these filings, see “Available Information.”</w:t>
      </w:r>
    </w:p>
    <w:p>
      <w:pPr>
        <w:spacing w:after="0" w:line="11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9019"/>
          </w:cols>
          <w:pgMar w:left="1440" w:top="257"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202805" cy="45720"/>
                    </a:xfrm>
                    <a:prstGeom prst="rect">
                      <a:avLst/>
                    </a:prstGeom>
                    <a:noFill/>
                  </pic:spPr>
                </pic:pic>
              </a:graphicData>
            </a:graphic>
          </wp:anchor>
        </w:drawing>
        <w:t>AVAILABLE INFORMATION</w:t>
      </w:r>
    </w:p>
    <w:p>
      <w:pPr>
        <w:spacing w:after="0" w:line="173" w:lineRule="exact"/>
        <w:rPr>
          <w:sz w:val="20"/>
          <w:szCs w:val="20"/>
          <w:color w:val="auto"/>
        </w:rPr>
      </w:pPr>
    </w:p>
    <w:p>
      <w:pPr>
        <w:ind w:left="280" w:right="419" w:firstLine="338"/>
        <w:spacing w:after="0" w:line="252"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44" w:lineRule="exact"/>
        <w:rPr>
          <w:sz w:val="20"/>
          <w:szCs w:val="20"/>
          <w:color w:val="auto"/>
        </w:rPr>
      </w:pPr>
    </w:p>
    <w:p>
      <w:pPr>
        <w:ind w:left="280" w:right="299" w:firstLine="338"/>
        <w:spacing w:after="0" w:line="252" w:lineRule="auto"/>
        <w:rPr>
          <w:sz w:val="20"/>
          <w:szCs w:val="20"/>
          <w:color w:val="auto"/>
        </w:rPr>
      </w:pPr>
      <w:r>
        <w:rPr>
          <w:rFonts w:ascii="Times New Roman" w:cs="Times New Roman" w:eastAsia="Times New Roman" w:hAnsi="Times New Roman"/>
          <w:sz w:val="14"/>
          <w:szCs w:val="14"/>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Except for the documents incorporated by reference into this prospectus and any accompanying prospectus supplement,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 Copies of these reports, proxy and information statements and other information may be obtained, after paying a duplicating fee, by sending a request by email to: publicinfo@sec.gov.</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9019"/>
          </w:cols>
          <w:pgMar w:left="1440" w:top="257" w:right="1440" w:bottom="1440" w:gutter="0" w:footer="0" w:header="0"/>
        </w:sectPr>
      </w:pPr>
    </w:p>
    <w:bookmarkStart w:id="105" w:name="page106"/>
    <w:bookmarkEnd w:id="105"/>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457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202805" cy="45720"/>
                    </a:xfrm>
                    <a:prstGeom prst="rect">
                      <a:avLst/>
                    </a:prstGeom>
                    <a:noFill/>
                  </pic:spPr>
                </pic:pic>
              </a:graphicData>
            </a:graphic>
          </wp:anchor>
        </w:drawing>
        <w:drawing>
          <wp:anchor simplePos="0" relativeHeight="251657728" behindDoc="1" locked="0" layoutInCell="0" allowOverlap="1">
            <wp:simplePos x="0" y="0"/>
            <wp:positionH relativeFrom="page">
              <wp:posOffset>1087755</wp:posOffset>
            </wp:positionH>
            <wp:positionV relativeFrom="page">
              <wp:posOffset>194310</wp:posOffset>
            </wp:positionV>
            <wp:extent cx="5373370"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5373370" cy="13335"/>
                    </a:xfrm>
                    <a:prstGeom prst="rect">
                      <a:avLst/>
                    </a:prstGeom>
                    <a:noFill/>
                  </pic:spPr>
                </pic:pic>
              </a:graphicData>
            </a:graphic>
          </wp:anchor>
        </w:drawing>
        <w:drawing>
          <wp:anchor simplePos="0" relativeHeight="251657728" behindDoc="1" locked="0" layoutInCell="0" allowOverlap="1">
            <wp:simplePos x="0" y="0"/>
            <wp:positionH relativeFrom="page">
              <wp:posOffset>1087755</wp:posOffset>
            </wp:positionH>
            <wp:positionV relativeFrom="page">
              <wp:posOffset>233680</wp:posOffset>
            </wp:positionV>
            <wp:extent cx="537337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5373370" cy="6350"/>
                    </a:xfrm>
                    <a:prstGeom prst="rect">
                      <a:avLst/>
                    </a:prstGeom>
                    <a:noFill/>
                  </pic:spPr>
                </pic:pic>
              </a:graphicData>
            </a:graphic>
          </wp:anchor>
        </w:drawing>
        <w:drawing>
          <wp:anchor simplePos="0" relativeHeight="251657728" behindDoc="1" locked="0" layoutInCell="0" allowOverlap="1">
            <wp:simplePos x="0" y="0"/>
            <wp:positionH relativeFrom="page">
              <wp:posOffset>2997200</wp:posOffset>
            </wp:positionH>
            <wp:positionV relativeFrom="page">
              <wp:posOffset>483870</wp:posOffset>
            </wp:positionV>
            <wp:extent cx="1560830" cy="3752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560830" cy="3752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4,250,000 Shares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810260</wp:posOffset>
            </wp:positionV>
            <wp:extent cx="113284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188595</wp:posOffset>
            </wp:positionV>
            <wp:extent cx="113284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ectPr>
          <w:pgSz w:w="11900" w:h="16838" w:orient="portrait"/>
          <w:cols w:equalWidth="0" w:num="1">
            <w:col w:w="9019"/>
          </w:cols>
          <w:pgMar w:left="1440" w:top="1440" w:right="1440" w:bottom="1440" w:gutter="0" w:footer="0" w:header="0"/>
        </w:sectPr>
      </w:pPr>
    </w:p>
    <w:p>
      <w:pPr>
        <w:spacing w:after="0" w:line="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b w:val="1"/>
          <w:bCs w:val="1"/>
          <w:color w:val="auto"/>
        </w:rPr>
        <w:t>Morgan Stanley</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UBS Investment Bank</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Goldman Sachs &amp;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 LLC</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J.P. Morgan</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0"/>
          <w:szCs w:val="10"/>
          <w:b w:val="1"/>
          <w:bCs w:val="1"/>
          <w:color w:val="auto"/>
        </w:rPr>
        <w:t>Keefe, Bruyette &amp; Woods</w:t>
      </w:r>
    </w:p>
    <w:p>
      <w:pPr>
        <w:spacing w:after="0" w:line="13"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1"/>
          <w:szCs w:val="11"/>
          <w:b w:val="1"/>
          <w:bCs w:val="1"/>
          <w:i w:val="1"/>
          <w:iCs w:val="1"/>
          <w:color w:val="auto"/>
        </w:rPr>
        <w:t>A Stifel Company</w:t>
      </w:r>
    </w:p>
    <w:p>
      <w:pPr>
        <w:spacing w:after="0" w:line="152" w:lineRule="exact"/>
        <w:rPr>
          <w:sz w:val="20"/>
          <w:szCs w:val="20"/>
          <w:color w:val="auto"/>
        </w:rPr>
      </w:pPr>
    </w:p>
    <w:p>
      <w:pPr>
        <w:sectPr>
          <w:pgSz w:w="11900" w:h="16838" w:orient="portrait"/>
          <w:cols w:equalWidth="0" w:num="5">
            <w:col w:w="1900" w:space="720"/>
            <w:col w:w="1040" w:space="720"/>
            <w:col w:w="860" w:space="500"/>
            <w:col w:w="1080" w:space="720"/>
            <w:col w:w="1479"/>
          </w:cols>
          <w:pgMar w:left="1440" w:top="144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Co-Managers</w:t>
      </w:r>
    </w:p>
    <w:p>
      <w:pPr>
        <w:sectPr>
          <w:pgSz w:w="11900" w:h="16838" w:orient="portrait"/>
          <w:cols w:equalWidth="0" w:num="1">
            <w:col w:w="9019"/>
          </w:cols>
          <w:pgMar w:left="1440" w:top="1440" w:right="1440" w:bottom="1440" w:gutter="0" w:footer="0" w:header="0"/>
          <w:type w:val="continuous"/>
        </w:sectPr>
      </w:pP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b w:val="1"/>
          <w:bCs w:val="1"/>
          <w:color w:val="auto"/>
        </w:rPr>
        <w:t>JMP Securities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Oppenheimer &amp; Co.</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Maxim Group LLC</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Ladenburg Thalmann</w:t>
      </w:r>
    </w:p>
    <w:p>
      <w:pPr>
        <w:spacing w:after="0" w:line="18" w:lineRule="exact"/>
        <w:rPr>
          <w:sz w:val="20"/>
          <w:szCs w:val="20"/>
          <w:color w:val="auto"/>
        </w:rPr>
      </w:pPr>
    </w:p>
    <w:p>
      <w:pPr>
        <w:sectPr>
          <w:pgSz w:w="11900" w:h="16838" w:orient="portrait"/>
          <w:cols w:equalWidth="0" w:num="4">
            <w:col w:w="2440" w:space="720"/>
            <w:col w:w="1400" w:space="720"/>
            <w:col w:w="1680" w:space="720"/>
            <w:col w:w="1339"/>
          </w:cols>
          <w:pgMar w:left="1440" w:top="144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4"/>
          <w:szCs w:val="4"/>
          <w:color w:val="auto"/>
        </w:rPr>
        <w:t>A CITIZENS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1280795</wp:posOffset>
            </wp:positionV>
            <wp:extent cx="113284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1132840" cy="63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January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343535</wp:posOffset>
            </wp:positionV>
            <wp:extent cx="537337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5373370" cy="6350"/>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389890</wp:posOffset>
            </wp:positionV>
            <wp:extent cx="5373370"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5373370" cy="1333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1"/>
    </w:lvl>
  </w:abstractNum>
  <w:abstractNum w:abstractNumId="1">
    <w:nsid w:val="836C40E"/>
    <w:multiLevelType w:val="hybridMultilevel"/>
    <w:lvl w:ilvl="0">
      <w:lvlJc w:val="left"/>
      <w:lvlText w:val="(%1)"/>
      <w:numFmt w:val="lowerRoman"/>
      <w:start w:val="2"/>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7"/>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lowerLetter"/>
      <w:start w:val="3"/>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lvl w:ilvl="1">
      <w:lvlJc w:val="left"/>
      <w:lvlText w:val="%2)"/>
      <w:numFmt w:val="decimal"/>
      <w:start w:val="1"/>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jpe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jpe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36" Type="http://schemas.openxmlformats.org/officeDocument/2006/relationships/hyperlink" Target="http://www.sec.gov/ix?doc=/Archives/edgar/data/1504619/000095017022025351/pflt-20220930.htm" TargetMode="External"/><Relationship Id="rId37" Type="http://schemas.openxmlformats.org/officeDocument/2006/relationships/hyperlink" Target="http://www.sec.gov/Archives/edgar/data/1504619/000095017022026192/pflt-2023-def_14a.htm" TargetMode="External"/><Relationship Id="rId38" Type="http://schemas.openxmlformats.org/officeDocument/2006/relationships/hyperlink" Target="http://www.sec.gov/Archives/edgar/data/1504619/000156459019043972/pflt-ex44_124.htm" TargetMode="External"/><Relationship Id="rId130" Type="http://schemas.openxmlformats.org/officeDocument/2006/relationships/hyperlink" Target="http://www.sec.gov/Archives/edgar/data/1504619/000119312511090965/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2023-01-25T07:50:37Z</dcterms:created>
  <dcterms:modified xsi:type="dcterms:W3CDTF">2023-01-25T07:50:37Z</dcterms:modified>
</cp:coreProperties>
</file>