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4"/>
          <w:szCs w:val="24"/>
          <w:color w:val="auto"/>
        </w:rPr>
      </w:pPr>
    </w:p>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2"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 No. 333-268813</w:t>
      </w:r>
    </w:p>
    <w:p>
      <w:pPr>
        <w:spacing w:after="0" w:line="102" w:lineRule="exact"/>
        <w:rPr>
          <w:sz w:val="24"/>
          <w:szCs w:val="24"/>
          <w:color w:val="auto"/>
        </w:rPr>
      </w:pPr>
    </w:p>
    <w:p>
      <w:pPr>
        <w:jc w:val="both"/>
        <w:ind w:left="1420" w:right="419"/>
        <w:spacing w:after="0" w:line="263" w:lineRule="auto"/>
        <w:rPr>
          <w:sz w:val="20"/>
          <w:szCs w:val="20"/>
          <w:color w:val="auto"/>
        </w:rPr>
      </w:pPr>
      <w:r>
        <w:rPr>
          <w:rFonts w:ascii="Times New Roman" w:cs="Times New Roman" w:eastAsia="Times New Roman" w:hAnsi="Times New Roman"/>
          <w:sz w:val="14"/>
          <w:szCs w:val="14"/>
          <w:b w:val="1"/>
          <w:bCs w:val="1"/>
          <w:color w:val="FF4338"/>
        </w:rPr>
        <w:t>This preliminary prospectus supplement relates to an effective registration statement under the Securities Act of 1933, as amended, but is not complete and may be changed. This preliminary prospectus supplement is not an offer to sell these securities and it is not soliciting an offer to buy these securities in any state where the offer or sale is not permitted.</w:t>
      </w:r>
    </w:p>
    <w:p>
      <w:pPr>
        <w:spacing w:after="0" w:line="8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FF4338"/>
        </w:rPr>
        <w:t>SUBJECT TO COMPLETION, DATED JANUARY 23, 2023</w:t>
      </w:r>
    </w:p>
    <w:p>
      <w:pPr>
        <w:spacing w:after="0" w:line="6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Preliminary Prospectus Supplement</w:t>
      </w:r>
    </w:p>
    <w:p>
      <w:pPr>
        <w:spacing w:after="0" w:line="22"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To the Prospectus dated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2540</wp:posOffset>
            </wp:positionV>
            <wp:extent cx="1560830" cy="37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4,250,000 Shares</w:t>
      </w:r>
    </w:p>
    <w:p>
      <w:pPr>
        <w:spacing w:after="0" w:line="4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3017520</wp:posOffset>
            </wp:positionH>
            <wp:positionV relativeFrom="paragraph">
              <wp:posOffset>106045</wp:posOffset>
            </wp:positionV>
            <wp:extent cx="11328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81" w:lineRule="exact"/>
        <w:rPr>
          <w:sz w:val="24"/>
          <w:szCs w:val="24"/>
          <w:color w:val="auto"/>
        </w:rPr>
      </w:pPr>
    </w:p>
    <w:p>
      <w:pPr>
        <w:ind w:left="1420" w:right="299"/>
        <w:spacing w:after="0" w:line="224" w:lineRule="auto"/>
        <w:rPr>
          <w:sz w:val="20"/>
          <w:szCs w:val="20"/>
          <w:color w:val="auto"/>
        </w:rPr>
      </w:pPr>
      <w:r>
        <w:rPr>
          <w:rFonts w:ascii="Times New Roman" w:cs="Times New Roman" w:eastAsia="Times New Roman" w:hAnsi="Times New Roman"/>
          <w:sz w:val="11"/>
          <w:szCs w:val="11"/>
          <w:color w:val="auto"/>
        </w:rPr>
        <w:t>This is a public offering of common stock of PennantPark Floating Rate Capital Ltd. (“we”, “our”, or “us”). We are a Maryland corporation and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companies.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14" w:lineRule="exact"/>
        <w:rPr>
          <w:sz w:val="24"/>
          <w:szCs w:val="24"/>
          <w:color w:val="auto"/>
        </w:rPr>
      </w:pPr>
    </w:p>
    <w:p>
      <w:pPr>
        <w:ind w:left="1420" w:right="299"/>
        <w:spacing w:after="0" w:line="234" w:lineRule="auto"/>
        <w:rPr>
          <w:sz w:val="20"/>
          <w:szCs w:val="20"/>
          <w:color w:val="auto"/>
        </w:rPr>
      </w:pPr>
      <w:r>
        <w:rPr>
          <w:rFonts w:ascii="Times New Roman" w:cs="Times New Roman" w:eastAsia="Times New Roman" w:hAnsi="Times New Roman"/>
          <w:sz w:val="11"/>
          <w:szCs w:val="11"/>
          <w:color w:val="auto"/>
        </w:rPr>
        <w:t>We are offering for sale 4,250,000 shares of our common stock at a price of $ per share. Our common stock is traded on the New York Stock Exchange, or NYSE, and The Tel Aviv Stock Exchange, or TASE, under the symbol “PFLT”. The last reported closing price for our common stock on the NYSE on January 20, 2023 was $11.73 per share. The net asset value of our common stock on September 30, 2022 was $11.62 per share.</w:t>
      </w:r>
    </w:p>
    <w:p>
      <w:pPr>
        <w:spacing w:after="0" w:line="14" w:lineRule="exact"/>
        <w:rPr>
          <w:sz w:val="24"/>
          <w:szCs w:val="24"/>
          <w:color w:val="auto"/>
        </w:rPr>
      </w:pPr>
    </w:p>
    <w:p>
      <w:pPr>
        <w:ind w:left="1420" w:right="299"/>
        <w:spacing w:after="0" w:line="224" w:lineRule="auto"/>
        <w:rPr>
          <w:sz w:val="20"/>
          <w:szCs w:val="20"/>
          <w:color w:val="auto"/>
        </w:rPr>
      </w:pPr>
      <w:r>
        <w:rPr>
          <w:rFonts w:ascii="Times New Roman" w:cs="Times New Roman" w:eastAsia="Times New Roman" w:hAnsi="Times New Roman"/>
          <w:sz w:val="11"/>
          <w:szCs w:val="11"/>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 33139 by calling us collect at (786) 297-9500 or by visiting our website at </w:t>
      </w:r>
      <w:r>
        <w:rPr>
          <w:rFonts w:ascii="Times New Roman" w:cs="Times New Roman" w:eastAsia="Times New Roman" w:hAnsi="Times New Roman"/>
          <w:sz w:val="11"/>
          <w:szCs w:val="11"/>
          <w:i w:val="1"/>
          <w:iCs w:val="1"/>
          <w:u w:val="single" w:color="auto"/>
          <w:color w:val="auto"/>
        </w:rPr>
        <w:t>www.pennantpark.com</w:t>
      </w:r>
      <w:r>
        <w:rPr>
          <w:rFonts w:ascii="Times New Roman" w:cs="Times New Roman" w:eastAsia="Times New Roman" w:hAnsi="Times New Roman"/>
          <w:sz w:val="11"/>
          <w:szCs w:val="11"/>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1"/>
          <w:szCs w:val="11"/>
          <w:i w:val="1"/>
          <w:iCs w:val="1"/>
          <w:u w:val="single" w:color="auto"/>
          <w:color w:val="auto"/>
        </w:rPr>
        <w:t>www.sec.gov</w:t>
      </w:r>
      <w:r>
        <w:rPr>
          <w:rFonts w:ascii="Times New Roman" w:cs="Times New Roman" w:eastAsia="Times New Roman" w:hAnsi="Times New Roman"/>
          <w:sz w:val="11"/>
          <w:szCs w:val="11"/>
          <w:color w:val="auto"/>
        </w:rPr>
        <w:t xml:space="preserve"> that contains such information free of charge.</w:t>
      </w:r>
    </w:p>
    <w:p>
      <w:pPr>
        <w:spacing w:after="0" w:line="18" w:lineRule="exact"/>
        <w:rPr>
          <w:sz w:val="24"/>
          <w:szCs w:val="24"/>
          <w:color w:val="auto"/>
        </w:rPr>
      </w:pPr>
    </w:p>
    <w:p>
      <w:pPr>
        <w:ind w:left="1420" w:right="279"/>
        <w:spacing w:after="0" w:line="286" w:lineRule="auto"/>
        <w:rPr>
          <w:sz w:val="20"/>
          <w:szCs w:val="20"/>
          <w:color w:val="auto"/>
        </w:rPr>
      </w:pPr>
      <w:r>
        <w:rPr>
          <w:rFonts w:ascii="Times New Roman" w:cs="Times New Roman" w:eastAsia="Times New Roman" w:hAnsi="Times New Roman"/>
          <w:sz w:val="12"/>
          <w:szCs w:val="12"/>
          <w:b w:val="1"/>
          <w:bCs w:val="1"/>
          <w:color w:val="auto"/>
        </w:rPr>
        <w:t>Investing in our common stock involves a high degree of risk, including the risk of leverage. Before buying any shares of our common stock, you should read the discussion of the material risks of investing in us described in the section titled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in our most recent Annual Report on Form 10-K, this prospectus supplement and the accompanying prospectus and under similar headings in other documents that are filed with the SEC on or after the date hereof and incorporated by reference into this prospectus supplement and the accompanying prospectus.</w:t>
      </w:r>
    </w:p>
    <w:p>
      <w:pPr>
        <w:spacing w:after="0" w:line="3" w:lineRule="exact"/>
        <w:rPr>
          <w:sz w:val="24"/>
          <w:szCs w:val="24"/>
          <w:color w:val="auto"/>
        </w:rPr>
      </w:pPr>
    </w:p>
    <w:p>
      <w:pPr>
        <w:ind w:left="1420" w:right="419"/>
        <w:spacing w:after="0" w:line="239" w:lineRule="auto"/>
        <w:rPr>
          <w:sz w:val="20"/>
          <w:szCs w:val="20"/>
          <w:color w:val="auto"/>
        </w:rPr>
      </w:pPr>
      <w:r>
        <w:rPr>
          <w:rFonts w:ascii="Times New Roman" w:cs="Times New Roman" w:eastAsia="Times New Roman" w:hAnsi="Times New Roman"/>
          <w:sz w:val="10"/>
          <w:szCs w:val="10"/>
          <w:b w:val="1"/>
          <w:bCs w:val="1"/>
          <w:color w:val="auto"/>
        </w:rPr>
        <w:t>Shares of closed-end investment companies, including BDCs, frequently trade at a discount to their net asset value, or NAV. If our shares trade at a discount to our NAV, it may increase the risk of loss for purchasers in this offering.</w:t>
      </w:r>
    </w:p>
    <w:p>
      <w:pPr>
        <w:spacing w:after="0" w:line="20" w:lineRule="exact"/>
        <w:rPr>
          <w:sz w:val="24"/>
          <w:szCs w:val="24"/>
          <w:color w:val="auto"/>
        </w:rPr>
      </w:pPr>
    </w:p>
    <w:p>
      <w:pPr>
        <w:ind w:left="1420" w:right="559"/>
        <w:spacing w:after="0" w:line="239" w:lineRule="auto"/>
        <w:rPr>
          <w:sz w:val="20"/>
          <w:szCs w:val="20"/>
          <w:color w:val="auto"/>
        </w:rPr>
      </w:pPr>
      <w:r>
        <w:rPr>
          <w:rFonts w:ascii="Times New Roman" w:cs="Times New Roman" w:eastAsia="Times New Roman" w:hAnsi="Times New Roman"/>
          <w:sz w:val="10"/>
          <w:szCs w:val="10"/>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32" w:lineRule="exact"/>
        <w:rPr>
          <w:sz w:val="24"/>
          <w:szCs w:val="24"/>
          <w:color w:val="auto"/>
        </w:rPr>
      </w:pPr>
    </w:p>
    <w:tbl>
      <w:tblPr>
        <w:tblLayout w:type="fixed"/>
        <w:tblInd w:w="2420" w:type="dxa"/>
        <w:tblCellMar>
          <w:top w:w="0" w:type="dxa"/>
          <w:left w:w="0" w:type="dxa"/>
          <w:bottom w:w="0" w:type="dxa"/>
          <w:right w:w="0" w:type="dxa"/>
        </w:tblCellMar>
      </w:tblPr>
      <w:tr>
        <w:trPr>
          <w:trHeight w:val="117"/>
        </w:trPr>
        <w:tc>
          <w:tcPr>
            <w:tcW w:w="3840" w:type="dxa"/>
            <w:vAlign w:val="bottom"/>
          </w:tcPr>
          <w:p>
            <w:pPr>
              <w:spacing w:after="0"/>
              <w:rPr>
                <w:sz w:val="10"/>
                <w:szCs w:val="10"/>
                <w:color w:val="auto"/>
              </w:rPr>
            </w:pPr>
          </w:p>
        </w:tc>
        <w:tc>
          <w:tcPr>
            <w:tcW w:w="1960" w:type="dxa"/>
            <w:vAlign w:val="bottom"/>
          </w:tcPr>
          <w:p>
            <w:pPr>
              <w:jc w:val="right"/>
              <w:ind w:right="146"/>
              <w:spacing w:after="0"/>
              <w:rPr>
                <w:sz w:val="20"/>
                <w:szCs w:val="20"/>
                <w:color w:val="auto"/>
              </w:rPr>
            </w:pPr>
            <w:r>
              <w:rPr>
                <w:rFonts w:ascii="Times New Roman" w:cs="Times New Roman" w:eastAsia="Times New Roman" w:hAnsi="Times New Roman"/>
                <w:sz w:val="10"/>
                <w:szCs w:val="10"/>
                <w:color w:val="auto"/>
              </w:rPr>
              <w:t>Per Share</w:t>
            </w: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0"/>
                <w:szCs w:val="10"/>
                <w:color w:val="auto"/>
              </w:rPr>
              <w:t>Total</w:t>
            </w:r>
          </w:p>
        </w:tc>
      </w:tr>
      <w:tr>
        <w:trPr>
          <w:trHeight w:val="114"/>
        </w:trPr>
        <w:tc>
          <w:tcPr>
            <w:tcW w:w="38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Public offering price</w:t>
            </w:r>
          </w:p>
        </w:tc>
        <w:tc>
          <w:tcPr>
            <w:tcW w:w="1960" w:type="dxa"/>
            <w:vAlign w:val="bottom"/>
            <w:shd w:val="clear" w:color="auto" w:fill="CCEEFF"/>
          </w:tcPr>
          <w:p>
            <w:pPr>
              <w:jc w:val="right"/>
              <w:ind w:right="486"/>
              <w:spacing w:after="0" w:line="11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46"/>
              <w:spacing w:after="0" w:line="114" w:lineRule="exact"/>
              <w:rPr>
                <w:sz w:val="20"/>
                <w:szCs w:val="20"/>
                <w:color w:val="auto"/>
              </w:rPr>
            </w:pPr>
            <w:r>
              <w:rPr>
                <w:rFonts w:ascii="Times New Roman" w:cs="Times New Roman" w:eastAsia="Times New Roman" w:hAnsi="Times New Roman"/>
                <w:sz w:val="11"/>
                <w:szCs w:val="11"/>
                <w:color w:val="auto"/>
              </w:rPr>
              <w:t>$</w:t>
            </w:r>
          </w:p>
        </w:tc>
      </w:tr>
      <w:tr>
        <w:trPr>
          <w:trHeight w:val="114"/>
        </w:trPr>
        <w:tc>
          <w:tcPr>
            <w:tcW w:w="384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Sales load (underwriting discounts and commissions)</w:t>
            </w:r>
            <w:r>
              <w:rPr>
                <w:rFonts w:ascii="Times New Roman" w:cs="Times New Roman" w:eastAsia="Times New Roman" w:hAnsi="Times New Roman"/>
                <w:sz w:val="8"/>
                <w:szCs w:val="8"/>
                <w:color w:val="auto"/>
              </w:rPr>
              <w:t>(1)</w:t>
            </w:r>
          </w:p>
        </w:tc>
        <w:tc>
          <w:tcPr>
            <w:tcW w:w="1960" w:type="dxa"/>
            <w:vAlign w:val="bottom"/>
          </w:tcPr>
          <w:p>
            <w:pPr>
              <w:jc w:val="right"/>
              <w:ind w:right="486"/>
              <w:spacing w:after="0" w:line="11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46"/>
              <w:spacing w:after="0" w:line="114" w:lineRule="exact"/>
              <w:rPr>
                <w:sz w:val="20"/>
                <w:szCs w:val="20"/>
                <w:color w:val="auto"/>
              </w:rPr>
            </w:pPr>
            <w:r>
              <w:rPr>
                <w:rFonts w:ascii="Times New Roman" w:cs="Times New Roman" w:eastAsia="Times New Roman" w:hAnsi="Times New Roman"/>
                <w:sz w:val="11"/>
                <w:szCs w:val="11"/>
                <w:color w:val="auto"/>
              </w:rPr>
              <w:t>$</w:t>
            </w:r>
          </w:p>
        </w:tc>
      </w:tr>
      <w:tr>
        <w:trPr>
          <w:trHeight w:val="114"/>
        </w:trPr>
        <w:tc>
          <w:tcPr>
            <w:tcW w:w="38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Proceeds to us (before expenses)</w:t>
            </w:r>
            <w:r>
              <w:rPr>
                <w:rFonts w:ascii="Times New Roman" w:cs="Times New Roman" w:eastAsia="Times New Roman" w:hAnsi="Times New Roman"/>
                <w:sz w:val="8"/>
                <w:szCs w:val="8"/>
                <w:color w:val="auto"/>
              </w:rPr>
              <w:t>(2)</w:t>
            </w:r>
          </w:p>
        </w:tc>
        <w:tc>
          <w:tcPr>
            <w:tcW w:w="1960" w:type="dxa"/>
            <w:vAlign w:val="bottom"/>
            <w:shd w:val="clear" w:color="auto" w:fill="CCEEFF"/>
          </w:tcPr>
          <w:p>
            <w:pPr>
              <w:jc w:val="right"/>
              <w:ind w:right="486"/>
              <w:spacing w:after="0" w:line="11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46"/>
              <w:spacing w:after="0" w:line="114" w:lineRule="exact"/>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66040</wp:posOffset>
            </wp:positionV>
            <wp:extent cx="5924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108" w:lineRule="exact"/>
        <w:rPr>
          <w:sz w:val="24"/>
          <w:szCs w:val="24"/>
          <w:color w:val="auto"/>
        </w:rPr>
      </w:pPr>
    </w:p>
    <w:p>
      <w:pPr>
        <w:ind w:left="1740" w:hanging="327"/>
        <w:spacing w:after="0"/>
        <w:tabs>
          <w:tab w:leader="none" w:pos="17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PennantPark Investment Advisers, LLC, our investment adviser, has agreed to pay a portion of the sales load (underwriting discounts and commissions) in the amount of</w:t>
      </w:r>
    </w:p>
    <w:p>
      <w:pPr>
        <w:ind w:left="1740" w:right="359"/>
        <w:spacing w:after="0" w:line="216" w:lineRule="auto"/>
        <w:rPr>
          <w:sz w:val="20"/>
          <w:szCs w:val="20"/>
          <w:color w:val="auto"/>
        </w:rPr>
      </w:pPr>
      <w:r>
        <w:rPr>
          <w:rFonts w:ascii="Times New Roman" w:cs="Times New Roman" w:eastAsia="Times New Roman" w:hAnsi="Times New Roman"/>
          <w:sz w:val="11"/>
          <w:szCs w:val="11"/>
          <w:color w:val="auto"/>
        </w:rPr>
        <w:t>approximately $ , or $ per share (or approximately $ or $ per share if the underwriters’ option to purchase additional shares is fully exercised), in connection with the shares of common stock offered by us in this offering, which is not reflected in the above table. We are not obligated to repay the sales load paid by PennantPark Investment Advisers, LLC. See “Underwriting” for additional information regarding underwriting compensation. The allocable portion of the sales load relating to the shares of common stock offered by us in this offering not being borne by PennantPark Investment Advisers, LLC will be borne by us.</w:t>
      </w:r>
    </w:p>
    <w:p>
      <w:pPr>
        <w:spacing w:after="0" w:line="1" w:lineRule="exact"/>
        <w:rPr>
          <w:sz w:val="24"/>
          <w:szCs w:val="24"/>
          <w:color w:val="auto"/>
        </w:rPr>
      </w:pPr>
    </w:p>
    <w:p>
      <w:pPr>
        <w:ind w:left="1740" w:hanging="327"/>
        <w:spacing w:after="0"/>
        <w:tabs>
          <w:tab w:leader="none" w:pos="174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estimated expenses of this offering are expected to be approximately $250,000.</w:t>
      </w:r>
    </w:p>
    <w:p>
      <w:pPr>
        <w:spacing w:after="0" w:line="1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1"/>
          <w:szCs w:val="11"/>
          <w:color w:val="auto"/>
        </w:rPr>
        <w:t>In addition, the underwriters may purchase up to an additional 637,500 shares of common stock at the public offering price, less the sales load payable by us, within 30 days from the</w:t>
      </w:r>
    </w:p>
    <w:tbl>
      <w:tblPr>
        <w:tblLayout w:type="fixed"/>
        <w:tblInd w:w="1420" w:type="dxa"/>
        <w:tblCellMar>
          <w:top w:w="0" w:type="dxa"/>
          <w:left w:w="0" w:type="dxa"/>
          <w:bottom w:w="0" w:type="dxa"/>
          <w:right w:w="0" w:type="dxa"/>
        </w:tblCellMar>
      </w:tblPr>
      <w:tr>
        <w:trPr>
          <w:trHeight w:val="102"/>
        </w:trPr>
        <w:tc>
          <w:tcPr>
            <w:tcW w:w="546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color w:val="auto"/>
              </w:rPr>
              <w:t>date of this prospectus supplement. If the underwriters exercise this option in full, the total public offering price will be $</w:t>
            </w:r>
          </w:p>
        </w:tc>
        <w:tc>
          <w:tcPr>
            <w:tcW w:w="2140" w:type="dxa"/>
            <w:vAlign w:val="bottom"/>
            <w:gridSpan w:val="2"/>
          </w:tcPr>
          <w:p>
            <w:pPr>
              <w:ind w:left="320"/>
              <w:spacing w:after="0" w:line="102" w:lineRule="exact"/>
              <w:rPr>
                <w:sz w:val="20"/>
                <w:szCs w:val="20"/>
                <w:color w:val="auto"/>
              </w:rPr>
            </w:pPr>
            <w:r>
              <w:rPr>
                <w:rFonts w:ascii="Times New Roman" w:cs="Times New Roman" w:eastAsia="Times New Roman" w:hAnsi="Times New Roman"/>
                <w:sz w:val="11"/>
                <w:szCs w:val="11"/>
                <w:color w:val="auto"/>
              </w:rPr>
              <w:t>, the total sales load paid by us will be $</w:t>
            </w:r>
          </w:p>
        </w:tc>
        <w:tc>
          <w:tcPr>
            <w:tcW w:w="8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 and total</w:t>
            </w:r>
          </w:p>
        </w:tc>
      </w:tr>
      <w:tr>
        <w:trPr>
          <w:trHeight w:val="142"/>
        </w:trPr>
        <w:tc>
          <w:tcPr>
            <w:tcW w:w="1980" w:type="dxa"/>
            <w:vAlign w:val="bottom"/>
          </w:tcPr>
          <w:p>
            <w:pPr>
              <w:spacing w:after="0"/>
              <w:rPr>
                <w:sz w:val="20"/>
                <w:szCs w:val="20"/>
                <w:color w:val="auto"/>
              </w:rPr>
            </w:pPr>
            <w:r>
              <w:rPr>
                <w:rFonts w:ascii="Times New Roman" w:cs="Times New Roman" w:eastAsia="Times New Roman" w:hAnsi="Times New Roman"/>
                <w:sz w:val="11"/>
                <w:szCs w:val="11"/>
                <w:color w:val="auto"/>
              </w:rPr>
              <w:t>proceeds to us, before expenses, will be $</w:t>
            </w:r>
          </w:p>
        </w:tc>
        <w:tc>
          <w:tcPr>
            <w:tcW w:w="1120" w:type="dxa"/>
            <w:vAlign w:val="bottom"/>
          </w:tcPr>
          <w:p>
            <w:pPr>
              <w:jc w:val="right"/>
              <w:ind w:right="74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4"/>
        </w:trPr>
        <w:tc>
          <w:tcPr>
            <w:tcW w:w="31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7"/>
        </w:trPr>
        <w:tc>
          <w:tcPr>
            <w:tcW w:w="31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The underwriters expect to deliver the shares on or about</w:t>
            </w:r>
          </w:p>
        </w:tc>
        <w:tc>
          <w:tcPr>
            <w:tcW w:w="2020" w:type="dxa"/>
            <w:vAlign w:val="bottom"/>
            <w:gridSpan w:val="2"/>
          </w:tcPr>
          <w:p>
            <w:pPr>
              <w:jc w:val="right"/>
              <w:ind w:right="1445"/>
              <w:spacing w:after="0"/>
              <w:rPr>
                <w:sz w:val="20"/>
                <w:szCs w:val="20"/>
                <w:color w:val="auto"/>
              </w:rPr>
            </w:pPr>
            <w:r>
              <w:rPr>
                <w:rFonts w:ascii="Times New Roman" w:cs="Times New Roman" w:eastAsia="Times New Roman" w:hAnsi="Times New Roman"/>
                <w:sz w:val="11"/>
                <w:szCs w:val="11"/>
                <w:color w:val="auto"/>
              </w:rPr>
              <w:t>, 2023.</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2"/>
          </w:tcPr>
          <w:p>
            <w:pPr>
              <w:ind w:left="200"/>
              <w:spacing w:after="0"/>
              <w:rPr>
                <w:sz w:val="20"/>
                <w:szCs w:val="20"/>
                <w:color w:val="auto"/>
              </w:rPr>
            </w:pPr>
            <w:r>
              <w:rPr>
                <w:rFonts w:ascii="Times New Roman" w:cs="Times New Roman" w:eastAsia="Times New Roman" w:hAnsi="Times New Roman"/>
                <w:sz w:val="11"/>
                <w:szCs w:val="11"/>
                <w:i w:val="1"/>
                <w:iCs w:val="1"/>
                <w:color w:val="auto"/>
              </w:rPr>
              <w:t>Joint Book-Running Managers</w:t>
            </w: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7"/>
        </w:trPr>
        <w:tc>
          <w:tcPr>
            <w:tcW w:w="1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Morgan Stanley</w:t>
            </w:r>
          </w:p>
        </w:tc>
        <w:tc>
          <w:tcPr>
            <w:tcW w:w="11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UBS Investment</w:t>
            </w:r>
          </w:p>
        </w:tc>
        <w:tc>
          <w:tcPr>
            <w:tcW w:w="240" w:type="dxa"/>
            <w:vAlign w:val="bottom"/>
          </w:tcPr>
          <w:p>
            <w:pPr>
              <w:spacing w:after="0"/>
              <w:rPr>
                <w:sz w:val="15"/>
                <w:szCs w:val="15"/>
                <w:color w:val="auto"/>
              </w:rPr>
            </w:pP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Goldman Sachs &amp; Co. LLC</w:t>
            </w:r>
          </w:p>
        </w:tc>
        <w:tc>
          <w:tcPr>
            <w:tcW w:w="12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J.P. Morgan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Keefe, Bruyette &amp; Woods</w:t>
            </w:r>
          </w:p>
        </w:tc>
      </w:tr>
      <w:tr>
        <w:trPr>
          <w:trHeight w:val="144"/>
        </w:trPr>
        <w:tc>
          <w:tcPr>
            <w:tcW w:w="1980" w:type="dxa"/>
            <w:vAlign w:val="bottom"/>
          </w:tcPr>
          <w:p>
            <w:pPr>
              <w:spacing w:after="0"/>
              <w:rPr>
                <w:sz w:val="12"/>
                <w:szCs w:val="12"/>
                <w:color w:val="auto"/>
              </w:rPr>
            </w:pPr>
          </w:p>
        </w:tc>
        <w:tc>
          <w:tcPr>
            <w:tcW w:w="11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Bank</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tc>
      </w:tr>
    </w:tbl>
    <w:p>
      <w:pPr>
        <w:spacing w:after="0" w:line="21" w:lineRule="exact"/>
        <w:rPr>
          <w:sz w:val="24"/>
          <w:szCs w:val="24"/>
          <w:color w:val="auto"/>
        </w:rPr>
      </w:pPr>
    </w:p>
    <w:p>
      <w:pPr>
        <w:ind w:left="4260"/>
        <w:spacing w:after="0"/>
        <w:tabs>
          <w:tab w:leader="none" w:pos="6700" w:val="left"/>
        </w:tabs>
        <w:rPr>
          <w:sz w:val="20"/>
          <w:szCs w:val="20"/>
          <w:color w:val="auto"/>
        </w:rPr>
      </w:pPr>
      <w:r>
        <w:rPr>
          <w:rFonts w:ascii="Times New Roman" w:cs="Times New Roman" w:eastAsia="Times New Roman" w:hAnsi="Times New Roman"/>
          <w:sz w:val="11"/>
          <w:szCs w:val="11"/>
          <w:b w:val="1"/>
          <w:bCs w:val="1"/>
          <w:color w:val="auto"/>
        </w:rPr>
        <w:t>The date of this prospectus supplement is January</w:t>
        <w:tab/>
        <w:t>, 2023.</w:t>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gridSpan w:val="5"/>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6"/>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6"/>
              </w:rPr>
              <w:t>TABLE OF CONTENTS</w:t>
            </w:r>
          </w:p>
        </w:tc>
        <w:tc>
          <w:tcPr>
            <w:tcW w:w="5260" w:type="dxa"/>
            <w:vAlign w:val="bottom"/>
            <w:gridSpan w:val="20"/>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S-i</w:t>
            </w:r>
          </w:p>
        </w:tc>
        <w:tc>
          <w:tcPr>
            <w:tcW w:w="0" w:type="dxa"/>
            <w:vAlign w:val="bottom"/>
          </w:tcPr>
          <w:p>
            <w:pPr>
              <w:spacing w:after="0"/>
              <w:rPr>
                <w:sz w:val="1"/>
                <w:szCs w:val="1"/>
                <w:color w:val="auto"/>
              </w:rPr>
            </w:pPr>
          </w:p>
        </w:tc>
      </w:tr>
      <w:tr>
        <w:trPr>
          <w:trHeight w:val="146"/>
        </w:trPr>
        <w:tc>
          <w:tcPr>
            <w:tcW w:w="264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4020" w:type="dxa"/>
            <w:vAlign w:val="bottom"/>
            <w:gridSpan w:val="8"/>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6"/>
        </w:trPr>
        <w:tc>
          <w:tcPr>
            <w:tcW w:w="252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7"/>
              </w:rPr>
              <w:t>PROSPECTUS SUPPLEMENT SUMMARY</w:t>
            </w:r>
          </w:p>
        </w:tc>
        <w:tc>
          <w:tcPr>
            <w:tcW w:w="4140" w:type="dxa"/>
            <w:vAlign w:val="bottom"/>
            <w:gridSpan w:val="10"/>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6"/>
        </w:trPr>
        <w:tc>
          <w:tcPr>
            <w:tcW w:w="980" w:type="dxa"/>
            <w:vAlign w:val="bottom"/>
            <w:tcBorders>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6"/>
              </w:rPr>
              <w:t>THE OFFERING</w:t>
            </w:r>
          </w:p>
        </w:tc>
        <w:tc>
          <w:tcPr>
            <w:tcW w:w="5680" w:type="dxa"/>
            <w:vAlign w:val="bottom"/>
            <w:gridSpan w:val="25"/>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FEES AND EXPENSES</w:t>
            </w: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400" w:type="dxa"/>
            <w:vAlign w:val="bottom"/>
            <w:tcBorders>
              <w:top w:val="single" w:sz="8" w:color="0000EE"/>
            </w:tcBorders>
            <w:gridSpan w:val="5"/>
          </w:tcPr>
          <w:p>
            <w:pPr>
              <w:spacing w:after="0"/>
              <w:rPr>
                <w:sz w:val="12"/>
                <w:szCs w:val="12"/>
                <w:color w:val="auto"/>
              </w:rPr>
            </w:pPr>
          </w:p>
        </w:tc>
        <w:tc>
          <w:tcPr>
            <w:tcW w:w="5300" w:type="dxa"/>
            <w:vAlign w:val="bottom"/>
            <w:gridSpan w:val="21"/>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420" w:type="dxa"/>
            <w:vAlign w:val="bottom"/>
            <w:gridSpan w:val="1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0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6"/>
              </w:rPr>
              <w:t>PRICE RANGE OF CAPITAL STOCK</w:t>
            </w:r>
          </w:p>
        </w:tc>
        <w:tc>
          <w:tcPr>
            <w:tcW w:w="4460" w:type="dxa"/>
            <w:vAlign w:val="bottom"/>
            <w:gridSpan w:val="1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6"/>
        </w:trPr>
        <w:tc>
          <w:tcPr>
            <w:tcW w:w="120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rPr>
              <w:t>CAPITALIZATION</w:t>
            </w:r>
          </w:p>
        </w:tc>
        <w:tc>
          <w:tcPr>
            <w:tcW w:w="5460" w:type="dxa"/>
            <w:vAlign w:val="bottom"/>
            <w:gridSpan w:val="2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UNDERWRITING</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S-16</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5540" w:type="dxa"/>
            <w:vAlign w:val="bottom"/>
            <w:gridSpan w:val="2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4"/>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2980" w:type="dxa"/>
            <w:vAlign w:val="bottom"/>
            <w:gridSpan w:val="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6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4500" w:type="dxa"/>
            <w:vAlign w:val="bottom"/>
            <w:gridSpan w:val="1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AVAILABLE INFORMATION</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509"/>
        </w:trPr>
        <w:tc>
          <w:tcPr>
            <w:tcW w:w="9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w w:val="99"/>
              </w:rPr>
              <w:t>PROSPECTUS</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w w:val="93"/>
              </w:rPr>
              <w:t>PROSPECTUS SUMMARY</w:t>
            </w:r>
          </w:p>
        </w:tc>
        <w:tc>
          <w:tcPr>
            <w:tcW w:w="5100" w:type="dxa"/>
            <w:vAlign w:val="bottom"/>
            <w:gridSpan w:val="19"/>
            <w:vMerge w:val="restart"/>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0"/>
        </w:trPr>
        <w:tc>
          <w:tcPr>
            <w:tcW w:w="1560" w:type="dxa"/>
            <w:vAlign w:val="bottom"/>
            <w:tcBorders>
              <w:bottom w:val="single" w:sz="8" w:color="0000EE"/>
            </w:tcBorders>
            <w:gridSpan w:val="8"/>
            <w:vMerge w:val="continue"/>
          </w:tcPr>
          <w:p>
            <w:pPr>
              <w:spacing w:after="0"/>
              <w:rPr>
                <w:sz w:val="9"/>
                <w:szCs w:val="9"/>
                <w:color w:val="auto"/>
              </w:rPr>
            </w:pPr>
          </w:p>
        </w:tc>
        <w:tc>
          <w:tcPr>
            <w:tcW w:w="5100" w:type="dxa"/>
            <w:vAlign w:val="bottom"/>
            <w:gridSpan w:val="19"/>
            <w:vMerge w:val="continue"/>
          </w:tcPr>
          <w:p>
            <w:pPr>
              <w:spacing w:after="0"/>
              <w:rPr>
                <w:sz w:val="9"/>
                <w:szCs w:val="9"/>
                <w:color w:val="auto"/>
              </w:rPr>
            </w:pPr>
          </w:p>
        </w:tc>
        <w:tc>
          <w:tcPr>
            <w:tcW w:w="1520" w:type="dxa"/>
            <w:vAlign w:val="bottom"/>
          </w:tcPr>
          <w:p>
            <w:pPr>
              <w:spacing w:after="0"/>
              <w:rPr>
                <w:sz w:val="9"/>
                <w:szCs w:val="9"/>
                <w:color w:val="auto"/>
              </w:rPr>
            </w:pPr>
          </w:p>
        </w:tc>
        <w:tc>
          <w:tcPr>
            <w:tcW w:w="2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660" w:type="dxa"/>
            <w:vAlign w:val="bottom"/>
            <w:gridSpan w:val="27"/>
          </w:tcPr>
          <w:p>
            <w:pPr>
              <w:spacing w:after="0" w:line="156" w:lineRule="exact"/>
              <w:rPr>
                <w:sz w:val="20"/>
                <w:szCs w:val="20"/>
                <w:color w:val="auto"/>
              </w:rPr>
            </w:pPr>
            <w:r>
              <w:rPr>
                <w:rFonts w:ascii="Times New Roman" w:cs="Times New Roman" w:eastAsia="Times New Roman" w:hAnsi="Times New Roman"/>
                <w:sz w:val="14"/>
                <w:szCs w:val="14"/>
                <w:color w:val="0000EE"/>
              </w:rPr>
              <w:t>FEES AND EXPENSES</w:t>
            </w:r>
          </w:p>
        </w:tc>
        <w:tc>
          <w:tcPr>
            <w:tcW w:w="1780" w:type="dxa"/>
            <w:vAlign w:val="bottom"/>
            <w:gridSpan w:val="3"/>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FINANCIAL HIGHLIGHTS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600" w:type="dxa"/>
            <w:vAlign w:val="bottom"/>
            <w:tcBorders>
              <w:top w:val="single" w:sz="8" w:color="0000EE"/>
            </w:tcBorders>
            <w:gridSpan w:val="7"/>
          </w:tcPr>
          <w:p>
            <w:pPr>
              <w:spacing w:after="0"/>
              <w:rPr>
                <w:sz w:val="12"/>
                <w:szCs w:val="12"/>
                <w:color w:val="auto"/>
              </w:rPr>
            </w:pPr>
          </w:p>
        </w:tc>
        <w:tc>
          <w:tcPr>
            <w:tcW w:w="5100" w:type="dxa"/>
            <w:vAlign w:val="bottom"/>
            <w:gridSpan w:val="19"/>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420" w:type="dxa"/>
            <w:vAlign w:val="bottom"/>
            <w:gridSpan w:val="1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60" w:type="dxa"/>
            <w:vAlign w:val="bottom"/>
            <w:tcBorders>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8"/>
              </w:rPr>
              <w:t>SENIOR SECURITIES</w:t>
            </w:r>
          </w:p>
        </w:tc>
        <w:tc>
          <w:tcPr>
            <w:tcW w:w="5300" w:type="dxa"/>
            <w:vAlign w:val="bottom"/>
            <w:gridSpan w:val="21"/>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60" w:type="dxa"/>
            <w:vAlign w:val="bottom"/>
            <w:tcBorders>
              <w:bottom w:val="single" w:sz="8" w:color="0000EE"/>
            </w:tcBorders>
            <w:gridSpan w:val="23"/>
          </w:tcPr>
          <w:p>
            <w:pPr>
              <w:spacing w:after="0" w:line="146" w:lineRule="exact"/>
              <w:rPr>
                <w:sz w:val="20"/>
                <w:szCs w:val="20"/>
                <w:color w:val="auto"/>
              </w:rPr>
            </w:pPr>
            <w:r>
              <w:rPr>
                <w:rFonts w:ascii="Times New Roman" w:cs="Times New Roman" w:eastAsia="Times New Roman" w:hAnsi="Times New Roman"/>
                <w:sz w:val="14"/>
                <w:szCs w:val="14"/>
                <w:color w:val="0000EE"/>
                <w:w w:val="97"/>
              </w:rPr>
              <w:t>SALES OF COMMON STOCK BELOW NET ASSET VALUE</w:t>
            </w:r>
          </w:p>
        </w:tc>
        <w:tc>
          <w:tcPr>
            <w:tcW w:w="3100" w:type="dxa"/>
            <w:vAlign w:val="bottom"/>
            <w:gridSpan w:val="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1060" w:type="dxa"/>
            <w:vAlign w:val="bottom"/>
            <w:tcBorders>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6"/>
              </w:rPr>
              <w:t>DISTRIBUTIONS</w:t>
            </w:r>
          </w:p>
        </w:tc>
        <w:tc>
          <w:tcPr>
            <w:tcW w:w="5600" w:type="dxa"/>
            <w:vAlign w:val="bottom"/>
            <w:gridSpan w:val="2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PORTFOLIO COMPANIES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6"/>
              </w:rPr>
              <w:t>PORTFOLIO MANAGEMENT</w:t>
            </w:r>
          </w:p>
        </w:tc>
        <w:tc>
          <w:tcPr>
            <w:tcW w:w="4880" w:type="dxa"/>
            <w:vAlign w:val="bottom"/>
            <w:gridSpan w:val="16"/>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2580" w:type="dxa"/>
            <w:vAlign w:val="bottom"/>
            <w:tcBorders>
              <w:bottom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w w:val="96"/>
              </w:rPr>
              <w:t>DETERMINATION OF NET ASSET VALUE</w:t>
            </w:r>
          </w:p>
        </w:tc>
        <w:tc>
          <w:tcPr>
            <w:tcW w:w="4080" w:type="dxa"/>
            <w:vAlign w:val="bottom"/>
            <w:gridSpan w:val="9"/>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tcBorders>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OUR PREFERRED STOCK</w:t>
            </w:r>
          </w:p>
        </w:tc>
        <w:tc>
          <w:tcPr>
            <w:tcW w:w="3920" w:type="dxa"/>
            <w:vAlign w:val="bottom"/>
            <w:gridSpan w:val="7"/>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6"/>
        </w:trPr>
        <w:tc>
          <w:tcPr>
            <w:tcW w:w="2980" w:type="dxa"/>
            <w:vAlign w:val="bottom"/>
            <w:tcBorders>
              <w:top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3680" w:type="dxa"/>
            <w:vAlign w:val="bottom"/>
            <w:gridSpan w:val="6"/>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4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7"/>
              </w:rPr>
              <w:t>BROKERAGE ALLOCATIONS AND OTHER PRACTICES</w:t>
            </w:r>
          </w:p>
        </w:tc>
        <w:tc>
          <w:tcPr>
            <w:tcW w:w="3220" w:type="dxa"/>
            <w:vAlign w:val="bottom"/>
            <w:gridSpan w:val="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6"/>
        </w:trPr>
        <w:tc>
          <w:tcPr>
            <w:tcW w:w="3740" w:type="dxa"/>
            <w:vAlign w:val="bottom"/>
            <w:tcBorders>
              <w:bottom w:val="single" w:sz="8" w:color="0000EE"/>
            </w:tcBorders>
            <w:gridSpan w:val="25"/>
          </w:tcPr>
          <w:p>
            <w:pPr>
              <w:spacing w:after="0" w:line="146" w:lineRule="exact"/>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2920" w:type="dxa"/>
            <w:vAlign w:val="bottom"/>
            <w:gridSpan w:val="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Borders>
              <w:bottom w:val="single" w:sz="8" w:color="0000EE"/>
            </w:tcBorders>
            <w:gridSpan w:val="26"/>
          </w:tcPr>
          <w:p>
            <w:pPr>
              <w:spacing w:after="0" w:line="146" w:lineRule="exact"/>
              <w:rPr>
                <w:sz w:val="20"/>
                <w:szCs w:val="20"/>
                <w:color w:val="auto"/>
              </w:rPr>
            </w:pPr>
            <w:r>
              <w:rPr>
                <w:rFonts w:ascii="Times New Roman" w:cs="Times New Roman" w:eastAsia="Times New Roman" w:hAnsi="Times New Roman"/>
                <w:sz w:val="14"/>
                <w:szCs w:val="14"/>
                <w:color w:val="0000EE"/>
                <w:w w:val="97"/>
              </w:rPr>
              <w:t>SUB-ADMINISTRATOR, CUSTODIAN, TRANSFER AGENT AND TRUSTEE</w:t>
            </w:r>
          </w:p>
        </w:tc>
        <w:tc>
          <w:tcPr>
            <w:tcW w:w="2100" w:type="dxa"/>
            <w:vAlign w:val="bottom"/>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11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5540" w:type="dxa"/>
            <w:vAlign w:val="bottom"/>
            <w:gridSpan w:val="2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4"/>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2980" w:type="dxa"/>
            <w:vAlign w:val="bottom"/>
            <w:gridSpan w:val="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168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2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6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4500" w:type="dxa"/>
            <w:vAlign w:val="bottom"/>
            <w:gridSpan w:val="1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4"/>
              </w:rPr>
              <w:t>AVAILABLE INFORMATION</w:t>
            </w:r>
          </w:p>
        </w:tc>
        <w:tc>
          <w:tcPr>
            <w:tcW w:w="4920" w:type="dxa"/>
            <w:vAlign w:val="bottom"/>
            <w:gridSpan w:val="17"/>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3" w:lineRule="exact"/>
        <w:rPr>
          <w:sz w:val="20"/>
          <w:szCs w:val="20"/>
          <w:color w:val="auto"/>
        </w:rPr>
      </w:pPr>
    </w:p>
    <w:p>
      <w:pPr>
        <w:ind w:left="1420" w:right="339"/>
        <w:spacing w:after="0" w:line="250"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44" w:lineRule="exact"/>
        <w:rPr>
          <w:sz w:val="20"/>
          <w:szCs w:val="20"/>
          <w:color w:val="auto"/>
        </w:rPr>
      </w:pPr>
    </w:p>
    <w:p>
      <w:pPr>
        <w:ind w:left="1420" w:right="339"/>
        <w:spacing w:after="0" w:line="269"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608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9085" cy="4608830"/>
                    </a:xfrm>
                    <a:prstGeom prst="rect">
                      <a:avLst/>
                    </a:prstGeom>
                    <a:noFill/>
                  </pic:spPr>
                </pic:pic>
              </a:graphicData>
            </a:graphic>
          </wp:anchor>
        </w:drawing>
      </w:r>
    </w:p>
    <w:p>
      <w:pPr>
        <w:spacing w:after="0" w:line="3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1" w:lineRule="exact"/>
        <w:rPr>
          <w:sz w:val="20"/>
          <w:szCs w:val="20"/>
          <w:color w:val="auto"/>
        </w:rPr>
      </w:pPr>
    </w:p>
    <w:p>
      <w:pPr>
        <w:ind w:left="1560" w:right="439"/>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44" w:lineRule="exact"/>
        <w:rPr>
          <w:sz w:val="20"/>
          <w:szCs w:val="20"/>
          <w:color w:val="auto"/>
        </w:rPr>
      </w:pPr>
    </w:p>
    <w:p>
      <w:pPr>
        <w:ind w:left="1560" w:right="459"/>
        <w:spacing w:after="0" w:line="268" w:lineRule="auto"/>
        <w:rPr>
          <w:sz w:val="20"/>
          <w:szCs w:val="20"/>
          <w:color w:val="auto"/>
        </w:rPr>
      </w:pPr>
      <w:r>
        <w:rPr>
          <w:rFonts w:ascii="Times New Roman" w:cs="Times New Roman" w:eastAsia="Times New Roman" w:hAnsi="Times New Roman"/>
          <w:sz w:val="13"/>
          <w:szCs w:val="13"/>
          <w:i w:val="1"/>
          <w:iCs w:val="1"/>
          <w:color w:val="auto"/>
        </w:rPr>
        <w:t>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3" w:lineRule="exact"/>
        <w:rPr>
          <w:sz w:val="20"/>
          <w:szCs w:val="20"/>
          <w:color w:val="auto"/>
        </w:rPr>
      </w:pPr>
    </w:p>
    <w:p>
      <w:pPr>
        <w:jc w:val="both"/>
        <w:ind w:left="1560" w:right="959" w:hanging="7"/>
        <w:spacing w:after="0" w:line="251" w:lineRule="auto"/>
        <w:tabs>
          <w:tab w:leader="none" w:pos="1763"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borrowing of the Class A-1 Senior Secured Floating Rate Notes due 2031 by the Securitization Issuers in connection with the Debt Securitization. References to our portfolio, our investments, the Credit Facility and our business include investments we make through our subsidiaries.</w:t>
      </w:r>
    </w:p>
    <w:p>
      <w:pPr>
        <w:spacing w:after="0" w:line="2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General Business of PennantPark Floating Rate Capital Ltd.</w:t>
      </w:r>
    </w:p>
    <w:p>
      <w:pPr>
        <w:spacing w:after="0" w:line="90" w:lineRule="exact"/>
        <w:rPr>
          <w:sz w:val="20"/>
          <w:szCs w:val="20"/>
          <w:color w:val="auto"/>
        </w:rPr>
      </w:pPr>
    </w:p>
    <w:p>
      <w:pPr>
        <w:ind w:left="1560" w:right="619"/>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26" w:lineRule="exact"/>
        <w:rPr>
          <w:sz w:val="20"/>
          <w:szCs w:val="20"/>
          <w:color w:val="auto"/>
        </w:rPr>
      </w:pPr>
    </w:p>
    <w:p>
      <w:pPr>
        <w:ind w:left="1560" w:right="599"/>
        <w:spacing w:after="0" w:line="252"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292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9085" cy="4292600"/>
                    </a:xfrm>
                    <a:prstGeom prst="rect">
                      <a:avLst/>
                    </a:prstGeom>
                    <a:noFill/>
                  </pic:spPr>
                </pic:pic>
              </a:graphicData>
            </a:graphic>
          </wp:anchor>
        </w:drawing>
      </w:r>
    </w:p>
    <w:p>
      <w:pPr>
        <w:spacing w:after="0" w:line="360" w:lineRule="exact"/>
        <w:rPr>
          <w:sz w:val="20"/>
          <w:szCs w:val="20"/>
          <w:color w:val="auto"/>
        </w:rPr>
      </w:pPr>
    </w:p>
    <w:p>
      <w:pPr>
        <w:ind w:left="1560" w:right="539"/>
        <w:spacing w:after="0" w:line="262" w:lineRule="auto"/>
        <w:rPr>
          <w:sz w:val="20"/>
          <w:szCs w:val="20"/>
          <w:color w:val="auto"/>
        </w:rPr>
      </w:pPr>
      <w:r>
        <w:rPr>
          <w:rFonts w:ascii="Times New Roman" w:cs="Times New Roman" w:eastAsia="Times New Roman" w:hAnsi="Times New Roman"/>
          <w:sz w:val="14"/>
          <w:szCs w:val="14"/>
          <w:color w:val="auto"/>
        </w:rPr>
        <w:t>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6" w:lineRule="exact"/>
        <w:rPr>
          <w:sz w:val="20"/>
          <w:szCs w:val="20"/>
          <w:color w:val="auto"/>
        </w:rPr>
      </w:pPr>
    </w:p>
    <w:p>
      <w:pPr>
        <w:ind w:left="1560" w:right="459"/>
        <w:spacing w:after="0" w:line="253"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43" w:lineRule="exact"/>
        <w:rPr>
          <w:sz w:val="20"/>
          <w:szCs w:val="20"/>
          <w:color w:val="auto"/>
        </w:rPr>
      </w:pPr>
    </w:p>
    <w:p>
      <w:pPr>
        <w:ind w:left="1560" w:right="499"/>
        <w:spacing w:after="0" w:line="257"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Organization and Structure of PennantPark Floating Rate Capital Ltd.</w:t>
      </w:r>
    </w:p>
    <w:p>
      <w:pPr>
        <w:spacing w:after="0" w:line="90" w:lineRule="exact"/>
        <w:rPr>
          <w:sz w:val="20"/>
          <w:szCs w:val="20"/>
          <w:color w:val="auto"/>
        </w:rPr>
      </w:pPr>
    </w:p>
    <w:p>
      <w:pPr>
        <w:ind w:left="1560" w:right="479"/>
        <w:spacing w:after="0" w:line="26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6" w:lineRule="exact"/>
        <w:rPr>
          <w:sz w:val="20"/>
          <w:szCs w:val="20"/>
          <w:color w:val="auto"/>
        </w:rPr>
      </w:pPr>
    </w:p>
    <w:p>
      <w:pPr>
        <w:ind w:left="1560" w:right="499"/>
        <w:spacing w:after="0" w:line="251" w:lineRule="auto"/>
        <w:rPr>
          <w:sz w:val="20"/>
          <w:szCs w:val="20"/>
          <w:color w:val="auto"/>
        </w:rPr>
      </w:pPr>
      <w:r>
        <w:rPr>
          <w:rFonts w:ascii="Times New Roman" w:cs="Times New Roman" w:eastAsia="Times New Roman" w:hAnsi="Times New Roman"/>
          <w:sz w:val="14"/>
          <w:szCs w:val="14"/>
          <w:color w:val="auto"/>
        </w:rPr>
        <w:t>We have entered into an investment advisory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44" w:lineRule="exact"/>
        <w:rPr>
          <w:sz w:val="20"/>
          <w:szCs w:val="20"/>
          <w:color w:val="auto"/>
        </w:rPr>
      </w:pPr>
    </w:p>
    <w:p>
      <w:pPr>
        <w:jc w:val="both"/>
        <w:ind w:left="1560" w:right="599"/>
        <w:spacing w:after="0" w:line="262" w:lineRule="auto"/>
        <w:rPr>
          <w:sz w:val="20"/>
          <w:szCs w:val="20"/>
          <w:color w:val="auto"/>
        </w:rPr>
      </w:pPr>
      <w:r>
        <w:rPr>
          <w:rFonts w:ascii="Times New Roman" w:cs="Times New Roman" w:eastAsia="Times New Roman" w:hAnsi="Times New Roman"/>
          <w:sz w:val="14"/>
          <w:szCs w:val="14"/>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$366 million. The Credit Facility is secured by all of the assets of Funding I.</w:t>
      </w:r>
    </w:p>
    <w:p>
      <w:pPr>
        <w:spacing w:after="0" w:line="136" w:lineRule="exact"/>
        <w:rPr>
          <w:sz w:val="20"/>
          <w:szCs w:val="20"/>
          <w:color w:val="auto"/>
        </w:rPr>
      </w:pPr>
    </w:p>
    <w:p>
      <w:pPr>
        <w:ind w:left="1560" w:right="579"/>
        <w:spacing w:after="0" w:line="26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464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9085" cy="4464050"/>
                    </a:xfrm>
                    <a:prstGeom prst="rect">
                      <a:avLst/>
                    </a:prstGeom>
                    <a:noFill/>
                  </pic:spPr>
                </pic:pic>
              </a:graphicData>
            </a:graphic>
          </wp:anchor>
        </w:drawing>
      </w:r>
    </w:p>
    <w:p>
      <w:pPr>
        <w:spacing w:after="0" w:line="3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Our Investment Adviser and Administrator</w:t>
      </w:r>
    </w:p>
    <w:p>
      <w:pPr>
        <w:spacing w:after="0" w:line="90" w:lineRule="exact"/>
        <w:rPr>
          <w:sz w:val="20"/>
          <w:szCs w:val="20"/>
          <w:color w:val="auto"/>
        </w:rPr>
      </w:pPr>
    </w:p>
    <w:p>
      <w:pPr>
        <w:ind w:left="1560" w:right="439"/>
        <w:spacing w:after="0" w:line="250"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 as of September 30, 2022.</w:t>
      </w:r>
    </w:p>
    <w:p>
      <w:pPr>
        <w:spacing w:after="0" w:line="148" w:lineRule="exact"/>
        <w:rPr>
          <w:sz w:val="20"/>
          <w:szCs w:val="20"/>
          <w:color w:val="auto"/>
        </w:rPr>
      </w:pPr>
    </w:p>
    <w:p>
      <w:pPr>
        <w:ind w:left="1560" w:right="459"/>
        <w:spacing w:after="0" w:line="251"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4"/>
          <w:szCs w:val="14"/>
          <w:i w:val="1"/>
          <w:iCs w:val="1"/>
          <w:color w:val="auto"/>
        </w:rPr>
        <w:t>Risk Factors—Risks Relating to our Business and Structure—There are significant potential conflicts of interest which could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impact our investment returns</w:t>
      </w:r>
      <w:r>
        <w:rPr>
          <w:rFonts w:ascii="Times New Roman" w:cs="Times New Roman" w:eastAsia="Times New Roman" w:hAnsi="Times New Roman"/>
          <w:sz w:val="14"/>
          <w:szCs w:val="14"/>
          <w:color w:val="auto"/>
        </w:rPr>
        <w:t>” in our most recent Annual Report on Form 10-K for more information.</w:t>
      </w:r>
    </w:p>
    <w:p>
      <w:pPr>
        <w:spacing w:after="0" w:line="2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0" w:lineRule="exact"/>
        <w:rPr>
          <w:sz w:val="20"/>
          <w:szCs w:val="20"/>
          <w:color w:val="auto"/>
        </w:rPr>
      </w:pPr>
    </w:p>
    <w:p>
      <w:pPr>
        <w:ind w:left="1560" w:right="459"/>
        <w:spacing w:after="0" w:line="252"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1691 Michigan Avenue, Miami Beach, FL 33139. Our common stock is quoted on the NYSE and the TASE under the symbol “PFLT.” Our phone number is (786) 297-9500,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issuers that file electronically with the SEC.</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On January 23, 2023, we announced certain preliminary estimates of our financial results for the quarter ended December 31, 2022.</w:t>
      </w:r>
    </w:p>
    <w:p>
      <w:pPr>
        <w:spacing w:after="0" w:line="98" w:lineRule="exact"/>
        <w:rPr>
          <w:sz w:val="20"/>
          <w:szCs w:val="20"/>
          <w:color w:val="auto"/>
        </w:rPr>
      </w:pPr>
    </w:p>
    <w:p>
      <w:pPr>
        <w:ind w:left="2260" w:right="619" w:hanging="302"/>
        <w:spacing w:after="0" w:line="277"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asset value per share is estimated to be between $11.25 and $11.33 per share as of December 31, 2022. This compares to GAAP net asset value per share of $11.62 as of September 30, 2022.</w:t>
      </w:r>
    </w:p>
    <w:p>
      <w:pPr>
        <w:spacing w:after="0" w:line="53" w:lineRule="exact"/>
        <w:rPr>
          <w:rFonts w:ascii="Times New Roman" w:cs="Times New Roman" w:eastAsia="Times New Roman" w:hAnsi="Times New Roman"/>
          <w:sz w:val="14"/>
          <w:szCs w:val="14"/>
          <w:color w:val="auto"/>
        </w:rPr>
      </w:pPr>
    </w:p>
    <w:p>
      <w:pPr>
        <w:ind w:left="2260" w:right="499" w:hanging="302"/>
        <w:spacing w:after="0" w:line="262"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asset value per share is estimated to be between $11.17 and $11.25 per share as of December 31, 2022. This compares to adjusted net asset value per share of $11.59 as of September 30, 2022. Adjusted net asset value per share is a non-GAAP financial measure. We believe that this</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2633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9085" cy="2633345"/>
                    </a:xfrm>
                    <a:prstGeom prst="rect">
                      <a:avLst/>
                    </a:prstGeom>
                    <a:noFill/>
                  </pic:spPr>
                </pic:pic>
              </a:graphicData>
            </a:graphic>
          </wp:anchor>
        </w:drawing>
      </w:r>
    </w:p>
    <w:p>
      <w:pPr>
        <w:spacing w:after="0" w:line="360" w:lineRule="exact"/>
        <w:rPr>
          <w:sz w:val="20"/>
          <w:szCs w:val="20"/>
          <w:color w:val="auto"/>
        </w:rPr>
      </w:pPr>
    </w:p>
    <w:p>
      <w:pPr>
        <w:ind w:left="2280" w:right="499"/>
        <w:spacing w:after="0" w:line="257" w:lineRule="auto"/>
        <w:rPr>
          <w:sz w:val="20"/>
          <w:szCs w:val="20"/>
          <w:color w:val="auto"/>
        </w:rPr>
      </w:pPr>
      <w:r>
        <w:rPr>
          <w:rFonts w:ascii="Times New Roman" w:cs="Times New Roman" w:eastAsia="Times New Roman" w:hAnsi="Times New Roman"/>
          <w:sz w:val="14"/>
          <w:szCs w:val="14"/>
          <w:color w:val="auto"/>
        </w:rPr>
        <w:t>number provides useful information to investors and management because it reflects our financial performance, excluding the impact of the $3.9 million, or $0.09 per share, and $1.5 million, or $0.03 per share, unrealized loss on the Credit Facility and the 2023 Notes, as of December 31, 2022 and September 30, 2022, respectively. The presentation of this additional information is not meant to be considered in isolation or as a substitute for financial results prepared in accordance with GAAP.</w:t>
      </w:r>
    </w:p>
    <w:p>
      <w:pPr>
        <w:spacing w:after="0" w:line="67" w:lineRule="exact"/>
        <w:rPr>
          <w:sz w:val="20"/>
          <w:szCs w:val="20"/>
          <w:color w:val="auto"/>
        </w:rPr>
      </w:pPr>
    </w:p>
    <w:p>
      <w:pPr>
        <w:ind w:left="2260" w:right="459" w:hanging="302"/>
        <w:spacing w:after="0" w:line="277" w:lineRule="auto"/>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investment income is estimated to be between $0.29 and $0.31 per share for the quarter ended December 31, 2022. This compares to net investment income of $0.29 per share for the quarter ended September 30, 2022.</w:t>
      </w:r>
    </w:p>
    <w:p>
      <w:pPr>
        <w:spacing w:after="0" w:line="53" w:lineRule="exact"/>
        <w:rPr>
          <w:rFonts w:ascii="Times New Roman" w:cs="Times New Roman" w:eastAsia="Times New Roman" w:hAnsi="Times New Roman"/>
          <w:sz w:val="14"/>
          <w:szCs w:val="14"/>
          <w:color w:val="auto"/>
        </w:rPr>
      </w:pPr>
    </w:p>
    <w:p>
      <w:pPr>
        <w:ind w:left="2260" w:hanging="30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loans were on non-accrual status as of December 31, 2022.</w:t>
      </w:r>
    </w:p>
    <w:p>
      <w:pPr>
        <w:spacing w:after="0" w:line="98" w:lineRule="exact"/>
        <w:rPr>
          <w:rFonts w:ascii="Times New Roman" w:cs="Times New Roman" w:eastAsia="Times New Roman" w:hAnsi="Times New Roman"/>
          <w:sz w:val="14"/>
          <w:szCs w:val="14"/>
          <w:color w:val="auto"/>
        </w:rPr>
      </w:pPr>
    </w:p>
    <w:p>
      <w:pPr>
        <w:ind w:left="2260" w:right="559" w:hanging="302"/>
        <w:spacing w:after="0" w:line="262" w:lineRule="auto"/>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at cost, we had approximately $199.7 million of borrowings outstanding under our Credit Facility, approximately $76.2 million in aggregate principal amount of 2023 Notes outstanding, $185.0 million in aggregate principal amount of 2026 Notes outstanding and $228.0 million in aggregate principal amount of 2031 Asset-Backed Debt.</w:t>
      </w:r>
    </w:p>
    <w:p>
      <w:pPr>
        <w:spacing w:after="0" w:line="63" w:lineRule="exact"/>
        <w:rPr>
          <w:rFonts w:ascii="Times New Roman" w:cs="Times New Roman" w:eastAsia="Times New Roman" w:hAnsi="Times New Roman"/>
          <w:sz w:val="14"/>
          <w:szCs w:val="14"/>
          <w:color w:val="auto"/>
        </w:rPr>
      </w:pPr>
    </w:p>
    <w:p>
      <w:pPr>
        <w:ind w:left="2260" w:hanging="30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we had approximately $52.9 million in cash and cash equivalents.</w:t>
      </w:r>
    </w:p>
    <w:p>
      <w:pPr>
        <w:spacing w:after="0" w:line="171" w:lineRule="exact"/>
        <w:rPr>
          <w:sz w:val="20"/>
          <w:szCs w:val="20"/>
          <w:color w:val="auto"/>
        </w:rPr>
      </w:pPr>
    </w:p>
    <w:p>
      <w:pPr>
        <w:ind w:left="1560" w:right="459"/>
        <w:spacing w:after="0" w:line="254" w:lineRule="auto"/>
        <w:rPr>
          <w:sz w:val="20"/>
          <w:szCs w:val="20"/>
          <w:color w:val="auto"/>
        </w:rPr>
      </w:pPr>
      <w:r>
        <w:rPr>
          <w:rFonts w:ascii="Times New Roman" w:cs="Times New Roman" w:eastAsia="Times New Roman" w:hAnsi="Times New Roman"/>
          <w:sz w:val="14"/>
          <w:szCs w:val="14"/>
          <w:color w:val="auto"/>
        </w:rPr>
        <w:t>These estimates are subject to the completion of our financial closing procedures and are not a comprehensive statement of our financial position, results of operations or cash flows for the quarter ended December 31, 2022. Final results may differ materially from these estimates as a result of the completion of our financial closing procedures, as well as any subsequent events, including the discovery of information affecting fair values of our portfolio investments as of December 31, 2022, arising between the date hereof and the completion of our financial statements and the filing of our Form 10-Q for the quarter then ended.</w:t>
      </w:r>
    </w:p>
    <w:p>
      <w:pPr>
        <w:spacing w:after="0" w:line="144" w:lineRule="exact"/>
        <w:rPr>
          <w:sz w:val="20"/>
          <w:szCs w:val="20"/>
          <w:color w:val="auto"/>
        </w:rPr>
      </w:pPr>
    </w:p>
    <w:p>
      <w:pPr>
        <w:ind w:left="1560" w:right="439"/>
        <w:spacing w:after="0" w:line="291" w:lineRule="auto"/>
        <w:rPr>
          <w:sz w:val="20"/>
          <w:szCs w:val="20"/>
          <w:color w:val="auto"/>
        </w:rPr>
      </w:pPr>
      <w:r>
        <w:rPr>
          <w:rFonts w:ascii="Times New Roman" w:cs="Times New Roman" w:eastAsia="Times New Roman" w:hAnsi="Times New Roman"/>
          <w:sz w:val="13"/>
          <w:szCs w:val="13"/>
          <w:color w:val="auto"/>
        </w:rPr>
        <w:t>The preliminary financial estimates provided herein have been prepared by, and are the responsibility of our management. RSM US LLP, our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655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9085" cy="4655185"/>
                    </a:xfrm>
                    <a:prstGeom prst="rect">
                      <a:avLst/>
                    </a:prstGeom>
                    <a:noFill/>
                  </pic:spPr>
                </pic:pic>
              </a:graphicData>
            </a:graphic>
          </wp:anchor>
        </w:drawing>
      </w:r>
    </w:p>
    <w:p>
      <w:pPr>
        <w:spacing w:after="0" w:line="3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42" w:lineRule="exact"/>
        <w:rPr>
          <w:sz w:val="20"/>
          <w:szCs w:val="20"/>
          <w:color w:val="auto"/>
        </w:rPr>
      </w:pPr>
    </w:p>
    <w:p>
      <w:pPr>
        <w:ind w:left="1560" w:right="439"/>
        <w:spacing w:after="0" w:line="317" w:lineRule="auto"/>
        <w:rPr>
          <w:sz w:val="20"/>
          <w:szCs w:val="20"/>
          <w:color w:val="auto"/>
        </w:rPr>
      </w:pPr>
      <w:r>
        <w:rPr>
          <w:rFonts w:ascii="Times New Roman" w:cs="Times New Roman" w:eastAsia="Times New Roman" w:hAnsi="Times New Roman"/>
          <w:sz w:val="13"/>
          <w:szCs w:val="13"/>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w:t>
      </w:r>
    </w:p>
    <w:p>
      <w:pPr>
        <w:spacing w:after="0" w:line="92" w:lineRule="exact"/>
        <w:rPr>
          <w:sz w:val="20"/>
          <w:szCs w:val="20"/>
          <w:color w:val="auto"/>
        </w:rPr>
      </w:pPr>
    </w:p>
    <w:tbl>
      <w:tblPr>
        <w:tblLayout w:type="fixed"/>
        <w:tblInd w:w="1560" w:type="dxa"/>
        <w:tblCellMar>
          <w:top w:w="0" w:type="dxa"/>
          <w:left w:w="0" w:type="dxa"/>
          <w:bottom w:w="0" w:type="dxa"/>
          <w:right w:w="0" w:type="dxa"/>
        </w:tblCellMar>
      </w:tblPr>
      <w:tr>
        <w:trPr>
          <w:trHeight w:val="166"/>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offered by the Company</w:t>
            </w: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w w:val="99"/>
              </w:rPr>
              <w:t>4,250,000 shares (or 4,887,500 shares if the underwriters exercise their option to purchase</w:t>
            </w:r>
          </w:p>
        </w:tc>
      </w:tr>
      <w:tr>
        <w:trPr>
          <w:trHeight w:val="181"/>
        </w:trPr>
        <w:tc>
          <w:tcPr>
            <w:tcW w:w="294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additional shares in full)</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1"/>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outstanding prior to this offering</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45,431,815 shares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outstanding following this offering</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49,681,815 shares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7"/>
        </w:trPr>
        <w:tc>
          <w:tcPr>
            <w:tcW w:w="2940" w:type="dxa"/>
            <w:vAlign w:val="bottom"/>
          </w:tcPr>
          <w:p>
            <w:pPr>
              <w:spacing w:after="0"/>
              <w:rPr>
                <w:sz w:val="24"/>
                <w:szCs w:val="24"/>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The number of shares outstanding after the offering assumes the underwriters’ option to</w:t>
            </w:r>
          </w:p>
        </w:tc>
      </w:tr>
      <w:tr>
        <w:trPr>
          <w:trHeight w:val="166"/>
        </w:trPr>
        <w:tc>
          <w:tcPr>
            <w:tcW w:w="2940" w:type="dxa"/>
            <w:vAlign w:val="bottom"/>
          </w:tcPr>
          <w:p>
            <w:pPr>
              <w:spacing w:after="0"/>
              <w:rPr>
                <w:sz w:val="14"/>
                <w:szCs w:val="14"/>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purchase additional shares is not exercised. If the option to purchase additional shares is</w:t>
            </w:r>
          </w:p>
        </w:tc>
      </w:tr>
      <w:tr>
        <w:trPr>
          <w:trHeight w:val="166"/>
        </w:trPr>
        <w:tc>
          <w:tcPr>
            <w:tcW w:w="2940" w:type="dxa"/>
            <w:vAlign w:val="bottom"/>
          </w:tcPr>
          <w:p>
            <w:pPr>
              <w:spacing w:after="0"/>
              <w:rPr>
                <w:sz w:val="14"/>
                <w:szCs w:val="14"/>
                <w:color w:val="auto"/>
              </w:rPr>
            </w:pPr>
          </w:p>
        </w:tc>
        <w:tc>
          <w:tcPr>
            <w:tcW w:w="49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w w:val="99"/>
              </w:rPr>
              <w:t>exercised in full, we will issue an additional 637,500 shares and will have 50,319,315</w:t>
            </w:r>
          </w:p>
        </w:tc>
        <w:tc>
          <w:tcPr>
            <w:tcW w:w="240" w:type="dxa"/>
            <w:vAlign w:val="bottom"/>
          </w:tcPr>
          <w:p>
            <w:pPr>
              <w:spacing w:after="0"/>
              <w:rPr>
                <w:sz w:val="14"/>
                <w:szCs w:val="14"/>
                <w:color w:val="auto"/>
              </w:rPr>
            </w:pPr>
          </w:p>
        </w:tc>
      </w:tr>
      <w:tr>
        <w:trPr>
          <w:trHeight w:val="181"/>
        </w:trPr>
        <w:tc>
          <w:tcPr>
            <w:tcW w:w="2940" w:type="dxa"/>
            <w:vAlign w:val="bottom"/>
          </w:tcPr>
          <w:p>
            <w:pPr>
              <w:spacing w:after="0"/>
              <w:rPr>
                <w:sz w:val="15"/>
                <w:szCs w:val="15"/>
                <w:color w:val="auto"/>
              </w:rPr>
            </w:pPr>
          </w:p>
        </w:tc>
        <w:tc>
          <w:tcPr>
            <w:tcW w:w="284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shares outstanding after the offering.</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1"/>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NYSE symbol</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“PFLT”</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7"/>
        </w:trPr>
        <w:tc>
          <w:tcPr>
            <w:tcW w:w="2940" w:type="dxa"/>
            <w:vAlign w:val="bottom"/>
          </w:tcPr>
          <w:p>
            <w:pPr>
              <w:spacing w:after="0"/>
              <w:rPr>
                <w:sz w:val="24"/>
                <w:szCs w:val="24"/>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w w:val="97"/>
              </w:rPr>
              <w:t>Common stock issued in this offering will be dual listed on the NYSE and the TASE under</w:t>
            </w:r>
          </w:p>
        </w:tc>
      </w:tr>
      <w:tr>
        <w:trPr>
          <w:trHeight w:val="181"/>
        </w:trPr>
        <w:tc>
          <w:tcPr>
            <w:tcW w:w="294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the symbol “PFLT”.</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06"/>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49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w w:val="98"/>
              </w:rPr>
              <w:t>We estimate that the net proceeds we receive from this offering will be approximately</w:t>
            </w:r>
          </w:p>
        </w:tc>
        <w:tc>
          <w:tcPr>
            <w:tcW w:w="24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(or approximately $</w:t>
            </w:r>
          </w:p>
        </w:tc>
        <w:tc>
          <w:tcPr>
            <w:tcW w:w="318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if the underwriters fully exercise their option to</w:t>
            </w:r>
          </w:p>
        </w:tc>
      </w:tr>
      <w:tr>
        <w:trPr>
          <w:trHeight w:val="166"/>
        </w:trPr>
        <w:tc>
          <w:tcPr>
            <w:tcW w:w="2940" w:type="dxa"/>
            <w:vAlign w:val="bottom"/>
          </w:tcPr>
          <w:p>
            <w:pPr>
              <w:spacing w:after="0"/>
              <w:rPr>
                <w:sz w:val="14"/>
                <w:szCs w:val="14"/>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purchase additional shares), after deducting underwriting discounts and commissions of</w:t>
            </w:r>
          </w:p>
        </w:tc>
      </w:tr>
      <w:tr>
        <w:trPr>
          <w:trHeight w:val="166"/>
        </w:trPr>
        <w:tc>
          <w:tcPr>
            <w:tcW w:w="294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approximately $</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 approximately $</w:t>
            </w:r>
          </w:p>
        </w:tc>
        <w:tc>
          <w:tcPr>
            <w:tcW w:w="23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if the underwriters fully exercise</w:t>
            </w:r>
          </w:p>
        </w:tc>
      </w:tr>
      <w:tr>
        <w:trPr>
          <w:trHeight w:val="166"/>
        </w:trPr>
        <w:tc>
          <w:tcPr>
            <w:tcW w:w="2940" w:type="dxa"/>
            <w:vAlign w:val="bottom"/>
          </w:tcPr>
          <w:p>
            <w:pPr>
              <w:spacing w:after="0"/>
              <w:rPr>
                <w:sz w:val="14"/>
                <w:szCs w:val="14"/>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their option to purchase additional shares) payable by us and estimated offering expenses</w:t>
            </w:r>
          </w:p>
        </w:tc>
      </w:tr>
      <w:tr>
        <w:trPr>
          <w:trHeight w:val="181"/>
        </w:trPr>
        <w:tc>
          <w:tcPr>
            <w:tcW w:w="2940" w:type="dxa"/>
            <w:vAlign w:val="bottom"/>
          </w:tcPr>
          <w:p>
            <w:pPr>
              <w:spacing w:after="0"/>
              <w:rPr>
                <w:sz w:val="15"/>
                <w:szCs w:val="15"/>
                <w:color w:val="auto"/>
              </w:rPr>
            </w:pPr>
          </w:p>
        </w:tc>
        <w:tc>
          <w:tcPr>
            <w:tcW w:w="284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of approximately $250,000 payable by us.</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06"/>
        </w:trPr>
        <w:tc>
          <w:tcPr>
            <w:tcW w:w="2940" w:type="dxa"/>
            <w:vAlign w:val="bottom"/>
          </w:tcPr>
          <w:p>
            <w:pPr>
              <w:spacing w:after="0"/>
              <w:rPr>
                <w:sz w:val="24"/>
                <w:szCs w:val="24"/>
                <w:color w:val="auto"/>
              </w:rPr>
            </w:pPr>
          </w:p>
        </w:tc>
        <w:tc>
          <w:tcPr>
            <w:tcW w:w="49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w w:val="98"/>
              </w:rPr>
              <w:t>We expect to use the net proceeds from this offering to reduce outstanding obligations</w:t>
            </w:r>
          </w:p>
        </w:tc>
        <w:tc>
          <w:tcPr>
            <w:tcW w:w="24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49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under our existing indebtedness, to invest in new or existing portfolio companies, to</w:t>
            </w:r>
          </w:p>
        </w:tc>
        <w:tc>
          <w:tcPr>
            <w:tcW w:w="240" w:type="dxa"/>
            <w:vAlign w:val="bottom"/>
          </w:tcPr>
          <w:p>
            <w:pPr>
              <w:spacing w:after="0"/>
              <w:rPr>
                <w:sz w:val="14"/>
                <w:szCs w:val="14"/>
                <w:color w:val="auto"/>
              </w:rPr>
            </w:pPr>
          </w:p>
        </w:tc>
      </w:tr>
      <w:tr>
        <w:trPr>
          <w:trHeight w:val="181"/>
        </w:trPr>
        <w:tc>
          <w:tcPr>
            <w:tcW w:w="2940" w:type="dxa"/>
            <w:vAlign w:val="bottom"/>
          </w:tcPr>
          <w:p>
            <w:pPr>
              <w:spacing w:after="0"/>
              <w:rPr>
                <w:sz w:val="15"/>
                <w:szCs w:val="15"/>
                <w:color w:val="auto"/>
              </w:rPr>
            </w:pPr>
          </w:p>
        </w:tc>
        <w:tc>
          <w:tcPr>
            <w:tcW w:w="518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w w:val="98"/>
              </w:rPr>
              <w:t>capitalize a subsidiary or joint venture or for other general corporate or strategic purposes.</w:t>
            </w:r>
          </w:p>
        </w:tc>
      </w:tr>
      <w:tr>
        <w:trPr>
          <w:trHeight w:val="321"/>
        </w:trPr>
        <w:tc>
          <w:tcPr>
            <w:tcW w:w="2940" w:type="dxa"/>
            <w:vAlign w:val="bottom"/>
          </w:tcPr>
          <w:p>
            <w:pPr>
              <w:spacing w:after="0"/>
              <w:rPr>
                <w:sz w:val="24"/>
                <w:szCs w:val="24"/>
                <w:color w:val="auto"/>
              </w:rPr>
            </w:pPr>
          </w:p>
        </w:tc>
        <w:tc>
          <w:tcPr>
            <w:tcW w:w="284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See “Use of Proceeds” for more information.</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6"/>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Investment Adviser portion of Sales Load</w:t>
            </w:r>
          </w:p>
        </w:tc>
        <w:tc>
          <w:tcPr>
            <w:tcW w:w="494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Our Investment Adviser has agreed to pay a portion of the sales load (underwriting</w:t>
            </w:r>
          </w:p>
        </w:tc>
        <w:tc>
          <w:tcPr>
            <w:tcW w:w="24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38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discounts and commissions) in the amount of approximately $</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or $</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w:t>
            </w:r>
          </w:p>
        </w:tc>
      </w:tr>
      <w:tr>
        <w:trPr>
          <w:trHeight w:val="181"/>
        </w:trPr>
        <w:tc>
          <w:tcPr>
            <w:tcW w:w="294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8"/>
              </w:rPr>
              <w:t>share (or approximately $</w:t>
            </w:r>
          </w:p>
        </w:tc>
        <w:tc>
          <w:tcPr>
            <w:tcW w:w="4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or $</w:t>
            </w:r>
          </w:p>
        </w:tc>
        <w:tc>
          <w:tcPr>
            <w:tcW w:w="23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per share if the underwriters’ option to</w:t>
            </w:r>
          </w:p>
        </w:tc>
      </w:tr>
    </w:tbl>
    <w:p>
      <w:pPr>
        <w:ind w:left="4660"/>
        <w:spacing w:after="0"/>
        <w:rPr>
          <w:sz w:val="20"/>
          <w:szCs w:val="20"/>
          <w:color w:val="auto"/>
        </w:rPr>
      </w:pPr>
      <w:r>
        <w:rPr>
          <w:rFonts w:ascii="Times New Roman" w:cs="Times New Roman" w:eastAsia="Times New Roman" w:hAnsi="Times New Roman"/>
          <w:sz w:val="14"/>
          <w:szCs w:val="14"/>
          <w:color w:val="auto"/>
        </w:rPr>
        <w:t>purchase additional shares is fully exercised), in connection with the shares of common</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stock offered by us in this offering. The allocable portion of the sales load relating to the</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shares of common stock offered by us in this offering not being borne by our Investment</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Adviser will be borne by us. We are not obligated to repay the sales load paid by our</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Investment Adviser.</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25" w:lineRule="exact"/>
        <w:rPr>
          <w:sz w:val="20"/>
          <w:szCs w:val="20"/>
          <w:color w:val="auto"/>
        </w:rPr>
      </w:pPr>
    </w:p>
    <w:tbl>
      <w:tblPr>
        <w:tblLayout w:type="fixed"/>
        <w:tblInd w:w="1410" w:type="dxa"/>
        <w:tblCellMar>
          <w:top w:w="0" w:type="dxa"/>
          <w:left w:w="0" w:type="dxa"/>
          <w:bottom w:w="0" w:type="dxa"/>
          <w:right w:w="0" w:type="dxa"/>
        </w:tblCellMar>
      </w:tblPr>
      <w:tr>
        <w:trPr>
          <w:trHeight w:val="301"/>
        </w:trPr>
        <w:tc>
          <w:tcPr>
            <w:tcW w:w="26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Trading at a Discount</w:t>
            </w:r>
          </w:p>
        </w:tc>
        <w:tc>
          <w:tcPr>
            <w:tcW w:w="588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Shares of closed-end investment companies, including BDCs, frequently trade at a discount</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 their NAV. The risk that our shares may trade at a discount to our NAV is separate and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distinct from the risk that our NAV per share may decline. We cannot predict whether our</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shares will trade above, at or below NAV.</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Distributions on Common Stock</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timing and amount of our monthly distributions to stockholders, if any, are determined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by our board of directors. While we intend to make distributions on a monthly basis to our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stockholders out of assets legally available for distribution, we may not be able to achieve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operating results that will allow us to make distributions at a specific level or to increase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amount of our distributions from time to time. In addition, we may be limited in our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ability to make distributions due to the asset coverage requirements applicable to us as a</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BDC under the 1940 Act. If we do not distribute a certain percentage of our income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annually, we will suffer adverse tax consequences, including the possible loss of our ability</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 be subject to tax as a RIC. We cannot assure stockholders that they will receive any</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distributions.</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Taxation</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treated, as a RIC under Subchapter M of the Code. To maintain our RIC tax election, we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must, among other requirements, meet certain annual source-of-income and quarterly asset</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diversification requirements. We also must annually distribute dividends for U.S. federal</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income tax purposes to our stockholders out of the assets legally available for distribution</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 an amount generally at least equal to 90% of the sum of our net ordinary income and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realized net short-term capital gains in excess of realized net long-term capital losses, or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investment company taxable income, determined without regard to any deduction for</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dividends paid.</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Lock Up Arrangements</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have agreed, with exceptions, not to sell or transfer any shares for 60 days after the date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 this prospectus supplement without first obtaining the written consent of Morgan</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Stanley &amp; Co. LLC. In addition, our executive officers and directors, PennantPark</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Investment Advisers, and the Administrator have agreed to certain restrictions on sales of</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our common stock for a period of 60 days from the date of this prospectus supplement. See</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“Underwriting – No Sales of Similar Securities.”</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Investing in our common stock involves risks. See “Risk Factors” in this prospectus</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supplement and the accompanying prospectus, our most recent Annual Report on Form</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10-K, which is incorporated by reference to this prospectus supplement, and in any free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writing prospectuses we have authorized for use in connection with this offering, and under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similar headings in the documents that are filed with the SEC on or after the date hereof</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and are incorporated by reference into this prospectus supplement and the accompanying</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prospectus.</w:t>
            </w:r>
          </w:p>
        </w:tc>
      </w:tr>
      <w:tr>
        <w:trPr>
          <w:trHeight w:val="119"/>
        </w:trPr>
        <w:tc>
          <w:tcPr>
            <w:tcW w:w="2600" w:type="dxa"/>
            <w:vAlign w:val="bottom"/>
            <w:tcBorders>
              <w:left w:val="single" w:sz="8" w:color="auto"/>
              <w:bottom w:val="single" w:sz="8" w:color="auto"/>
            </w:tcBorders>
          </w:tcPr>
          <w:p>
            <w:pPr>
              <w:spacing w:after="0"/>
              <w:rPr>
                <w:sz w:val="10"/>
                <w:szCs w:val="10"/>
                <w:color w:val="auto"/>
              </w:rPr>
            </w:pPr>
          </w:p>
        </w:tc>
        <w:tc>
          <w:tcPr>
            <w:tcW w:w="5880" w:type="dxa"/>
            <w:vAlign w:val="bottom"/>
            <w:tcBorders>
              <w:bottom w:val="single" w:sz="8" w:color="auto"/>
              <w:right w:val="single" w:sz="8" w:color="auto"/>
            </w:tcBorders>
          </w:tcPr>
          <w:p>
            <w:pPr>
              <w:spacing w:after="0"/>
              <w:rPr>
                <w:sz w:val="10"/>
                <w:szCs w:val="10"/>
                <w:color w:val="auto"/>
              </w:rPr>
            </w:pPr>
          </w:p>
        </w:tc>
      </w:tr>
      <w:tr>
        <w:trPr>
          <w:trHeight w:val="276"/>
        </w:trPr>
        <w:tc>
          <w:tcPr>
            <w:tcW w:w="2600" w:type="dxa"/>
            <w:vAlign w:val="bottom"/>
          </w:tcPr>
          <w:p>
            <w:pPr>
              <w:spacing w:after="0"/>
              <w:rPr>
                <w:sz w:val="23"/>
                <w:szCs w:val="23"/>
                <w:color w:val="auto"/>
              </w:rPr>
            </w:pPr>
          </w:p>
        </w:tc>
        <w:tc>
          <w:tcPr>
            <w:tcW w:w="588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S-6</w:t>
            </w:r>
          </w:p>
        </w:tc>
      </w:tr>
    </w:tbl>
    <w:p>
      <w:pPr>
        <w:sectPr>
          <w:pgSz w:w="11900" w:h="16838" w:orient="portrait"/>
          <w:cols w:equalWidth="0" w:num="1">
            <w:col w:w="10159"/>
          </w:cols>
          <w:pgMar w:left="300" w:top="38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52" w:lineRule="exact"/>
        <w:rPr>
          <w:sz w:val="20"/>
          <w:szCs w:val="20"/>
          <w:color w:val="auto"/>
        </w:rPr>
      </w:pPr>
    </w:p>
    <w:p>
      <w:pPr>
        <w:ind w:left="1420" w:right="399"/>
        <w:spacing w:after="0" w:line="254" w:lineRule="auto"/>
        <w:rPr>
          <w:sz w:val="20"/>
          <w:szCs w:val="20"/>
          <w:color w:val="auto"/>
        </w:rPr>
      </w:pPr>
      <w:r>
        <w:rPr>
          <w:rFonts w:ascii="Times New Roman" w:cs="Times New Roman" w:eastAsia="Times New Roman" w:hAnsi="Times New Roman"/>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158" w:lineRule="exact"/>
        <w:rPr>
          <w:sz w:val="20"/>
          <w:szCs w:val="20"/>
          <w:color w:val="auto"/>
        </w:rPr>
      </w:pPr>
    </w:p>
    <w:tbl>
      <w:tblPr>
        <w:tblLayout w:type="fixed"/>
        <w:tblInd w:w="27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expenses (as a percentage of offering price)</w:t>
            </w:r>
          </w:p>
        </w:tc>
        <w:tc>
          <w:tcPr>
            <w:tcW w:w="64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 expenses (as a percentage of offering price)</w:t>
            </w:r>
          </w:p>
        </w:tc>
        <w:tc>
          <w:tcPr>
            <w:tcW w:w="360" w:type="dxa"/>
            <w:vAlign w:val="bottom"/>
            <w:tcBorders>
              <w:top w:val="single" w:sz="8" w:color="auto"/>
            </w:tcBorders>
          </w:tcPr>
          <w:p>
            <w:pPr>
              <w:spacing w:after="0"/>
              <w:rPr>
                <w:sz w:val="14"/>
                <w:szCs w:val="14"/>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Estimated annual expenses (as a percentage of average net assets attributable</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100"/>
              <w:spacing w:after="0" w:line="183" w:lineRule="exact"/>
              <w:rPr>
                <w:sz w:val="20"/>
                <w:szCs w:val="20"/>
                <w:color w:val="auto"/>
              </w:rPr>
            </w:pPr>
            <w:r>
              <w:rPr>
                <w:rFonts w:ascii="Times New Roman" w:cs="Times New Roman" w:eastAsia="Times New Roman" w:hAnsi="Times New Roman"/>
                <w:sz w:val="14"/>
                <w:szCs w:val="14"/>
                <w:b w:val="1"/>
                <w:bCs w:val="1"/>
                <w:color w:val="auto"/>
              </w:rPr>
              <w:t>to common shares)</w:t>
            </w:r>
            <w:r>
              <w:rPr>
                <w:rFonts w:ascii="Times New Roman" w:cs="Times New Roman" w:eastAsia="Times New Roman" w:hAnsi="Times New Roman"/>
                <w:sz w:val="20"/>
                <w:szCs w:val="20"/>
                <w:b w:val="1"/>
                <w:bCs w:val="1"/>
                <w:color w:val="auto"/>
                <w:vertAlign w:val="superscript"/>
              </w:rPr>
              <w:t>(3)</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3"/>
                <w:szCs w:val="13"/>
                <w:color w:val="auto"/>
              </w:rPr>
              <w:t>2.33%</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64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3"/>
                <w:szCs w:val="13"/>
                <w:color w:val="auto"/>
              </w:rPr>
              <w:t>2.27%</w:t>
            </w:r>
            <w:r>
              <w:rPr>
                <w:rFonts w:ascii="Times New Roman" w:cs="Times New Roman" w:eastAsia="Times New Roman" w:hAnsi="Times New Roman"/>
                <w:sz w:val="19"/>
                <w:szCs w:val="19"/>
                <w:color w:val="auto"/>
                <w:vertAlign w:val="superscript"/>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Interest on borrowed funds</w:t>
            </w: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3"/>
                <w:szCs w:val="13"/>
                <w:color w:val="auto"/>
              </w:rPr>
              <w:t>5.81%</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Acquired fund fees and expenses</w:t>
            </w:r>
          </w:p>
        </w:tc>
        <w:tc>
          <w:tcPr>
            <w:tcW w:w="64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3"/>
                <w:szCs w:val="13"/>
                <w:color w:val="auto"/>
              </w:rPr>
              <w:t>7.30%</w:t>
            </w:r>
            <w:r>
              <w:rPr>
                <w:rFonts w:ascii="Times New Roman" w:cs="Times New Roman" w:eastAsia="Times New Roman" w:hAnsi="Times New Roman"/>
                <w:sz w:val="19"/>
                <w:szCs w:val="19"/>
                <w:color w:val="auto"/>
                <w:vertAlign w:val="superscript"/>
              </w:rPr>
              <w:t>(7)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3"/>
                <w:szCs w:val="13"/>
                <w:color w:val="auto"/>
              </w:rPr>
              <w:t>0.70%</w:t>
            </w:r>
            <w:r>
              <w:rPr>
                <w:rFonts w:ascii="Times New Roman" w:cs="Times New Roman" w:eastAsia="Times New Roman" w:hAnsi="Times New Roman"/>
                <w:sz w:val="19"/>
                <w:szCs w:val="19"/>
                <w:color w:val="auto"/>
                <w:vertAlign w:val="superscript"/>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estimated annual expenses</w:t>
            </w:r>
          </w:p>
        </w:tc>
        <w:tc>
          <w:tcPr>
            <w:tcW w:w="64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3"/>
                <w:szCs w:val="13"/>
                <w:color w:val="auto"/>
              </w:rPr>
              <w:t>18.41%</w:t>
            </w:r>
            <w:r>
              <w:rPr>
                <w:rFonts w:ascii="Times New Roman" w:cs="Times New Roman" w:eastAsia="Times New Roman" w:hAnsi="Times New Roman"/>
                <w:sz w:val="19"/>
                <w:szCs w:val="19"/>
                <w:color w:val="auto"/>
                <w:vertAlign w:val="superscript"/>
              </w:rPr>
              <w:t>(9)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740" w:right="479" w:hanging="327"/>
        <w:spacing w:after="0" w:line="278" w:lineRule="auto"/>
        <w:tabs>
          <w:tab w:leader="none" w:pos="1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underwriting discount and commission with respect to shares of our common stock sold in this offering, which is a one-time fee paid to the underwriters, is the only sales load paid in connection with this offering. Our Investment Adviser has agreed to pay a portion of the sales load</w:t>
      </w:r>
    </w:p>
    <w:p>
      <w:pPr>
        <w:spacing w:after="0" w:line="1" w:lineRule="exact"/>
        <w:rPr>
          <w:sz w:val="20"/>
          <w:szCs w:val="20"/>
          <w:color w:val="auto"/>
        </w:rPr>
      </w:pPr>
    </w:p>
    <w:p>
      <w:pPr>
        <w:ind w:left="1740"/>
        <w:spacing w:after="0"/>
        <w:tabs>
          <w:tab w:leader="none" w:pos="6520" w:val="left"/>
          <w:tab w:leader="none" w:pos="7380" w:val="left"/>
          <w:tab w:leader="none" w:pos="9580" w:val="left"/>
        </w:tabs>
        <w:rPr>
          <w:sz w:val="20"/>
          <w:szCs w:val="20"/>
          <w:color w:val="auto"/>
        </w:rPr>
      </w:pPr>
      <w:r>
        <w:rPr>
          <w:rFonts w:ascii="Times New Roman" w:cs="Times New Roman" w:eastAsia="Times New Roman" w:hAnsi="Times New Roman"/>
          <w:sz w:val="14"/>
          <w:szCs w:val="14"/>
          <w:color w:val="auto"/>
        </w:rPr>
        <w:t>(underwriting discounts and commissions) in the amount of approximately $</w:t>
      </w:r>
      <w:r>
        <w:rPr>
          <w:sz w:val="20"/>
          <w:szCs w:val="20"/>
          <w:color w:val="auto"/>
        </w:rPr>
        <w:tab/>
      </w:r>
      <w:r>
        <w:rPr>
          <w:rFonts w:ascii="Times New Roman" w:cs="Times New Roman" w:eastAsia="Times New Roman" w:hAnsi="Times New Roman"/>
          <w:sz w:val="14"/>
          <w:szCs w:val="14"/>
          <w:color w:val="auto"/>
        </w:rPr>
        <w:t>, or $</w:t>
      </w:r>
      <w:r>
        <w:rPr>
          <w:sz w:val="20"/>
          <w:szCs w:val="20"/>
          <w:color w:val="auto"/>
        </w:rPr>
        <w:tab/>
      </w:r>
      <w:r>
        <w:rPr>
          <w:rFonts w:ascii="Times New Roman" w:cs="Times New Roman" w:eastAsia="Times New Roman" w:hAnsi="Times New Roman"/>
          <w:sz w:val="14"/>
          <w:szCs w:val="14"/>
          <w:color w:val="auto"/>
        </w:rPr>
        <w:t>per share (or approximately $</w:t>
      </w:r>
      <w:r>
        <w:rPr>
          <w:sz w:val="20"/>
          <w:szCs w:val="20"/>
          <w:color w:val="auto"/>
        </w:rPr>
        <w:tab/>
      </w:r>
      <w:r>
        <w:rPr>
          <w:rFonts w:ascii="Times New Roman" w:cs="Times New Roman" w:eastAsia="Times New Roman" w:hAnsi="Times New Roman"/>
          <w:sz w:val="13"/>
          <w:szCs w:val="13"/>
          <w:color w:val="auto"/>
        </w:rPr>
        <w:t>, or</w:t>
      </w:r>
    </w:p>
    <w:p>
      <w:pPr>
        <w:spacing w:after="0" w:line="5" w:lineRule="exact"/>
        <w:rPr>
          <w:sz w:val="20"/>
          <w:szCs w:val="20"/>
          <w:color w:val="auto"/>
        </w:rPr>
      </w:pPr>
    </w:p>
    <w:p>
      <w:pPr>
        <w:ind w:left="1740" w:right="459"/>
        <w:spacing w:after="0" w:line="247" w:lineRule="auto"/>
        <w:rPr>
          <w:sz w:val="20"/>
          <w:szCs w:val="20"/>
          <w:color w:val="auto"/>
        </w:rPr>
      </w:pPr>
      <w:r>
        <w:rPr>
          <w:rFonts w:ascii="Times New Roman" w:cs="Times New Roman" w:eastAsia="Times New Roman" w:hAnsi="Times New Roman"/>
          <w:sz w:val="14"/>
          <w:szCs w:val="14"/>
          <w:color w:val="auto"/>
        </w:rPr>
        <w:t>$ per share if the underwriters’ option to purchase additional shares is fully exercised) in connection with the shares of common stock offered by us in this offering, which is not reflected in the table above. The allocable portion of the sales load relating to the shares of common stock offered by us in this offering not being borne by the Investment Adviser will be borne by us. We are not obligated to repay the sales load paid by our Investment Adviser.</w:t>
      </w:r>
    </w:p>
    <w:p>
      <w:pPr>
        <w:ind w:left="1740" w:hanging="327"/>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reflects estimated offering expenses payable by us of approximately $250,000 for the estimated duration of this offering.</w:t>
      </w:r>
    </w:p>
    <w:p>
      <w:pPr>
        <w:spacing w:after="0" w:line="4" w:lineRule="exact"/>
        <w:rPr>
          <w:rFonts w:ascii="Times New Roman" w:cs="Times New Roman" w:eastAsia="Times New Roman" w:hAnsi="Times New Roman"/>
          <w:sz w:val="14"/>
          <w:szCs w:val="14"/>
          <w:color w:val="auto"/>
        </w:rPr>
      </w:pPr>
    </w:p>
    <w:p>
      <w:pPr>
        <w:ind w:left="1740" w:right="379" w:hanging="327"/>
        <w:spacing w:after="0" w:line="247"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assets attributable to common shares equal average net assets of September 30, 2022, plus net proceeds anticipated from this offering but excluding the underwriters’ option to purchase additional shares. There is no guarantee that there will be any sales of our common stock pursuant to this prospectus supplement and the accompanying prospectus.</w:t>
      </w:r>
    </w:p>
    <w:p>
      <w:pPr>
        <w:ind w:left="1740" w:hanging="327"/>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management fee is calculated at an annual rate of 1.00% of our average adjusted gross assets on September 30, 2022.</w:t>
      </w:r>
    </w:p>
    <w:p>
      <w:pPr>
        <w:spacing w:after="0" w:line="4" w:lineRule="exact"/>
        <w:rPr>
          <w:rFonts w:ascii="Times New Roman" w:cs="Times New Roman" w:eastAsia="Times New Roman" w:hAnsi="Times New Roman"/>
          <w:sz w:val="14"/>
          <w:szCs w:val="14"/>
          <w:color w:val="auto"/>
        </w:rPr>
      </w:pPr>
    </w:p>
    <w:p>
      <w:pPr>
        <w:ind w:left="1740" w:right="319" w:hanging="327"/>
        <w:spacing w:after="0" w:line="270" w:lineRule="auto"/>
        <w:tabs>
          <w:tab w:leader="none" w:pos="1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incentive fees paid with respect to net investment income and capital gains, if any, is based on actual amounts incurred during the fiscal year ended September 30, 2022.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740" w:right="359"/>
        <w:spacing w:after="0" w:line="253" w:lineRule="auto"/>
        <w:rPr>
          <w:sz w:val="20"/>
          <w:szCs w:val="20"/>
          <w:color w:val="auto"/>
        </w:rPr>
      </w:pPr>
      <w:r>
        <w:rPr>
          <w:rFonts w:ascii="Times New Roman" w:cs="Times New Roman" w:eastAsia="Times New Roman" w:hAnsi="Times New Roman"/>
          <w:sz w:val="14"/>
          <w:szCs w:val="14"/>
          <w:color w:val="auto"/>
        </w:rPr>
        <w:t>accounting principles. As we cannot predict our future net investment income or capital gains, the incentive fee paid in future periods, if any, may be substantially different than the fee earned during the fiscal year ended September 30, 2022. For more detailed information about the incentive fee, please see “Item 1. Business-Investment Management Agreement” and “Item 1. Business-Investment Advisory Fees” in our most recent Annual Report on Form 10-K.</w:t>
      </w:r>
    </w:p>
    <w:p>
      <w:pPr>
        <w:ind w:left="1740" w:right="299" w:hanging="327"/>
        <w:spacing w:after="0" w:line="247"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we had $168.8 million in borrowings outstanding under our Credit Facility, $97.0 million outstanding under our 2023 Notes, $185.0 million outstanding under our 2026 Notes and $228.0 million outstanding under the 2031 Asset-Backed Debt. We may use proceeds of this offering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rFonts w:ascii="Times New Roman" w:cs="Times New Roman" w:eastAsia="Times New Roman" w:hAnsi="Times New Roman"/>
          <w:sz w:val="14"/>
          <w:szCs w:val="14"/>
          <w:color w:val="auto"/>
        </w:rPr>
      </w:pPr>
    </w:p>
    <w:p>
      <w:pPr>
        <w:ind w:left="1740" w:right="279" w:hanging="327"/>
        <w:spacing w:after="0" w:line="247"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2022. Expenses for PSSL may fluctuate over time and may be substantially higher or lower in the future.</w:t>
      </w:r>
    </w:p>
    <w:p>
      <w:pPr>
        <w:ind w:left="1760" w:right="31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indirectly bear 23.08% of the expenses of our investment in PTSF. A management fee equal to 0.30% per annum of the gross assets of PTSF and its subsidiaries is charged by PennantPark Investment Advisers in connection with PTSF (which is waived by PennantPark Investment Advisers). When applicable, fees and operating expenses estimates would be based on historic fees and operating expenses for acquired funds. For PTSF, which has a limited operating history, fees and operating expenses are estimates based on expected fees and operating expenses of PTSF for the applicable fiscal quarter,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4"/>
          <w:szCs w:val="14"/>
          <w:color w:val="auto"/>
        </w:rPr>
      </w:pPr>
    </w:p>
    <w:p>
      <w:pPr>
        <w:ind w:left="1740" w:right="459" w:hanging="327"/>
        <w:spacing w:after="0" w:line="247"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fiscal year ended September 30, 2022.</w:t>
      </w:r>
    </w:p>
    <w:p>
      <w:pPr>
        <w:ind w:left="1740" w:right="319" w:hanging="327"/>
        <w:spacing w:after="0" w:line="248"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7.44% of average total assets.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The following example illustrates the projected dollar amount of total cumulative expenses that you would pay on a $1,000 hypothetical investment in</w:t>
      </w:r>
    </w:p>
    <w:p>
      <w:pPr>
        <w:spacing w:after="0" w:line="2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 assuming (1) a</w:t>
            </w:r>
          </w:p>
        </w:tc>
        <w:tc>
          <w:tcPr>
            <w:tcW w:w="60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w w:val="98"/>
              </w:rPr>
              <w:t>% sales load (the commission to be paid by us with respect to common stock sold by us in this offering) (see</w:t>
            </w:r>
          </w:p>
        </w:tc>
      </w:tr>
      <w:tr>
        <w:trPr>
          <w:trHeight w:val="166"/>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 1 above) and offering expenses totaling</w:t>
            </w:r>
          </w:p>
        </w:tc>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(2) total net estimated annual expenses of</w:t>
            </w: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w w:val="99"/>
              </w:rPr>
              <w:t>% of average net assets attributable to common</w:t>
            </w:r>
          </w:p>
        </w:tc>
      </w:tr>
      <w:tr>
        <w:trPr>
          <w:trHeight w:val="181"/>
        </w:trPr>
        <w:tc>
          <w:tcPr>
            <w:tcW w:w="63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shares as set forth in the table above (other than performance-based incentive fees) and (3) a 5.0% annual return.</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90"/>
        </w:trPr>
        <w:tc>
          <w:tcPr>
            <w:tcW w:w="554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You would pay the following expenses on a $1,000 common stock</w:t>
            </w: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1</w:t>
            </w:r>
          </w:p>
        </w:tc>
        <w:tc>
          <w:tcPr>
            <w:tcW w:w="60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3</w:t>
            </w:r>
          </w:p>
        </w:tc>
        <w:tc>
          <w:tcPr>
            <w:tcW w:w="64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5</w:t>
            </w:r>
          </w:p>
        </w:tc>
        <w:tc>
          <w:tcPr>
            <w:tcW w:w="52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10</w:t>
            </w:r>
          </w:p>
        </w:tc>
        <w:tc>
          <w:tcPr>
            <w:tcW w:w="160" w:type="dxa"/>
            <w:vAlign w:val="bottom"/>
          </w:tcPr>
          <w:p>
            <w:pPr>
              <w:spacing w:after="0"/>
              <w:rPr>
                <w:sz w:val="24"/>
                <w:szCs w:val="24"/>
                <w:color w:val="auto"/>
              </w:rPr>
            </w:pPr>
          </w:p>
        </w:tc>
      </w:tr>
      <w:tr>
        <w:trPr>
          <w:trHeight w:val="135"/>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6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Years</w:t>
            </w:r>
          </w:p>
        </w:tc>
      </w:tr>
      <w:tr>
        <w:trPr>
          <w:trHeight w:val="151"/>
        </w:trPr>
        <w:tc>
          <w:tcPr>
            <w:tcW w:w="340" w:type="dxa"/>
            <w:vAlign w:val="bottom"/>
          </w:tcPr>
          <w:p>
            <w:pPr>
              <w:spacing w:after="0"/>
              <w:rPr>
                <w:sz w:val="13"/>
                <w:szCs w:val="13"/>
                <w:color w:val="auto"/>
              </w:rPr>
            </w:pPr>
          </w:p>
        </w:tc>
        <w:tc>
          <w:tcPr>
            <w:tcW w:w="520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Assuming a 5% annual return (assumes no return from net realized capital gains or net</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r>
      <w:tr>
        <w:trPr>
          <w:trHeight w:val="181"/>
        </w:trPr>
        <w:tc>
          <w:tcPr>
            <w:tcW w:w="340" w:type="dxa"/>
            <w:vAlign w:val="bottom"/>
          </w:tcPr>
          <w:p>
            <w:pPr>
              <w:spacing w:after="0"/>
              <w:rPr>
                <w:sz w:val="15"/>
                <w:szCs w:val="15"/>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unrealized capital appreciation)</w:t>
            </w:r>
          </w:p>
        </w:tc>
        <w:tc>
          <w:tcPr>
            <w:tcW w:w="6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r>
      <w:tr>
        <w:trPr>
          <w:trHeight w:val="151"/>
        </w:trPr>
        <w:tc>
          <w:tcPr>
            <w:tcW w:w="340" w:type="dxa"/>
            <w:vAlign w:val="bottom"/>
          </w:tcPr>
          <w:p>
            <w:pPr>
              <w:spacing w:after="0"/>
              <w:rPr>
                <w:sz w:val="13"/>
                <w:szCs w:val="13"/>
                <w:color w:val="auto"/>
              </w:rPr>
            </w:pPr>
          </w:p>
        </w:tc>
        <w:tc>
          <w:tcPr>
            <w:tcW w:w="52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Assuming a 5% annual return (assumes return only from realized capital gains and thus</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1"/>
        </w:trPr>
        <w:tc>
          <w:tcPr>
            <w:tcW w:w="340" w:type="dxa"/>
            <w:vAlign w:val="bottom"/>
          </w:tcPr>
          <w:p>
            <w:pPr>
              <w:spacing w:after="0"/>
              <w:rPr>
                <w:sz w:val="15"/>
                <w:szCs w:val="15"/>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subject to the capital gains incentive fee)</w:t>
            </w:r>
          </w:p>
        </w:tc>
        <w:tc>
          <w:tcPr>
            <w:tcW w:w="2680" w:type="dxa"/>
            <w:vAlign w:val="bottom"/>
          </w:tcPr>
          <w:p>
            <w:pPr>
              <w:spacing w:after="0"/>
              <w:rPr>
                <w:sz w:val="15"/>
                <w:szCs w:val="15"/>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r>
    </w:tbl>
    <w:p>
      <w:pPr>
        <w:spacing w:after="0" w:line="151"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20" w:right="439"/>
        <w:spacing w:after="0" w:line="254" w:lineRule="auto"/>
        <w:rPr>
          <w:sz w:val="20"/>
          <w:szCs w:val="20"/>
          <w:color w:val="auto"/>
        </w:rPr>
      </w:pPr>
      <w:r>
        <w:rPr>
          <w:rFonts w:ascii="Times New Roman" w:cs="Times New Roman" w:eastAsia="Times New Roman" w:hAnsi="Times New Roman"/>
          <w:sz w:val="14"/>
          <w:szCs w:val="14"/>
          <w:color w:val="auto"/>
        </w:rPr>
        <w:t>Investing in our shares of our common stock may be speculative and involves a high degree of risk. You should carefully consider the risk factors incorporated by reference from our most recent Annual Report on Form 10-K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44" w:lineRule="exact"/>
        <w:rPr>
          <w:sz w:val="20"/>
          <w:szCs w:val="20"/>
          <w:color w:val="auto"/>
        </w:rPr>
      </w:pPr>
    </w:p>
    <w:p>
      <w:pPr>
        <w:ind w:left="1420" w:right="419"/>
        <w:spacing w:after="0" w:line="262" w:lineRule="auto"/>
        <w:rPr>
          <w:sz w:val="20"/>
          <w:szCs w:val="20"/>
          <w:color w:val="auto"/>
        </w:rPr>
      </w:pPr>
      <w:r>
        <w:rPr>
          <w:rFonts w:ascii="Times New Roman" w:cs="Times New Roman" w:eastAsia="Times New Roman" w:hAnsi="Times New Roman"/>
          <w:sz w:val="14"/>
          <w:szCs w:val="14"/>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ind w:left="1420" w:right="319"/>
        <w:spacing w:after="0" w:line="252" w:lineRule="auto"/>
        <w:rPr>
          <w:sz w:val="20"/>
          <w:szCs w:val="20"/>
          <w:color w:val="auto"/>
        </w:rPr>
      </w:pPr>
      <w:r>
        <w:rPr>
          <w:rFonts w:ascii="Times New Roman" w:cs="Times New Roman" w:eastAsia="Times New Roman" w:hAnsi="Times New Roman"/>
          <w:sz w:val="14"/>
          <w:szCs w:val="14"/>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71" w:lineRule="exact"/>
        <w:rPr>
          <w:sz w:val="20"/>
          <w:szCs w:val="20"/>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8" w:lineRule="exact"/>
        <w:rPr>
          <w:rFonts w:ascii="Times New Roman" w:cs="Times New Roman" w:eastAsia="Times New Roman" w:hAnsi="Times New Roman"/>
          <w:sz w:val="14"/>
          <w:szCs w:val="14"/>
          <w:color w:val="auto"/>
        </w:rPr>
      </w:pPr>
    </w:p>
    <w:p>
      <w:pPr>
        <w:ind w:left="2160" w:right="459" w:hanging="332"/>
        <w:spacing w:after="0" w:line="277"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future worsening thereof;</w:t>
      </w:r>
    </w:p>
    <w:p>
      <w:pPr>
        <w:spacing w:after="0" w:line="53" w:lineRule="exact"/>
        <w:rPr>
          <w:rFonts w:ascii="Times New Roman" w:cs="Times New Roman" w:eastAsia="Times New Roman" w:hAnsi="Times New Roman"/>
          <w:sz w:val="14"/>
          <w:szCs w:val="14"/>
          <w:color w:val="auto"/>
        </w:rPr>
      </w:pPr>
    </w:p>
    <w:p>
      <w:pPr>
        <w:jc w:val="both"/>
        <w:ind w:left="2160" w:right="299" w:hanging="332"/>
        <w:spacing w:after="0" w:line="262"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98"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126" w:lineRule="exact"/>
        <w:rPr>
          <w:sz w:val="20"/>
          <w:szCs w:val="20"/>
          <w:color w:val="auto"/>
        </w:rPr>
      </w:pPr>
    </w:p>
    <w:p>
      <w:pPr>
        <w:ind w:left="1420" w:right="359"/>
        <w:spacing w:after="0" w:line="257"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in the documents incorporated by reference herein, and elsewhere in this prospectus supplement and the accompany prospectus.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46" w:lineRule="exact"/>
        <w:rPr>
          <w:sz w:val="20"/>
          <w:szCs w:val="20"/>
          <w:color w:val="auto"/>
        </w:rPr>
      </w:pPr>
    </w:p>
    <w:p>
      <w:pPr>
        <w:ind w:left="1420" w:right="599"/>
        <w:spacing w:after="0" w:line="257" w:lineRule="auto"/>
        <w:rPr>
          <w:sz w:val="20"/>
          <w:szCs w:val="20"/>
          <w:color w:val="auto"/>
        </w:rPr>
      </w:pPr>
      <w:r>
        <w:rPr>
          <w:rFonts w:ascii="Times New Roman" w:cs="Times New Roman" w:eastAsia="Times New Roman" w:hAnsi="Times New Roman"/>
          <w:sz w:val="14"/>
          <w:szCs w:val="14"/>
          <w:color w:val="auto"/>
        </w:rPr>
        <w:t>You should understand that, under Sections 27A(b)(2)(B) of the Securities Exchange Act of 1933, as amended,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estimate that net proceeds we will receive from the sale of 4,250,000 shares of our common stock in this offering will be approximately</w:t>
      </w:r>
    </w:p>
    <w:p>
      <w:pPr>
        <w:spacing w:after="0" w:line="20" w:lineRule="exact"/>
        <w:rPr>
          <w:sz w:val="20"/>
          <w:szCs w:val="20"/>
          <w:color w:val="auto"/>
        </w:rPr>
      </w:pPr>
    </w:p>
    <w:p>
      <w:pPr>
        <w:ind w:left="1420" w:right="359"/>
        <w:spacing w:after="0" w:line="247" w:lineRule="auto"/>
        <w:rPr>
          <w:sz w:val="20"/>
          <w:szCs w:val="20"/>
          <w:color w:val="auto"/>
        </w:rPr>
      </w:pPr>
      <w:r>
        <w:rPr>
          <w:rFonts w:ascii="Times New Roman" w:cs="Times New Roman" w:eastAsia="Times New Roman" w:hAnsi="Times New Roman"/>
          <w:sz w:val="14"/>
          <w:szCs w:val="14"/>
          <w:color w:val="auto"/>
        </w:rPr>
        <w:t>$ million (or approximately $ million if the underwriters fully exercise their option to purchase additional shares), in each case based on a public offering price of $ per share, after deducting underwriting discounts and commissions of approximately $ million (or approximately $ million if the underwriters fully exercise their option to purchase additional shares) and estimated offering expenses of</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approximately $250,000 payable by us. Our Investment Adviser has agreed to pay a portion of the sales load (underwriting discounts and commissions)</w:t>
      </w:r>
    </w:p>
    <w:p>
      <w:pPr>
        <w:spacing w:after="0" w:line="16" w:lineRule="exact"/>
        <w:rPr>
          <w:sz w:val="20"/>
          <w:szCs w:val="20"/>
          <w:color w:val="auto"/>
        </w:rPr>
      </w:pPr>
    </w:p>
    <w:p>
      <w:pPr>
        <w:ind w:left="1420" w:right="339"/>
        <w:spacing w:after="0" w:line="249" w:lineRule="auto"/>
        <w:rPr>
          <w:sz w:val="20"/>
          <w:szCs w:val="20"/>
          <w:color w:val="auto"/>
        </w:rPr>
      </w:pPr>
      <w:r>
        <w:rPr>
          <w:rFonts w:ascii="Times New Roman" w:cs="Times New Roman" w:eastAsia="Times New Roman" w:hAnsi="Times New Roman"/>
          <w:sz w:val="14"/>
          <w:szCs w:val="14"/>
          <w:color w:val="auto"/>
        </w:rPr>
        <w:t>in the amount of approximately $ , or $ per share (or approximately $ , or $ per share if the underwriters’ option to purchase additional shares is fully exercised), in connection with the shares of common stock offered by us in this offering. The allocable portion of the sales load relating to the shares of common stock offered by us in this offering not being borne by our Investment Adviser will be borne by us. We are not obligated to repay the sales load paid by our Investment Adviser.</w:t>
      </w:r>
    </w:p>
    <w:p>
      <w:pPr>
        <w:spacing w:after="0" w:line="146" w:lineRule="exact"/>
        <w:rPr>
          <w:sz w:val="20"/>
          <w:szCs w:val="20"/>
          <w:color w:val="auto"/>
        </w:rPr>
      </w:pPr>
    </w:p>
    <w:p>
      <w:pPr>
        <w:ind w:left="1420" w:right="339"/>
        <w:spacing w:after="0" w:line="257" w:lineRule="auto"/>
        <w:rPr>
          <w:sz w:val="20"/>
          <w:szCs w:val="20"/>
          <w:color w:val="auto"/>
        </w:rPr>
      </w:pPr>
      <w:r>
        <w:rPr>
          <w:rFonts w:ascii="Times New Roman" w:cs="Times New Roman" w:eastAsia="Times New Roman" w:hAnsi="Times New Roman"/>
          <w:sz w:val="14"/>
          <w:szCs w:val="14"/>
          <w:color w:val="auto"/>
        </w:rPr>
        <w:t>We expect to use the net proceeds from selling securities pursuant to this prospectus supplement to reduce outstanding obligations under our existing indebtedness, to invest in new or existing portfolio companies, to capitalize a subsidiary or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40" w:lineRule="exact"/>
        <w:rPr>
          <w:sz w:val="20"/>
          <w:szCs w:val="20"/>
          <w:color w:val="auto"/>
        </w:rPr>
      </w:pPr>
    </w:p>
    <w:p>
      <w:pPr>
        <w:ind w:left="1420" w:right="459"/>
        <w:spacing w:after="0" w:line="279" w:lineRule="auto"/>
        <w:rPr>
          <w:sz w:val="20"/>
          <w:szCs w:val="20"/>
          <w:color w:val="auto"/>
        </w:rPr>
      </w:pPr>
      <w:r>
        <w:rPr>
          <w:rFonts w:ascii="Times New Roman" w:cs="Times New Roman" w:eastAsia="Times New Roman" w:hAnsi="Times New Roman"/>
          <w:sz w:val="13"/>
          <w:szCs w:val="13"/>
          <w:color w:val="auto"/>
        </w:rPr>
        <w:t>As of September 30, 2022, Funding I had approximately $168.8 million in outstanding borrowings under the Credit Facility. Borrowings under the Credit Facility bear interest at an annual rate at a spread above the Secured Overnight Financing Rate (or an alternative risk-free floating interest rate index) of 225 basis points. The Credit Facility has a maturity date of August 2026 and a revolving period that ends in August 2024. At September 30, 2022, the weighted average interest rate of the Credit Facility was 4.7%, exclusive of the fee on undrawn commitments. The Credit Facility is secured by all of the assets of Funding I and we own 100% of the equity interest in Funding I and treat the indebtedness of Funding I as our leverage.</w:t>
      </w:r>
    </w:p>
    <w:p>
      <w:pPr>
        <w:spacing w:after="0" w:line="127" w:lineRule="exact"/>
        <w:rPr>
          <w:sz w:val="20"/>
          <w:szCs w:val="20"/>
          <w:color w:val="auto"/>
        </w:rPr>
      </w:pPr>
    </w:p>
    <w:p>
      <w:pPr>
        <w:ind w:left="1420" w:right="279"/>
        <w:spacing w:after="0" w:line="251" w:lineRule="auto"/>
        <w:rPr>
          <w:sz w:val="20"/>
          <w:szCs w:val="20"/>
          <w:color w:val="auto"/>
        </w:rPr>
      </w:pPr>
      <w:r>
        <w:rPr>
          <w:rFonts w:ascii="Times New Roman" w:cs="Times New Roman" w:eastAsia="Times New Roman" w:hAnsi="Times New Roman"/>
          <w:sz w:val="14"/>
          <w:szCs w:val="14"/>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 K for more information.</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173" w:lineRule="exact"/>
        <w:rPr>
          <w:sz w:val="20"/>
          <w:szCs w:val="20"/>
          <w:color w:val="auto"/>
        </w:rPr>
      </w:pPr>
    </w:p>
    <w:p>
      <w:pPr>
        <w:ind w:left="1420" w:right="439"/>
        <w:spacing w:after="0" w:line="257" w:lineRule="auto"/>
        <w:rPr>
          <w:sz w:val="20"/>
          <w:szCs w:val="20"/>
          <w:color w:val="auto"/>
        </w:rPr>
      </w:pPr>
      <w:r>
        <w:rPr>
          <w:rFonts w:ascii="Times New Roman" w:cs="Times New Roman" w:eastAsia="Times New Roman" w:hAnsi="Times New Roman"/>
          <w:sz w:val="14"/>
          <w:szCs w:val="14"/>
          <w:color w:val="auto"/>
        </w:rPr>
        <w:t>Our common stock is traded on the NYSE under the symbol “PFLT.”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2020. On January 20, 2023, the last reported closing price of our common stock was $11.73 per share.</w:t>
      </w:r>
    </w:p>
    <w:p>
      <w:pPr>
        <w:spacing w:after="0" w:line="144"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Premium (Discount)</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Premium (Discount)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3"/>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Closing Sales Price</w:t>
            </w: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of High Sales</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of Low Sales</w:t>
            </w:r>
          </w:p>
        </w:tc>
        <w:tc>
          <w:tcPr>
            <w:tcW w:w="160" w:type="dxa"/>
            <w:vAlign w:val="bottom"/>
          </w:tcPr>
          <w:p>
            <w:pPr>
              <w:spacing w:after="0"/>
              <w:rPr>
                <w:sz w:val="11"/>
                <w:szCs w:val="1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Distributions</w:t>
            </w:r>
          </w:p>
        </w:tc>
      </w:tr>
      <w:tr>
        <w:trPr>
          <w:trHeight w:val="104"/>
        </w:trPr>
        <w:tc>
          <w:tcPr>
            <w:tcW w:w="2460" w:type="dxa"/>
            <w:vAlign w:val="bottom"/>
          </w:tcPr>
          <w:p>
            <w:pPr>
              <w:ind w:left="1060"/>
              <w:spacing w:after="0" w:line="105" w:lineRule="exact"/>
              <w:rPr>
                <w:sz w:val="20"/>
                <w:szCs w:val="20"/>
                <w:color w:val="auto"/>
              </w:rPr>
            </w:pPr>
            <w:r>
              <w:rPr>
                <w:rFonts w:ascii="Times New Roman" w:cs="Times New Roman" w:eastAsia="Times New Roman" w:hAnsi="Times New Roman"/>
                <w:sz w:val="11"/>
                <w:szCs w:val="11"/>
                <w:b w:val="1"/>
                <w:bCs w:val="1"/>
                <w:color w:val="auto"/>
              </w:rPr>
              <w:t>Period</w:t>
            </w:r>
          </w:p>
        </w:tc>
        <w:tc>
          <w:tcPr>
            <w:tcW w:w="260" w:type="dxa"/>
            <w:vAlign w:val="bottom"/>
          </w:tcPr>
          <w:p>
            <w:pPr>
              <w:spacing w:after="0"/>
              <w:rPr>
                <w:sz w:val="9"/>
                <w:szCs w:val="9"/>
                <w:color w:val="auto"/>
              </w:rPr>
            </w:pPr>
          </w:p>
        </w:tc>
        <w:tc>
          <w:tcPr>
            <w:tcW w:w="52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NAV</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9"/>
                <w:szCs w:val="9"/>
                <w:color w:val="auto"/>
              </w:rPr>
            </w:pPr>
          </w:p>
        </w:tc>
        <w:tc>
          <w:tcPr>
            <w:tcW w:w="580" w:type="dxa"/>
            <w:vAlign w:val="bottom"/>
            <w:tcBorders>
              <w:top w:val="single" w:sz="8" w:color="auto"/>
            </w:tcBorders>
            <w:gridSpan w:val="2"/>
          </w:tcPr>
          <w:p>
            <w:pPr>
              <w:ind w:left="10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45"/>
              <w:spacing w:after="0" w:line="105" w:lineRule="exact"/>
              <w:rPr>
                <w:sz w:val="20"/>
                <w:szCs w:val="20"/>
                <w:color w:val="auto"/>
              </w:rPr>
            </w:pPr>
            <w:r>
              <w:rPr>
                <w:rFonts w:ascii="Times New Roman" w:cs="Times New Roman" w:eastAsia="Times New Roman" w:hAnsi="Times New Roman"/>
                <w:sz w:val="11"/>
                <w:szCs w:val="11"/>
                <w:b w:val="1"/>
                <w:bCs w:val="1"/>
                <w:color w:val="auto"/>
              </w:rPr>
              <w:t>Low</w:t>
            </w:r>
          </w:p>
        </w:tc>
        <w:tc>
          <w:tcPr>
            <w:tcW w:w="320" w:type="dxa"/>
            <w:vAlign w:val="bottom"/>
          </w:tcPr>
          <w:p>
            <w:pPr>
              <w:spacing w:after="0"/>
              <w:rPr>
                <w:sz w:val="9"/>
                <w:szCs w:val="9"/>
                <w:color w:val="auto"/>
              </w:rPr>
            </w:pPr>
          </w:p>
        </w:tc>
        <w:tc>
          <w:tcPr>
            <w:tcW w:w="1400" w:type="dxa"/>
            <w:vAlign w:val="bottom"/>
            <w:gridSpan w:val="2"/>
          </w:tcPr>
          <w:p>
            <w:pPr>
              <w:jc w:val="center"/>
              <w:ind w:right="420"/>
              <w:spacing w:after="0" w:line="105" w:lineRule="exact"/>
              <w:rPr>
                <w:sz w:val="20"/>
                <w:szCs w:val="20"/>
                <w:color w:val="auto"/>
              </w:rPr>
            </w:pPr>
            <w:r>
              <w:rPr>
                <w:rFonts w:ascii="Times New Roman" w:cs="Times New Roman" w:eastAsia="Times New Roman" w:hAnsi="Times New Roman"/>
                <w:sz w:val="11"/>
                <w:szCs w:val="11"/>
                <w:b w:val="1"/>
                <w:bCs w:val="1"/>
                <w:color w:val="auto"/>
                <w:w w:val="96"/>
              </w:rPr>
              <w:t>Price to NAV</w:t>
            </w:r>
            <w:r>
              <w:rPr>
                <w:rFonts w:ascii="Times New Roman" w:cs="Times New Roman" w:eastAsia="Times New Roman" w:hAnsi="Times New Roman"/>
                <w:sz w:val="8"/>
                <w:szCs w:val="8"/>
                <w:b w:val="1"/>
                <w:bCs w:val="1"/>
                <w:color w:val="auto"/>
                <w:w w:val="96"/>
              </w:rPr>
              <w:t>(2)</w:t>
            </w:r>
          </w:p>
        </w:tc>
        <w:tc>
          <w:tcPr>
            <w:tcW w:w="124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1"/>
                <w:szCs w:val="11"/>
                <w:b w:val="1"/>
                <w:bCs w:val="1"/>
                <w:color w:val="auto"/>
                <w:w w:val="96"/>
              </w:rPr>
              <w:t>Price to NAV</w:t>
            </w:r>
            <w:r>
              <w:rPr>
                <w:rFonts w:ascii="Times New Roman" w:cs="Times New Roman" w:eastAsia="Times New Roman" w:hAnsi="Times New Roman"/>
                <w:sz w:val="8"/>
                <w:szCs w:val="8"/>
                <w:b w:val="1"/>
                <w:bCs w:val="1"/>
                <w:color w:val="auto"/>
                <w:w w:val="96"/>
              </w:rPr>
              <w:t>(2)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Declared</w:t>
            </w:r>
          </w:p>
        </w:tc>
      </w:tr>
      <w:tr>
        <w:trPr>
          <w:trHeight w:val="146"/>
        </w:trPr>
        <w:tc>
          <w:tcPr>
            <w:tcW w:w="246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Year Ending September 30, 2023</w:t>
            </w:r>
          </w:p>
        </w:tc>
        <w:tc>
          <w:tcPr>
            <w:tcW w:w="2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 (as of January 20, 2023)</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N/A</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$ 12.20</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$ 11.08</w:t>
            </w:r>
          </w:p>
        </w:tc>
        <w:tc>
          <w:tcPr>
            <w:tcW w:w="14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3"/>
                <w:szCs w:val="13"/>
                <w:color w:val="auto"/>
              </w:rPr>
              <w:t>0.095</w:t>
            </w:r>
            <w:r>
              <w:rPr>
                <w:rFonts w:ascii="Times New Roman" w:cs="Times New Roman" w:eastAsia="Times New Roman" w:hAnsi="Times New Roman"/>
                <w:sz w:val="19"/>
                <w:szCs w:val="19"/>
                <w:color w:val="auto"/>
                <w:vertAlign w:val="superscript"/>
              </w:rPr>
              <w:t>(3)</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11.56</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9.77</w:t>
            </w:r>
          </w:p>
        </w:tc>
        <w:tc>
          <w:tcPr>
            <w:tcW w:w="14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11.62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12.21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10.45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12.23</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12.23</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2021</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12.62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12.51</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11.94</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8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10.46</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0.285</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12.70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7.80</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0.285</w:t>
            </w:r>
          </w:p>
        </w:tc>
      </w:tr>
    </w:tbl>
    <w:p>
      <w:pPr>
        <w:spacing w:after="0" w:line="172" w:lineRule="exact"/>
        <w:rPr>
          <w:sz w:val="20"/>
          <w:szCs w:val="20"/>
          <w:color w:val="auto"/>
        </w:rPr>
      </w:pPr>
    </w:p>
    <w:p>
      <w:pPr>
        <w:ind w:left="1740" w:right="399" w:hanging="327"/>
        <w:spacing w:after="0" w:line="258"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1740" w:hanging="327"/>
        <w:spacing w:after="0"/>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less NAV per share, divided by the quarter-end NAV per share.</w:t>
      </w:r>
    </w:p>
    <w:p>
      <w:pPr>
        <w:spacing w:after="0" w:line="4" w:lineRule="exact"/>
        <w:rPr>
          <w:rFonts w:ascii="Times New Roman" w:cs="Times New Roman" w:eastAsia="Times New Roman" w:hAnsi="Times New Roman"/>
          <w:sz w:val="14"/>
          <w:szCs w:val="14"/>
          <w:color w:val="auto"/>
        </w:rPr>
      </w:pPr>
    </w:p>
    <w:p>
      <w:pPr>
        <w:ind w:left="1740" w:right="339" w:hanging="327"/>
        <w:spacing w:after="0" w:line="254"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distribution of $0.095 per share payable on February 1, 2023 to stockholders of record as of January 19, 2023. Investors in this offering will not be entitled to this distribution.</w:t>
      </w:r>
    </w:p>
    <w:p>
      <w:pPr>
        <w:spacing w:after="0" w:line="142" w:lineRule="exact"/>
        <w:rPr>
          <w:sz w:val="20"/>
          <w:szCs w:val="20"/>
          <w:color w:val="auto"/>
        </w:rPr>
      </w:pPr>
    </w:p>
    <w:p>
      <w:pPr>
        <w:ind w:left="1420" w:right="359"/>
        <w:spacing w:after="0" w:line="254" w:lineRule="auto"/>
        <w:rPr>
          <w:sz w:val="20"/>
          <w:szCs w:val="20"/>
          <w:color w:val="auto"/>
        </w:rPr>
      </w:pPr>
      <w:r>
        <w:rPr>
          <w:rFonts w:ascii="Times New Roman" w:cs="Times New Roman" w:eastAsia="Times New Roman" w:hAnsi="Times New Roman"/>
          <w:sz w:val="14"/>
          <w:szCs w:val="14"/>
          <w:color w:val="auto"/>
        </w:rPr>
        <w:t>Shares of BDCs may trade at a market price both above and below the NAV that is attributable to those shares. Our shares have traded above and below our NAV. Our shares closed on the NYSE at $9.60 and $11.48 on September 30, 2022 and June 30, 2022, respectively. Our NAV per share was $11.62 and $12.21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2022, we had 37 stockholders of record.</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sets forth:</w:t>
      </w:r>
    </w:p>
    <w:p>
      <w:pPr>
        <w:spacing w:after="0" w:line="98" w:lineRule="exact"/>
        <w:rPr>
          <w:sz w:val="20"/>
          <w:szCs w:val="20"/>
          <w:color w:val="auto"/>
        </w:rPr>
      </w:pPr>
    </w:p>
    <w:p>
      <w:pPr>
        <w:ind w:left="2160" w:hanging="33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capitalization as of September 30, 2022;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 forma capitalization to give effect to the sale of shares of our common stock in this offering (assuming no exercise of the</w:t>
      </w:r>
    </w:p>
    <w:p>
      <w:pPr>
        <w:spacing w:after="0" w:line="20" w:lineRule="exact"/>
        <w:rPr>
          <w:sz w:val="20"/>
          <w:szCs w:val="20"/>
          <w:color w:val="auto"/>
        </w:rPr>
      </w:pPr>
    </w:p>
    <w:p>
      <w:pPr>
        <w:ind w:left="2160" w:right="739"/>
        <w:spacing w:after="0" w:line="254" w:lineRule="auto"/>
        <w:rPr>
          <w:sz w:val="20"/>
          <w:szCs w:val="20"/>
          <w:color w:val="auto"/>
        </w:rPr>
      </w:pPr>
      <w:r>
        <w:rPr>
          <w:rFonts w:ascii="Times New Roman" w:cs="Times New Roman" w:eastAsia="Times New Roman" w:hAnsi="Times New Roman"/>
          <w:sz w:val="14"/>
          <w:szCs w:val="14"/>
          <w:color w:val="auto"/>
        </w:rPr>
        <w:t>underwriters’ option to purchase additional shares) based on the public offering price of $ per share, after deducting underwriting discounts and commission and estimated offering expenses of approximately $250,000 payable by us.</w:t>
      </w:r>
    </w:p>
    <w:p>
      <w:pPr>
        <w:spacing w:after="0" w:line="142"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color w:val="auto"/>
        </w:rPr>
        <w:t>This table should be read in conjunction with the “Use of Proceeds” section of this prospectus supplement, the “Management’s Discussion and Analysis of Financial Condition and Results of Operations” section and the financial statements and notes thereto in our most recently filed Annual Report on Form 10-K.</w:t>
      </w:r>
    </w:p>
    <w:p>
      <w:pPr>
        <w:spacing w:after="0" w:line="142"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As of September 30, 2022</w:t>
            </w: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color w:val="auto"/>
              </w:rPr>
              <w:t>(dollars in thousands, except data per share)</w:t>
            </w:r>
          </w:p>
        </w:tc>
        <w:tc>
          <w:tcPr>
            <w:tcW w:w="0" w:type="dxa"/>
            <w:vAlign w:val="bottom"/>
          </w:tcPr>
          <w:p>
            <w:pPr>
              <w:spacing w:after="0"/>
              <w:rPr>
                <w:sz w:val="1"/>
                <w:szCs w:val="1"/>
                <w:color w:val="auto"/>
              </w:rPr>
            </w:pPr>
          </w:p>
        </w:tc>
      </w:tr>
      <w:tr>
        <w:trPr>
          <w:trHeight w:val="85"/>
        </w:trPr>
        <w:tc>
          <w:tcPr>
            <w:tcW w:w="6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2"/>
            <w:vMerge w:val="restart"/>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900" w:type="dxa"/>
            <w:vAlign w:val="bottom"/>
            <w:tcBorders>
              <w:top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(unaudited)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Pro Forma</w:t>
            </w:r>
            <w:r>
              <w:rPr>
                <w:rFonts w:ascii="Times New Roman" w:cs="Times New Roman" w:eastAsia="Times New Roman" w:hAnsi="Times New Roman"/>
                <w:sz w:val="8"/>
                <w:szCs w:val="8"/>
                <w:b w:val="1"/>
                <w:bCs w:val="1"/>
                <w:color w:val="auto"/>
                <w:w w:val="98"/>
              </w:rPr>
              <w:t>(1)</w:t>
            </w:r>
          </w:p>
        </w:tc>
        <w:tc>
          <w:tcPr>
            <w:tcW w:w="0" w:type="dxa"/>
            <w:vAlign w:val="bottom"/>
          </w:tcPr>
          <w:p>
            <w:pPr>
              <w:spacing w:after="0"/>
              <w:rPr>
                <w:sz w:val="1"/>
                <w:szCs w:val="1"/>
                <w:color w:val="auto"/>
              </w:rPr>
            </w:pPr>
          </w:p>
        </w:tc>
      </w:tr>
      <w:tr>
        <w:trPr>
          <w:trHeight w:val="146"/>
        </w:trPr>
        <w:tc>
          <w:tcPr>
            <w:tcW w:w="62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1,164,254</w:t>
            </w:r>
          </w:p>
        </w:tc>
        <w:tc>
          <w:tcPr>
            <w:tcW w:w="900" w:type="dxa"/>
            <w:vAlign w:val="bottom"/>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47,880</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11,732</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1,223,866</w:t>
            </w:r>
          </w:p>
        </w:tc>
        <w:tc>
          <w:tcPr>
            <w:tcW w:w="90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167,563</w:t>
            </w:r>
          </w:p>
        </w:tc>
        <w:tc>
          <w:tcPr>
            <w:tcW w:w="90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2023 Notes payable</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96,812</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 Notes payable</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182,276</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2031 Asset-Backed Debt</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226,128</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23,995</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696,774</w:t>
            </w:r>
          </w:p>
        </w:tc>
        <w:tc>
          <w:tcPr>
            <w:tcW w:w="900" w:type="dxa"/>
            <w:vAlign w:val="bottom"/>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2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Common stock, par value $0.001 per share, 45,345,638 shares issued and outstanding as of September 30,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 49,681,815 shares issued and outstanding pro forma</w:t>
            </w:r>
          </w:p>
        </w:tc>
        <w:tc>
          <w:tcPr>
            <w:tcW w:w="10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45</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618,028</w:t>
            </w: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(90,981)</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527,092</w:t>
            </w:r>
          </w:p>
        </w:tc>
        <w:tc>
          <w:tcPr>
            <w:tcW w:w="90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11.62</w:t>
            </w:r>
          </w:p>
        </w:tc>
        <w:tc>
          <w:tcPr>
            <w:tcW w:w="900" w:type="dxa"/>
            <w:vAlign w:val="bottom"/>
          </w:tcPr>
          <w:p>
            <w:pPr>
              <w:jc w:val="right"/>
              <w:ind w:right="789"/>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740" w:right="759" w:hanging="327"/>
        <w:spacing w:after="0" w:line="277"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up to 637,500 shares of our common stock issuable by us upon exercise of the underwriters’ option to purchase additional shares (assuming the net proceeds from this offering are invested in cash and cash equivalents).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3" w:lineRule="exact"/>
        <w:rPr>
          <w:sz w:val="20"/>
          <w:szCs w:val="20"/>
          <w:color w:val="auto"/>
        </w:rPr>
      </w:pPr>
    </w:p>
    <w:p>
      <w:pPr>
        <w:ind w:left="1420" w:right="299"/>
        <w:spacing w:after="0" w:line="257" w:lineRule="auto"/>
        <w:rPr>
          <w:sz w:val="20"/>
          <w:szCs w:val="20"/>
          <w:color w:val="auto"/>
        </w:rPr>
      </w:pPr>
      <w:r>
        <w:rPr>
          <w:rFonts w:ascii="Times New Roman" w:cs="Times New Roman" w:eastAsia="Times New Roman" w:hAnsi="Times New Roman"/>
          <w:sz w:val="14"/>
          <w:szCs w:val="14"/>
          <w:color w:val="auto"/>
        </w:rPr>
        <w:t>We intend to offer the shares through the underwriters named in the table below. Morgan Stanley &amp; Co. LLC, UBS Securities LLC, Goldman Sachs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44" w:lineRule="exact"/>
        <w:rPr>
          <w:sz w:val="20"/>
          <w:szCs w:val="20"/>
          <w:color w:val="auto"/>
        </w:rPr>
      </w:pPr>
    </w:p>
    <w:tbl>
      <w:tblPr>
        <w:tblLayout w:type="fixed"/>
        <w:tblInd w:w="2780" w:type="dxa"/>
        <w:tblCellMar>
          <w:top w:w="0" w:type="dxa"/>
          <w:left w:w="0" w:type="dxa"/>
          <w:bottom w:w="0" w:type="dxa"/>
          <w:right w:w="0" w:type="dxa"/>
        </w:tblCellMar>
      </w:tblPr>
      <w:tr>
        <w:trPr>
          <w:trHeight w:val="126"/>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Underwriter Names</w:t>
            </w:r>
          </w:p>
        </w:tc>
        <w:tc>
          <w:tcPr>
            <w:tcW w:w="3980" w:type="dxa"/>
            <w:vAlign w:val="bottom"/>
            <w:vMerge w:val="restart"/>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3"/>
        </w:trPr>
        <w:tc>
          <w:tcPr>
            <w:tcW w:w="94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820" w:type="dxa"/>
            <w:vAlign w:val="bottom"/>
            <w:gridSpan w:val="2"/>
          </w:tcPr>
          <w:p>
            <w:pPr>
              <w:jc w:val="center"/>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36"/>
        </w:trPr>
        <w:tc>
          <w:tcPr>
            <w:tcW w:w="492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Morgan Stanley &amp; Co. LLC</w:t>
            </w: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Keefe, Bruyette &amp; Woods, Inc.</w:t>
            </w:r>
          </w:p>
        </w:tc>
        <w:tc>
          <w:tcPr>
            <w:tcW w:w="7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color w:val="auto"/>
              </w:rPr>
              <w:t>4,250,000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20" w:right="519"/>
        <w:spacing w:after="0" w:line="254"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44"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 and breaches of representations and warranties set forth in the underwriting agreement, or to contribute to payments the underwriters may be required to make in respect of those liabilities.</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90" w:lineRule="exact"/>
        <w:rPr>
          <w:sz w:val="20"/>
          <w:szCs w:val="20"/>
          <w:color w:val="auto"/>
        </w:rPr>
      </w:pPr>
    </w:p>
    <w:p>
      <w:pPr>
        <w:ind w:left="1420" w:right="459"/>
        <w:spacing w:after="0" w:line="278" w:lineRule="auto"/>
        <w:rPr>
          <w:sz w:val="20"/>
          <w:szCs w:val="20"/>
          <w:color w:val="auto"/>
        </w:rPr>
      </w:pPr>
      <w:r>
        <w:rPr>
          <w:rFonts w:ascii="Times New Roman" w:cs="Times New Roman" w:eastAsia="Times New Roman" w:hAnsi="Times New Roman"/>
          <w:sz w:val="13"/>
          <w:szCs w:val="13"/>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w:t>
      </w:r>
    </w:p>
    <w:p>
      <w:pPr>
        <w:spacing w:after="0" w:line="1" w:lineRule="exact"/>
        <w:rPr>
          <w:sz w:val="20"/>
          <w:szCs w:val="20"/>
          <w:color w:val="auto"/>
        </w:rPr>
      </w:pPr>
    </w:p>
    <w:p>
      <w:pPr>
        <w:ind w:left="1420" w:right="719" w:hanging="7"/>
        <w:spacing w:after="0" w:line="254" w:lineRule="auto"/>
        <w:tabs>
          <w:tab w:leader="none" w:pos="19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After the public offering, the public offering price, concession and discount may be changed. No such change shall change the amount of proceeds to be received by us as set forth on the cover page of this prospectus supplement.</w:t>
      </w:r>
    </w:p>
    <w:p>
      <w:pPr>
        <w:spacing w:after="0" w:line="142" w:lineRule="exact"/>
        <w:rPr>
          <w:sz w:val="20"/>
          <w:szCs w:val="20"/>
          <w:color w:val="auto"/>
        </w:rPr>
      </w:pPr>
    </w:p>
    <w:p>
      <w:pPr>
        <w:ind w:left="1420" w:right="479"/>
        <w:spacing w:after="0" w:line="277"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we will pay to the underwriters assuming both no exercise and full exercise of the underwriters’ option to purchase up to an additional 637,500 shares.</w:t>
      </w:r>
    </w:p>
    <w:p>
      <w:pPr>
        <w:spacing w:after="0" w:line="142"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6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w w:val="98"/>
              </w:rPr>
              <w:t>Without Option</w:t>
            </w: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With Option</w:t>
            </w:r>
          </w:p>
        </w:tc>
      </w:tr>
      <w:tr>
        <w:trPr>
          <w:trHeight w:val="146"/>
        </w:trPr>
        <w:tc>
          <w:tcPr>
            <w:tcW w:w="680" w:type="dxa"/>
            <w:vAlign w:val="bottom"/>
          </w:tcPr>
          <w:p>
            <w:pPr>
              <w:spacing w:after="0"/>
              <w:rPr>
                <w:sz w:val="12"/>
                <w:szCs w:val="12"/>
                <w:color w:val="auto"/>
              </w:rPr>
            </w:pPr>
          </w:p>
        </w:tc>
        <w:tc>
          <w:tcPr>
            <w:tcW w:w="31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Public offering price</w:t>
            </w:r>
          </w:p>
        </w:tc>
        <w:tc>
          <w:tcPr>
            <w:tcW w:w="13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spacing w:after="0"/>
              <w:rPr>
                <w:sz w:val="12"/>
                <w:szCs w:val="12"/>
                <w:color w:val="auto"/>
              </w:rPr>
            </w:pPr>
          </w:p>
        </w:tc>
      </w:tr>
      <w:tr>
        <w:trPr>
          <w:trHeight w:val="156"/>
        </w:trPr>
        <w:tc>
          <w:tcPr>
            <w:tcW w:w="68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Underwriting discounts and commissions (sales load) </w:t>
            </w:r>
            <w:r>
              <w:rPr>
                <w:rFonts w:ascii="Times New Roman" w:cs="Times New Roman" w:eastAsia="Times New Roman" w:hAnsi="Times New Roman"/>
                <w:sz w:val="18"/>
                <w:szCs w:val="18"/>
                <w:color w:val="auto"/>
                <w:vertAlign w:val="superscript"/>
              </w:rPr>
              <w:t>(1)</w:t>
            </w:r>
          </w:p>
        </w:tc>
        <w:tc>
          <w:tcPr>
            <w:tcW w:w="1880" w:type="dxa"/>
            <w:vAlign w:val="bottom"/>
            <w:gridSpan w:val="2"/>
          </w:tcPr>
          <w:p>
            <w:pPr>
              <w:jc w:val="right"/>
              <w:ind w:right="40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980" w:type="dxa"/>
            <w:vAlign w:val="bottom"/>
            <w:gridSpan w:val="2"/>
          </w:tcPr>
          <w:p>
            <w:pPr>
              <w:jc w:val="right"/>
              <w:ind w:right="51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3"/>
                <w:szCs w:val="13"/>
                <w:color w:val="auto"/>
              </w:rPr>
            </w:pPr>
          </w:p>
        </w:tc>
      </w:tr>
      <w:tr>
        <w:trPr>
          <w:trHeight w:val="139"/>
        </w:trPr>
        <w:tc>
          <w:tcPr>
            <w:tcW w:w="680" w:type="dxa"/>
            <w:vAlign w:val="bottom"/>
          </w:tcPr>
          <w:p>
            <w:pPr>
              <w:spacing w:after="0"/>
              <w:rPr>
                <w:sz w:val="12"/>
                <w:szCs w:val="12"/>
                <w:color w:val="auto"/>
              </w:rPr>
            </w:pPr>
          </w:p>
        </w:tc>
        <w:tc>
          <w:tcPr>
            <w:tcW w:w="502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Proceeds to PennantPark Floating Rate Capital Ltd. (before offering expenses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620" w:type="dxa"/>
            <w:vAlign w:val="bottom"/>
          </w:tcPr>
          <w:p>
            <w:pPr>
              <w:spacing w:after="0"/>
              <w:rPr>
                <w:sz w:val="12"/>
                <w:szCs w:val="12"/>
                <w:color w:val="auto"/>
              </w:rPr>
            </w:pPr>
          </w:p>
        </w:tc>
      </w:tr>
      <w:tr>
        <w:trPr>
          <w:trHeight w:val="172"/>
        </w:trPr>
        <w:tc>
          <w:tcPr>
            <w:tcW w:w="68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$250,000)</w:t>
            </w:r>
          </w:p>
        </w:tc>
        <w:tc>
          <w:tcPr>
            <w:tcW w:w="1880" w:type="dxa"/>
            <w:vAlign w:val="bottom"/>
            <w:gridSpan w:val="2"/>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r>
      <w:tr>
        <w:trPr>
          <w:trHeight w:val="353"/>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Our Investment Adviser has agreed to pay approximately $</w:t>
            </w:r>
          </w:p>
        </w:tc>
        <w:tc>
          <w:tcPr>
            <w:tcW w:w="2480" w:type="dxa"/>
            <w:vAlign w:val="bottom"/>
            <w:gridSpan w:val="4"/>
          </w:tcPr>
          <w:p>
            <w:pPr>
              <w:jc w:val="right"/>
              <w:ind w:right="165"/>
              <w:spacing w:after="0"/>
              <w:rPr>
                <w:sz w:val="20"/>
                <w:szCs w:val="20"/>
                <w:color w:val="auto"/>
              </w:rPr>
            </w:pPr>
            <w:r>
              <w:rPr>
                <w:rFonts w:ascii="Times New Roman" w:cs="Times New Roman" w:eastAsia="Times New Roman" w:hAnsi="Times New Roman"/>
                <w:sz w:val="14"/>
                <w:szCs w:val="14"/>
                <w:color w:val="auto"/>
              </w:rPr>
              <w:t>, or $  per share (or approximately $</w:t>
            </w:r>
          </w:p>
        </w:tc>
        <w:tc>
          <w:tcPr>
            <w:tcW w:w="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or $</w:t>
            </w:r>
          </w:p>
        </w:tc>
        <w:tc>
          <w:tcPr>
            <w:tcW w:w="3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7"/>
              </w:rPr>
              <w:t>per share if the option</w:t>
            </w:r>
          </w:p>
        </w:tc>
      </w:tr>
    </w:tbl>
    <w:p>
      <w:pPr>
        <w:jc w:val="both"/>
        <w:ind w:left="1740" w:right="319"/>
        <w:spacing w:after="0" w:line="251" w:lineRule="auto"/>
        <w:rPr>
          <w:sz w:val="20"/>
          <w:szCs w:val="20"/>
          <w:color w:val="auto"/>
        </w:rPr>
      </w:pPr>
      <w:r>
        <w:rPr>
          <w:rFonts w:ascii="Times New Roman" w:cs="Times New Roman" w:eastAsia="Times New Roman" w:hAnsi="Times New Roman"/>
          <w:sz w:val="14"/>
          <w:szCs w:val="14"/>
          <w:color w:val="auto"/>
        </w:rPr>
        <w:t>to purchase additional shares is fully exercised), of the underwriting discounts and/or commissions in connection with this offering, which amount is not reflected in the above table. All other expenses of the offering, including the sales load not paid by our Investment Adviser, will be borne by us. We are not obligated to repay the sales load paid by our Investment Adviser.</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Option to Purchase Additional Shares</w:t>
      </w:r>
    </w:p>
    <w:p>
      <w:pPr>
        <w:spacing w:after="0" w:line="90" w:lineRule="exact"/>
        <w:rPr>
          <w:sz w:val="20"/>
          <w:szCs w:val="20"/>
          <w:color w:val="auto"/>
        </w:rPr>
      </w:pPr>
    </w:p>
    <w:p>
      <w:pPr>
        <w:ind w:left="1420" w:right="359"/>
        <w:spacing w:after="0" w:line="257" w:lineRule="auto"/>
        <w:rPr>
          <w:sz w:val="20"/>
          <w:szCs w:val="20"/>
          <w:color w:val="auto"/>
        </w:rPr>
      </w:pPr>
      <w:r>
        <w:rPr>
          <w:rFonts w:ascii="Times New Roman" w:cs="Times New Roman" w:eastAsia="Times New Roman" w:hAnsi="Times New Roman"/>
          <w:sz w:val="14"/>
          <w:szCs w:val="14"/>
          <w:color w:val="auto"/>
        </w:rPr>
        <w:t>We have granted an option to the underwriters to purchase up to 637,500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0" w:lineRule="exact"/>
        <w:rPr>
          <w:sz w:val="20"/>
          <w:szCs w:val="20"/>
          <w:color w:val="auto"/>
        </w:rPr>
      </w:pPr>
    </w:p>
    <w:p>
      <w:pPr>
        <w:ind w:left="1420" w:right="519"/>
        <w:spacing w:after="0" w:line="277" w:lineRule="auto"/>
        <w:rPr>
          <w:sz w:val="20"/>
          <w:szCs w:val="20"/>
          <w:color w:val="auto"/>
        </w:rPr>
      </w:pPr>
      <w:r>
        <w:rPr>
          <w:rFonts w:ascii="Times New Roman" w:cs="Times New Roman" w:eastAsia="Times New Roman" w:hAnsi="Times New Roman"/>
          <w:sz w:val="14"/>
          <w:szCs w:val="14"/>
          <w:color w:val="auto"/>
        </w:rPr>
        <w:t>We have agreed, with exceptions, not to sell or transfer any shares for 60 days after the date of this prospectus supplement without first obtaining the written consent of Morgan Stanley &amp; Co. LLC.</w:t>
      </w:r>
    </w:p>
    <w:p>
      <w:pPr>
        <w:spacing w:after="0" w:line="126" w:lineRule="exact"/>
        <w:rPr>
          <w:sz w:val="20"/>
          <w:szCs w:val="20"/>
          <w:color w:val="auto"/>
        </w:rPr>
      </w:pPr>
    </w:p>
    <w:p>
      <w:pPr>
        <w:ind w:left="1420" w:right="439"/>
        <w:spacing w:after="0" w:line="262" w:lineRule="auto"/>
        <w:rPr>
          <w:sz w:val="20"/>
          <w:szCs w:val="20"/>
          <w:color w:val="auto"/>
        </w:rPr>
      </w:pPr>
      <w:r>
        <w:rPr>
          <w:rFonts w:ascii="Times New Roman" w:cs="Times New Roman" w:eastAsia="Times New Roman" w:hAnsi="Times New Roman"/>
          <w:sz w:val="14"/>
          <w:szCs w:val="14"/>
          <w:color w:val="auto"/>
        </w:rPr>
        <w:t>Our executive officers and directors, PennantPark Investment Advisers, and the Administrator have agreed, with exceptions, not to sell or transfer any common stock for 60 days after the date of this prospectus supplement without first obtaining the written consent of Morgan Stanley &amp; Co. LLC. Specifically, we and these other individuals and entities have agreed not to directly or indirectly:</w:t>
      </w:r>
    </w:p>
    <w:p>
      <w:pPr>
        <w:spacing w:after="0" w:line="64" w:lineRule="exact"/>
        <w:rPr>
          <w:sz w:val="20"/>
          <w:szCs w:val="20"/>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or contract to sell any common stock;</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any option or contract to purchase any common stock;</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any option or contract to sell any common stock;</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option, right or warrant for the sale of any common stock;</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 or otherwise dispose of or transfer any common stock;</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or demand that we file a registration statement related to the common stock; or</w:t>
      </w:r>
    </w:p>
    <w:p>
      <w:pPr>
        <w:spacing w:after="0" w:line="98" w:lineRule="exact"/>
        <w:rPr>
          <w:rFonts w:ascii="Times New Roman" w:cs="Times New Roman" w:eastAsia="Times New Roman" w:hAnsi="Times New Roman"/>
          <w:sz w:val="14"/>
          <w:szCs w:val="14"/>
          <w:color w:val="auto"/>
        </w:rPr>
      </w:pPr>
    </w:p>
    <w:p>
      <w:pPr>
        <w:ind w:left="2160" w:right="459" w:hanging="332"/>
        <w:spacing w:after="0" w:line="277"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26" w:lineRule="exact"/>
        <w:rPr>
          <w:sz w:val="20"/>
          <w:szCs w:val="20"/>
          <w:color w:val="auto"/>
        </w:rPr>
      </w:pPr>
    </w:p>
    <w:p>
      <w:pPr>
        <w:jc w:val="both"/>
        <w:ind w:left="1420" w:right="339"/>
        <w:spacing w:after="0" w:line="262" w:lineRule="auto"/>
        <w:rPr>
          <w:sz w:val="20"/>
          <w:szCs w:val="20"/>
          <w:color w:val="auto"/>
        </w:rPr>
      </w:pPr>
      <w:r>
        <w:rPr>
          <w:rFonts w:ascii="Times New Roman" w:cs="Times New Roman" w:eastAsia="Times New Roman" w:hAnsi="Times New Roman"/>
          <w:sz w:val="14"/>
          <w:szCs w:val="14"/>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New York Stock Exchange and Tel Aviv Stock Exchange</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common stock is listed on the NYSE and the TASE under the symbol “PFLT.”</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Short Positions</w:t>
      </w:r>
    </w:p>
    <w:p>
      <w:pPr>
        <w:spacing w:after="0" w:line="90"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our common stock in the open market. These transactions may include short sales and purchases on the open market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the option. The underwriters must close out any naked short position by purchasing shares in the open market. A naked short</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559"/>
        <w:spacing w:after="0" w:line="277" w:lineRule="auto"/>
        <w:rPr>
          <w:sz w:val="20"/>
          <w:szCs w:val="20"/>
          <w:color w:val="auto"/>
        </w:rPr>
      </w:pPr>
      <w:r>
        <w:rPr>
          <w:rFonts w:ascii="Times New Roman" w:cs="Times New Roman" w:eastAsia="Times New Roman" w:hAnsi="Times New Roman"/>
          <w:sz w:val="14"/>
          <w:szCs w:val="14"/>
          <w:color w:val="auto"/>
        </w:rPr>
        <w:t>position is more likely to be created if the underwriters are concerned that there may be downward pressure on the price of our common stock in the open market after pricing that could adversely affect investors who purchase in the offering.</w:t>
      </w:r>
    </w:p>
    <w:p>
      <w:pPr>
        <w:spacing w:after="0" w:line="126" w:lineRule="exact"/>
        <w:rPr>
          <w:sz w:val="20"/>
          <w:szCs w:val="20"/>
          <w:color w:val="auto"/>
        </w:rPr>
      </w:pPr>
    </w:p>
    <w:p>
      <w:pPr>
        <w:ind w:left="1420" w:right="379"/>
        <w:spacing w:after="0" w:line="257"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40" w:lineRule="exact"/>
        <w:rPr>
          <w:sz w:val="20"/>
          <w:szCs w:val="20"/>
          <w:color w:val="auto"/>
        </w:rPr>
      </w:pPr>
    </w:p>
    <w:p>
      <w:pPr>
        <w:ind w:left="1420" w:right="699"/>
        <w:spacing w:after="0" w:line="291" w:lineRule="auto"/>
        <w:rPr>
          <w:sz w:val="20"/>
          <w:szCs w:val="20"/>
          <w:color w:val="auto"/>
        </w:rPr>
      </w:pPr>
      <w:r>
        <w:rPr>
          <w:rFonts w:ascii="Times New Roman" w:cs="Times New Roman" w:eastAsia="Times New Roman" w:hAnsi="Times New Roman"/>
          <w:sz w:val="13"/>
          <w:szCs w:val="13"/>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Passive Market Making</w:t>
      </w:r>
    </w:p>
    <w:p>
      <w:pPr>
        <w:spacing w:after="0" w:line="90" w:lineRule="exact"/>
        <w:rPr>
          <w:sz w:val="20"/>
          <w:szCs w:val="20"/>
          <w:color w:val="auto"/>
        </w:rPr>
      </w:pPr>
    </w:p>
    <w:p>
      <w:pPr>
        <w:jc w:val="both"/>
        <w:ind w:left="1420" w:right="319"/>
        <w:spacing w:after="0" w:line="274" w:lineRule="auto"/>
        <w:rPr>
          <w:sz w:val="20"/>
          <w:szCs w:val="20"/>
          <w:color w:val="auto"/>
        </w:rPr>
      </w:pPr>
      <w:r>
        <w:rPr>
          <w:rFonts w:ascii="Times New Roman" w:cs="Times New Roman" w:eastAsia="Times New Roman" w:hAnsi="Times New Roman"/>
          <w:sz w:val="13"/>
          <w:szCs w:val="13"/>
          <w:color w:val="auto"/>
        </w:rPr>
        <w:t>In connection with this offering, underwriters may engage in passive market making transactions in the common stock on the NYSE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1" w:lineRule="exact"/>
        <w:rPr>
          <w:sz w:val="20"/>
          <w:szCs w:val="20"/>
          <w:color w:val="auto"/>
        </w:rPr>
      </w:pPr>
    </w:p>
    <w:p>
      <w:pPr>
        <w:ind w:left="1420" w:right="359"/>
        <w:spacing w:after="0" w:line="249" w:lineRule="auto"/>
        <w:rPr>
          <w:sz w:val="20"/>
          <w:szCs w:val="20"/>
          <w:color w:val="auto"/>
        </w:rPr>
      </w:pPr>
      <w:r>
        <w:rPr>
          <w:rFonts w:ascii="Times New Roman" w:cs="Times New Roman" w:eastAsia="Times New Roman" w:hAnsi="Times New Roman"/>
          <w:sz w:val="14"/>
          <w:szCs w:val="14"/>
          <w:color w:val="auto"/>
        </w:rPr>
        <w:t>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Electronic Offer, Sale and Distribution of Shares</w:t>
      </w:r>
    </w:p>
    <w:p>
      <w:pPr>
        <w:spacing w:after="0" w:line="90" w:lineRule="exact"/>
        <w:rPr>
          <w:sz w:val="20"/>
          <w:szCs w:val="20"/>
          <w:color w:val="auto"/>
        </w:rPr>
      </w:pPr>
    </w:p>
    <w:p>
      <w:pPr>
        <w:ind w:left="1420" w:right="419"/>
        <w:spacing w:after="0" w:line="262" w:lineRule="auto"/>
        <w:rPr>
          <w:sz w:val="20"/>
          <w:szCs w:val="20"/>
          <w:color w:val="auto"/>
        </w:rPr>
      </w:pPr>
      <w:r>
        <w:rPr>
          <w:rFonts w:ascii="Times New Roman" w:cs="Times New Roman" w:eastAsia="Times New Roman" w:hAnsi="Times New Roman"/>
          <w:sz w:val="14"/>
          <w:szCs w:val="14"/>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0" w:lineRule="exact"/>
        <w:rPr>
          <w:sz w:val="20"/>
          <w:szCs w:val="20"/>
          <w:color w:val="auto"/>
        </w:rPr>
      </w:pPr>
    </w:p>
    <w:p>
      <w:pPr>
        <w:ind w:left="1420" w:right="419"/>
        <w:spacing w:after="0" w:line="252"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and brokerage and other financing and non-financial activities and services. The underwriters and their respective affiliates have provided in the past to the Company and may provide from time to time in the future in the ordinary course of their business certain commercial banking, financial advisory, investment banking and other services to us for which they have received or will be entitled to receive separate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44" w:lineRule="exact"/>
        <w:rPr>
          <w:sz w:val="20"/>
          <w:szCs w:val="20"/>
          <w:color w:val="auto"/>
        </w:rPr>
      </w:pPr>
    </w:p>
    <w:p>
      <w:pPr>
        <w:jc w:val="both"/>
        <w:ind w:left="1420" w:right="299"/>
        <w:spacing w:after="0" w:line="262" w:lineRule="auto"/>
        <w:rPr>
          <w:sz w:val="20"/>
          <w:szCs w:val="20"/>
          <w:color w:val="auto"/>
        </w:rPr>
      </w:pPr>
      <w:r>
        <w:rPr>
          <w:rFonts w:ascii="Times New Roman" w:cs="Times New Roman" w:eastAsia="Times New Roman" w:hAnsi="Times New Roman"/>
          <w:sz w:val="14"/>
          <w:szCs w:val="14"/>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the portfolio companies.</w:t>
      </w:r>
    </w:p>
    <w:p>
      <w:pPr>
        <w:spacing w:after="0" w:line="136" w:lineRule="exact"/>
        <w:rPr>
          <w:sz w:val="20"/>
          <w:szCs w:val="20"/>
          <w:color w:val="auto"/>
        </w:rPr>
      </w:pPr>
    </w:p>
    <w:p>
      <w:pPr>
        <w:ind w:left="1420" w:right="359"/>
        <w:spacing w:after="0" w:line="291" w:lineRule="auto"/>
        <w:rPr>
          <w:sz w:val="20"/>
          <w:szCs w:val="20"/>
          <w:color w:val="auto"/>
        </w:rPr>
      </w:pPr>
      <w:r>
        <w:rPr>
          <w:rFonts w:ascii="Times New Roman" w:cs="Times New Roman" w:eastAsia="Times New Roman" w:hAnsi="Times New Roman"/>
          <w:sz w:val="13"/>
          <w:szCs w:val="13"/>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99"/>
        <w:spacing w:after="0" w:line="277" w:lineRule="auto"/>
        <w:rPr>
          <w:sz w:val="20"/>
          <w:szCs w:val="20"/>
          <w:color w:val="auto"/>
        </w:rPr>
      </w:pPr>
      <w:r>
        <w:rPr>
          <w:rFonts w:ascii="Times New Roman" w:cs="Times New Roman" w:eastAsia="Times New Roman" w:hAnsi="Times New Roman"/>
          <w:sz w:val="14"/>
          <w:szCs w:val="14"/>
          <w:color w:val="auto"/>
        </w:rPr>
        <w:t>After the date of this prospectus supplement, the underwriters and their affiliates may from time to time obtain information regarding specific portfolio companies or us that may not be available to the general public.</w:t>
      </w:r>
    </w:p>
    <w:p>
      <w:pPr>
        <w:spacing w:after="0" w:line="126"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Any such information is obtained by the underwriters and their affiliates in the ordinary course of their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43" w:lineRule="exact"/>
        <w:rPr>
          <w:sz w:val="20"/>
          <w:szCs w:val="20"/>
          <w:color w:val="auto"/>
        </w:rPr>
      </w:pPr>
    </w:p>
    <w:p>
      <w:pPr>
        <w:ind w:left="1420" w:right="319"/>
        <w:spacing w:after="0" w:line="279" w:lineRule="auto"/>
        <w:rPr>
          <w:sz w:val="20"/>
          <w:szCs w:val="20"/>
          <w:color w:val="auto"/>
        </w:rPr>
      </w:pPr>
      <w:r>
        <w:rPr>
          <w:rFonts w:ascii="Times New Roman" w:cs="Times New Roman" w:eastAsia="Times New Roman" w:hAnsi="Times New Roman"/>
          <w:sz w:val="13"/>
          <w:szCs w:val="13"/>
          <w:color w:val="auto"/>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7" w:lineRule="exact"/>
        <w:rPr>
          <w:sz w:val="20"/>
          <w:szCs w:val="20"/>
          <w:color w:val="auto"/>
        </w:rPr>
      </w:pPr>
    </w:p>
    <w:p>
      <w:pPr>
        <w:ind w:left="1420" w:right="519"/>
        <w:spacing w:after="0" w:line="262" w:lineRule="auto"/>
        <w:rPr>
          <w:sz w:val="20"/>
          <w:szCs w:val="20"/>
          <w:color w:val="auto"/>
        </w:rPr>
      </w:pPr>
      <w:r>
        <w:rPr>
          <w:rFonts w:ascii="Times New Roman" w:cs="Times New Roman" w:eastAsia="Times New Roman" w:hAnsi="Times New Roman"/>
          <w:sz w:val="14"/>
          <w:szCs w:val="14"/>
          <w:color w:val="auto"/>
        </w:rPr>
        <w:t>Affiliates of certain of the underwriters serve as agents and/or lenders under our Credit Facility and may serve as lenders under any future credit facilities. Certain of the underwriters and their affiliates were underwriters in connection with our initial public offering and our subsequent common stock offerings and debt offerings for which they received customary fees.</w:t>
      </w:r>
    </w:p>
    <w:p>
      <w:pPr>
        <w:spacing w:after="0" w:line="136" w:lineRule="exact"/>
        <w:rPr>
          <w:sz w:val="20"/>
          <w:szCs w:val="20"/>
          <w:color w:val="auto"/>
        </w:rPr>
      </w:pPr>
    </w:p>
    <w:p>
      <w:pPr>
        <w:ind w:left="1420" w:right="399"/>
        <w:spacing w:after="0" w:line="277" w:lineRule="auto"/>
        <w:rPr>
          <w:sz w:val="20"/>
          <w:szCs w:val="20"/>
          <w:color w:val="auto"/>
        </w:rPr>
      </w:pPr>
      <w:r>
        <w:rPr>
          <w:rFonts w:ascii="Times New Roman" w:cs="Times New Roman" w:eastAsia="Times New Roman" w:hAnsi="Times New Roman"/>
          <w:sz w:val="14"/>
          <w:szCs w:val="14"/>
          <w:color w:val="auto"/>
        </w:rPr>
        <w:t>Proceeds of this offering may be used to repay indebtedness under the Credit Facility. Accordingly, affiliates of certain of the underwriters may receive more than 5% of the proceeds of the offering to the extent such proceeds are used to repay amounts outstanding under our Credit Facility.</w:t>
      </w:r>
    </w:p>
    <w:p>
      <w:pPr>
        <w:spacing w:after="0" w:line="126"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color w:val="auto"/>
        </w:rPr>
        <w:t>The principal business addresses of the underwriters are: Morgan Stanley &amp; Co. LLC, 1585 Broadway, New York, NY 10036; UBS Securities LLC, 1285 Avenue of the Americas, New York, NY 10019; Goldman Sachs &amp; Co. LLC, 200 West Street, New York, NY 10282; J.P. Morgan Securities LLC, 383 Madison Avenue, New York, NY 10179; and Keefe, Bruyette &amp; Woods, Inc., 787 Seventh Avenue, New York, NY 10019.</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90" w:lineRule="exact"/>
        <w:rPr>
          <w:sz w:val="20"/>
          <w:szCs w:val="20"/>
          <w:color w:val="auto"/>
        </w:rPr>
      </w:pPr>
    </w:p>
    <w:p>
      <w:pPr>
        <w:ind w:left="1420" w:right="359"/>
        <w:spacing w:after="0" w:line="25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0" w:lineRule="exact"/>
        <w:rPr>
          <w:sz w:val="20"/>
          <w:szCs w:val="20"/>
          <w:color w:val="auto"/>
        </w:rPr>
      </w:pPr>
    </w:p>
    <w:p>
      <w:pPr>
        <w:ind w:left="1420" w:right="299"/>
        <w:spacing w:after="0" w:line="257" w:lineRule="auto"/>
        <w:rPr>
          <w:sz w:val="20"/>
          <w:szCs w:val="20"/>
          <w:color w:val="auto"/>
        </w:rPr>
      </w:pPr>
      <w:r>
        <w:rPr>
          <w:rFonts w:ascii="Times New Roman" w:cs="Times New Roman" w:eastAsia="Times New Roman" w:hAnsi="Times New Roman"/>
          <w:sz w:val="14"/>
          <w:szCs w:val="14"/>
          <w:color w:val="auto"/>
        </w:rPr>
        <w:t>Any offer in Australia of our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140" w:lineRule="exact"/>
        <w:rPr>
          <w:sz w:val="20"/>
          <w:szCs w:val="20"/>
          <w:color w:val="auto"/>
        </w:rPr>
      </w:pPr>
    </w:p>
    <w:p>
      <w:pPr>
        <w:ind w:left="1420" w:right="539"/>
        <w:spacing w:after="0" w:line="257" w:lineRule="auto"/>
        <w:rPr>
          <w:sz w:val="20"/>
          <w:szCs w:val="20"/>
          <w:color w:val="auto"/>
        </w:rPr>
      </w:pPr>
      <w:r>
        <w:rPr>
          <w:rFonts w:ascii="Times New Roman" w:cs="Times New Roman" w:eastAsia="Times New Roman" w:hAnsi="Times New Roman"/>
          <w:sz w:val="14"/>
          <w:szCs w:val="14"/>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439"/>
        <w:spacing w:after="0" w:line="257"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0" w:lineRule="exact"/>
        <w:rPr>
          <w:sz w:val="20"/>
          <w:szCs w:val="20"/>
          <w:color w:val="auto"/>
        </w:rPr>
      </w:pPr>
    </w:p>
    <w:p>
      <w:pPr>
        <w:ind w:left="1420" w:right="299"/>
        <w:spacing w:after="0" w:line="252"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0" w:lineRule="exact"/>
        <w:rPr>
          <w:sz w:val="20"/>
          <w:szCs w:val="20"/>
          <w:color w:val="auto"/>
        </w:rPr>
      </w:pPr>
    </w:p>
    <w:p>
      <w:pPr>
        <w:ind w:left="1420" w:right="279"/>
        <w:spacing w:after="0" w:line="251" w:lineRule="auto"/>
        <w:rPr>
          <w:sz w:val="20"/>
          <w:szCs w:val="20"/>
          <w:color w:val="auto"/>
        </w:rPr>
      </w:pPr>
      <w:r>
        <w:rPr>
          <w:rFonts w:ascii="Times New Roman" w:cs="Times New Roman" w:eastAsia="Times New Roman" w:hAnsi="Times New Roman"/>
          <w:sz w:val="14"/>
          <w:szCs w:val="14"/>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jc w:val="both"/>
        <w:ind w:left="1420" w:right="399"/>
        <w:spacing w:after="0" w:line="317" w:lineRule="auto"/>
        <w:rPr>
          <w:sz w:val="20"/>
          <w:szCs w:val="20"/>
          <w:color w:val="auto"/>
        </w:rPr>
      </w:pPr>
      <w:r>
        <w:rPr>
          <w:rFonts w:ascii="Times New Roman" w:cs="Times New Roman" w:eastAsia="Times New Roman" w:hAnsi="Times New Roman"/>
          <w:sz w:val="13"/>
          <w:szCs w:val="13"/>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2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3" w:lineRule="exact"/>
        <w:rPr>
          <w:sz w:val="20"/>
          <w:szCs w:val="20"/>
          <w:color w:val="auto"/>
        </w:rPr>
      </w:pPr>
    </w:p>
    <w:p>
      <w:pPr>
        <w:ind w:left="1420" w:right="299"/>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and the related consolidated senior securities table of PennantPark Floating Rate Capital Ltd. and subsidiaries as of September 30, 2022 and 2021 and for each of the years in the three-year period ended September 30, 2022 incorporated in this prospectus supplement by reference from our Annual Report on Form 10-K for the year ended September 30, 2022 have been audited by RSM US LLP, an independent registered public accounting firm, as stated in their report thereon, incorporated herein by reference, and have been incorporated in this prospectus supplement in reliance upon such report and upon the authority of such firm as experts in accounting and auditing.</w:t>
      </w:r>
    </w:p>
    <w:p>
      <w:pPr>
        <w:spacing w:after="0" w:line="3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INDEPENDENT AUDITOR</w:t>
      </w:r>
    </w:p>
    <w:p>
      <w:pPr>
        <w:spacing w:after="0" w:line="173" w:lineRule="exact"/>
        <w:rPr>
          <w:sz w:val="20"/>
          <w:szCs w:val="20"/>
          <w:color w:val="auto"/>
        </w:rPr>
      </w:pPr>
    </w:p>
    <w:p>
      <w:pPr>
        <w:ind w:left="1420" w:right="43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3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3" w:lineRule="exact"/>
        <w:rPr>
          <w:sz w:val="20"/>
          <w:szCs w:val="20"/>
          <w:color w:val="auto"/>
        </w:rPr>
      </w:pPr>
    </w:p>
    <w:p>
      <w:pPr>
        <w:ind w:left="1420" w:right="499"/>
        <w:spacing w:after="0" w:line="257"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40" w:lineRule="exact"/>
        <w:rPr>
          <w:sz w:val="20"/>
          <w:szCs w:val="20"/>
          <w:color w:val="auto"/>
        </w:rPr>
      </w:pPr>
    </w:p>
    <w:p>
      <w:pPr>
        <w:ind w:left="1420" w:right="299"/>
        <w:spacing w:after="0" w:line="257"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This prospectus supplement incorporates by reference the documents set forth below that have previously been filed with the SEC:</w:t>
      </w:r>
    </w:p>
    <w:p>
      <w:pPr>
        <w:spacing w:after="0" w:line="98" w:lineRule="exact"/>
        <w:rPr>
          <w:sz w:val="20"/>
          <w:szCs w:val="20"/>
          <w:color w:val="auto"/>
        </w:rPr>
      </w:pPr>
    </w:p>
    <w:p>
      <w:pPr>
        <w:jc w:val="both"/>
        <w:ind w:left="2160" w:right="399" w:hanging="332"/>
        <w:spacing w:after="0" w:line="262"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September 30, 2022, filed with the SEC on November 17, 2022, including the information specifically incorporated by reference to the Form 10-K from our Definitive Proxy Statement on </w:t>
      </w:r>
      <w:hyperlink r:id="rId4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December 8, 2022; and</w:t>
      </w:r>
    </w:p>
    <w:p>
      <w:pPr>
        <w:spacing w:after="0" w:line="63" w:lineRule="exact"/>
        <w:rPr>
          <w:rFonts w:ascii="Times New Roman" w:cs="Times New Roman" w:eastAsia="Times New Roman" w:hAnsi="Times New Roman"/>
          <w:sz w:val="14"/>
          <w:szCs w:val="14"/>
          <w:color w:val="auto"/>
        </w:rPr>
      </w:pPr>
    </w:p>
    <w:p>
      <w:pPr>
        <w:ind w:left="2160" w:right="319" w:hanging="332"/>
        <w:spacing w:after="0" w:line="277"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41">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fiscal year ended September 30, 2019 (File No. 814-00891), as filed with the SEC on November 20, 2019.</w:t>
      </w:r>
    </w:p>
    <w:p>
      <w:pPr>
        <w:spacing w:after="0" w:line="126" w:lineRule="exact"/>
        <w:rPr>
          <w:rFonts w:ascii="Times New Roman" w:cs="Times New Roman" w:eastAsia="Times New Roman" w:hAnsi="Times New Roman"/>
          <w:sz w:val="14"/>
          <w:szCs w:val="14"/>
          <w:color w:val="auto"/>
        </w:rPr>
      </w:pPr>
    </w:p>
    <w:p>
      <w:pPr>
        <w:ind w:left="1420"/>
        <w:spacing w:after="0"/>
        <w:rPr>
          <w:sz w:val="20"/>
          <w:szCs w:val="20"/>
          <w:color w:val="auto"/>
        </w:rPr>
      </w:pPr>
      <w:r>
        <w:rPr>
          <w:rFonts w:ascii="Times New Roman" w:cs="Times New Roman" w:eastAsia="Times New Roman" w:hAnsi="Times New Roman"/>
          <w:sz w:val="14"/>
          <w:szCs w:val="14"/>
          <w:color w:val="auto"/>
        </w:rPr>
        <w:t>To obtain copies of these filings, see “Available Information.”</w:t>
      </w:r>
    </w:p>
    <w:p>
      <w:pPr>
        <w:spacing w:after="0" w:line="119"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3" w:lineRule="exact"/>
        <w:rPr>
          <w:sz w:val="20"/>
          <w:szCs w:val="20"/>
          <w:color w:val="auto"/>
        </w:rPr>
      </w:pPr>
    </w:p>
    <w:p>
      <w:pPr>
        <w:ind w:left="1420" w:right="439"/>
        <w:spacing w:after="0" w:line="253" w:lineRule="auto"/>
        <w:rPr>
          <w:sz w:val="20"/>
          <w:szCs w:val="20"/>
          <w:color w:val="auto"/>
        </w:rPr>
      </w:pPr>
      <w:r>
        <w:rPr>
          <w:rFonts w:ascii="Times New Roman" w:cs="Times New Roman" w:eastAsia="Times New Roman" w:hAnsi="Times New Roman"/>
          <w:sz w:val="14"/>
          <w:szCs w:val="14"/>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PROSPECTUS</w:t>
      </w:r>
    </w:p>
    <w:p>
      <w:pPr>
        <w:spacing w:after="0" w:line="3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73025</wp:posOffset>
            </wp:positionV>
            <wp:extent cx="1560830" cy="375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Subscription Rights</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90"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43" w:lineRule="exact"/>
        <w:rPr>
          <w:sz w:val="20"/>
          <w:szCs w:val="20"/>
          <w:color w:val="auto"/>
        </w:rPr>
      </w:pPr>
    </w:p>
    <w:p>
      <w:pPr>
        <w:ind w:left="1420" w:right="299" w:firstLine="338"/>
        <w:spacing w:after="0" w:line="254"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or the Secured Overnight Financing Rate, or SOFR, with or without a floor, plus a fixed spread. We can offer no assurances that we will achieve our investment objectives.</w:t>
      </w:r>
    </w:p>
    <w:p>
      <w:pPr>
        <w:spacing w:after="0" w:line="61" w:lineRule="exact"/>
        <w:rPr>
          <w:sz w:val="20"/>
          <w:szCs w:val="20"/>
          <w:color w:val="auto"/>
        </w:rPr>
      </w:pPr>
    </w:p>
    <w:p>
      <w:pPr>
        <w:ind w:left="1420" w:right="439" w:firstLine="338"/>
        <w:spacing w:after="0" w:line="277" w:lineRule="auto"/>
        <w:rPr>
          <w:sz w:val="20"/>
          <w:szCs w:val="20"/>
          <w:color w:val="auto"/>
        </w:rPr>
      </w:pPr>
      <w:r>
        <w:rPr>
          <w:rFonts w:ascii="Times New Roman" w:cs="Times New Roman" w:eastAsia="Times New Roman" w:hAnsi="Times New Roman"/>
          <w:sz w:val="14"/>
          <w:szCs w:val="14"/>
          <w:color w:val="auto"/>
        </w:rPr>
        <w:t>We are managed by PennantPark Investment Advisers, LLC. PennantPark Investment Administration, LLC provides the administrative services necessary for us to operate.</w:t>
      </w:r>
    </w:p>
    <w:p>
      <w:pPr>
        <w:spacing w:after="0" w:line="43" w:lineRule="exact"/>
        <w:rPr>
          <w:sz w:val="20"/>
          <w:szCs w:val="20"/>
          <w:color w:val="auto"/>
        </w:rPr>
      </w:pPr>
    </w:p>
    <w:p>
      <w:pPr>
        <w:ind w:left="1420" w:right="419" w:firstLine="338"/>
        <w:spacing w:after="0" w:line="250"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4"/>
          <w:szCs w:val="14"/>
          <w:u w:val="single" w:color="auto"/>
          <w:color w:val="0000EE"/>
        </w:rPr>
        <w:t>Risk Factors</w:t>
      </w:r>
      <w:r>
        <w:rPr>
          <w:rFonts w:ascii="Times New Roman" w:cs="Times New Roman" w:eastAsia="Times New Roman" w:hAnsi="Times New Roman"/>
          <w:sz w:val="14"/>
          <w:szCs w:val="14"/>
          <w:color w:val="auto"/>
        </w:rPr>
        <w:t>” on page 10 and “</w:t>
      </w:r>
      <w:r>
        <w:rPr>
          <w:rFonts w:ascii="Times New Roman" w:cs="Times New Roman" w:eastAsia="Times New Roman" w:hAnsi="Times New Roman"/>
          <w:sz w:val="14"/>
          <w:szCs w:val="14"/>
          <w:u w:val="single" w:color="auto"/>
          <w:color w:val="0000EE"/>
        </w:rPr>
        <w:t>Sales of Common Stock Below Net Asset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Value</w:t>
      </w:r>
      <w:r>
        <w:rPr>
          <w:rFonts w:ascii="Times New Roman" w:cs="Times New Roman" w:eastAsia="Times New Roman" w:hAnsi="Times New Roman"/>
          <w:sz w:val="14"/>
          <w:szCs w:val="14"/>
          <w:color w:val="000000"/>
        </w:rPr>
        <w:t>” on page 12 of this prospectus for more information.</w:t>
      </w:r>
    </w:p>
    <w:p>
      <w:pPr>
        <w:spacing w:after="0" w:line="63" w:lineRule="exact"/>
        <w:rPr>
          <w:sz w:val="20"/>
          <w:szCs w:val="20"/>
          <w:color w:val="auto"/>
        </w:rPr>
      </w:pPr>
    </w:p>
    <w:p>
      <w:pPr>
        <w:ind w:left="1420" w:right="479" w:firstLine="338"/>
        <w:spacing w:after="0" w:line="26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and the Tel Aviv Stock Exchange, or TASE, under the symbol “PFLT.” Prior to April 14, 2022, our common stock was traded on The Nasdaq Global Select Market under the same symbol. The last reported closing price for our common stock on September 30, 2022 was $9.60 per share, and our NAV on September 30, 2022 was $11.62 per share.</w:t>
      </w:r>
    </w:p>
    <w:p>
      <w:pPr>
        <w:spacing w:after="0" w:line="53" w:lineRule="exact"/>
        <w:rPr>
          <w:sz w:val="20"/>
          <w:szCs w:val="20"/>
          <w:color w:val="auto"/>
        </w:rPr>
      </w:pPr>
    </w:p>
    <w:p>
      <w:pPr>
        <w:ind w:left="1420" w:right="359" w:firstLine="338"/>
        <w:spacing w:after="0" w:line="25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w:t>
      </w:r>
    </w:p>
    <w:p>
      <w:pPr>
        <w:sectPr>
          <w:pgSz w:w="11900" w:h="16838" w:orient="portrait"/>
          <w:cols w:equalWidth="0" w:num="1">
            <w:col w:w="10159"/>
          </w:cols>
          <w:pgMar w:left="300" w:top="38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spacing w:after="0" w:line="283" w:lineRule="auto"/>
        <w:rPr>
          <w:sz w:val="20"/>
          <w:szCs w:val="20"/>
          <w:color w:val="auto"/>
        </w:rPr>
      </w:pPr>
      <w:r>
        <w:rPr>
          <w:rFonts w:ascii="Times New Roman" w:cs="Times New Roman" w:eastAsia="Times New Roman" w:hAnsi="Times New Roman"/>
          <w:sz w:val="13"/>
          <w:szCs w:val="13"/>
          <w:color w:val="auto"/>
        </w:rPr>
        <w:t xml:space="preserve">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Florida 33139, by calling us collect at (212) 905-1000 or by visiting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35560</wp:posOffset>
            </wp:positionV>
            <wp:extent cx="537337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13" w:lineRule="exact"/>
        <w:rPr>
          <w:sz w:val="20"/>
          <w:szCs w:val="20"/>
          <w:color w:val="auto"/>
        </w:rPr>
      </w:pPr>
    </w:p>
    <w:p>
      <w:pPr>
        <w:ind w:left="1420" w:right="33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35560</wp:posOffset>
            </wp:positionV>
            <wp:extent cx="537337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12" w:lineRule="exact"/>
        <w:rPr>
          <w:sz w:val="20"/>
          <w:szCs w:val="20"/>
          <w:color w:val="auto"/>
        </w:rPr>
      </w:pPr>
    </w:p>
    <w:p>
      <w:pPr>
        <w:ind w:left="1420" w:right="45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29210</wp:posOffset>
            </wp:positionV>
            <wp:extent cx="537337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securities unless accompanied by a prospectus supplement.</w:t>
      </w:r>
    </w:p>
    <w:p>
      <w:pPr>
        <w:spacing w:after="0" w:line="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Prospectus dated January 9, 2023</w:t>
      </w:r>
    </w:p>
    <w:p>
      <w:pPr>
        <w:sectPr>
          <w:pgSz w:w="11900" w:h="16838" w:orient="portrait"/>
          <w:cols w:equalWidth="0" w:num="1">
            <w:col w:w="10159"/>
          </w:cols>
          <w:pgMar w:left="300" w:top="38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79" w:firstLine="338"/>
        <w:spacing w:after="0" w:line="273"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97"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6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6"/>
              </w:rPr>
              <w:t>PROSPECTUS SUMMARY</w:t>
            </w:r>
          </w:p>
        </w:tc>
        <w:tc>
          <w:tcPr>
            <w:tcW w:w="6580" w:type="dxa"/>
            <w:vAlign w:val="bottom"/>
            <w:gridSpan w:val="17"/>
            <w:vMerge w:val="restart"/>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0"/>
        </w:trPr>
        <w:tc>
          <w:tcPr>
            <w:tcW w:w="1600" w:type="dxa"/>
            <w:vAlign w:val="bottom"/>
            <w:tcBorders>
              <w:bottom w:val="single" w:sz="8" w:color="0000EE"/>
            </w:tcBorders>
            <w:gridSpan w:val="7"/>
            <w:vMerge w:val="continue"/>
          </w:tcPr>
          <w:p>
            <w:pPr>
              <w:spacing w:after="0"/>
              <w:rPr>
                <w:sz w:val="9"/>
                <w:szCs w:val="9"/>
                <w:color w:val="auto"/>
              </w:rPr>
            </w:pPr>
          </w:p>
        </w:tc>
        <w:tc>
          <w:tcPr>
            <w:tcW w:w="6580" w:type="dxa"/>
            <w:vAlign w:val="bottom"/>
            <w:gridSpan w:val="17"/>
            <w:vMerge w:val="continue"/>
          </w:tcPr>
          <w:p>
            <w:pPr>
              <w:spacing w:after="0"/>
              <w:rPr>
                <w:sz w:val="9"/>
                <w:szCs w:val="9"/>
                <w:color w:val="auto"/>
              </w:rPr>
            </w:pPr>
          </w:p>
        </w:tc>
        <w:tc>
          <w:tcPr>
            <w:tcW w:w="2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180" w:type="dxa"/>
            <w:vAlign w:val="bottom"/>
            <w:gridSpan w:val="24"/>
          </w:tcPr>
          <w:p>
            <w:pPr>
              <w:spacing w:after="0" w:line="156" w:lineRule="exact"/>
              <w:rPr>
                <w:sz w:val="20"/>
                <w:szCs w:val="20"/>
                <w:color w:val="auto"/>
              </w:rPr>
            </w:pPr>
            <w:r>
              <w:rPr>
                <w:rFonts w:ascii="Times New Roman" w:cs="Times New Roman" w:eastAsia="Times New Roman" w:hAnsi="Times New Roman"/>
                <w:sz w:val="14"/>
                <w:szCs w:val="14"/>
                <w:color w:val="0000EE"/>
              </w:rPr>
              <w:t>FEES AND EXPENSES</w:t>
            </w:r>
          </w:p>
        </w:tc>
        <w:tc>
          <w:tcPr>
            <w:tcW w:w="2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FINANCIAL HIGHLIGHTS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640" w:type="dxa"/>
            <w:vAlign w:val="bottom"/>
            <w:tcBorders>
              <w:top w:val="single" w:sz="8" w:color="0000EE"/>
            </w:tcBorders>
            <w:gridSpan w:val="6"/>
          </w:tcPr>
          <w:p>
            <w:pPr>
              <w:spacing w:after="0"/>
              <w:rPr>
                <w:sz w:val="12"/>
                <w:szCs w:val="12"/>
                <w:color w:val="auto"/>
              </w:rPr>
            </w:pPr>
          </w:p>
        </w:tc>
        <w:tc>
          <w:tcPr>
            <w:tcW w:w="6580" w:type="dxa"/>
            <w:vAlign w:val="bottom"/>
            <w:gridSpan w:val="1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5940" w:type="dxa"/>
            <w:vAlign w:val="bottom"/>
            <w:gridSpan w:val="1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6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8"/>
              </w:rPr>
              <w:t>SENIOR SECURITIES</w:t>
            </w:r>
          </w:p>
        </w:tc>
        <w:tc>
          <w:tcPr>
            <w:tcW w:w="6820" w:type="dxa"/>
            <w:vAlign w:val="bottom"/>
            <w:gridSpan w:val="1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60" w:type="dxa"/>
            <w:vAlign w:val="bottom"/>
            <w:tcBorders>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7"/>
              </w:rPr>
              <w:t>SALES OF COMMON STOCK BELOW NET ASSET VALUE</w:t>
            </w:r>
          </w:p>
        </w:tc>
        <w:tc>
          <w:tcPr>
            <w:tcW w:w="4620" w:type="dxa"/>
            <w:vAlign w:val="bottom"/>
            <w:gridSpan w:val="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6"/>
              </w:rPr>
              <w:t>DISTRIBUTIONS</w:t>
            </w:r>
          </w:p>
        </w:tc>
        <w:tc>
          <w:tcPr>
            <w:tcW w:w="7140" w:type="dxa"/>
            <w:vAlign w:val="bottom"/>
            <w:gridSpan w:val="2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PORTFOLIO COMPANIES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6"/>
              </w:rPr>
              <w:t>PORTFOLIO MANAGEMENT</w:t>
            </w:r>
          </w:p>
        </w:tc>
        <w:tc>
          <w:tcPr>
            <w:tcW w:w="6400" w:type="dxa"/>
            <w:vAlign w:val="bottom"/>
            <w:gridSpan w:val="1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2580" w:type="dxa"/>
            <w:vAlign w:val="bottom"/>
            <w:tcBorders>
              <w:bottom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w w:val="96"/>
              </w:rPr>
              <w:t>DETERMINATION OF NET ASSET VALUE</w:t>
            </w:r>
          </w:p>
        </w:tc>
        <w:tc>
          <w:tcPr>
            <w:tcW w:w="5600" w:type="dxa"/>
            <w:vAlign w:val="bottom"/>
            <w:gridSpan w:val="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OUR PREFERRED STOCK</w:t>
            </w:r>
          </w:p>
        </w:tc>
        <w:tc>
          <w:tcPr>
            <w:tcW w:w="5440" w:type="dxa"/>
            <w:vAlign w:val="bottom"/>
            <w:gridSpan w:val="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6"/>
        </w:trPr>
        <w:tc>
          <w:tcPr>
            <w:tcW w:w="2980" w:type="dxa"/>
            <w:vAlign w:val="bottom"/>
            <w:tcBorders>
              <w:top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5200" w:type="dxa"/>
            <w:vAlign w:val="bottom"/>
            <w:gridSpan w:val="6"/>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4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7"/>
              </w:rPr>
              <w:t>BROKERAGE ALLOCATIONS AND OTHER PRACTICES</w:t>
            </w:r>
          </w:p>
        </w:tc>
        <w:tc>
          <w:tcPr>
            <w:tcW w:w="4740" w:type="dxa"/>
            <w:vAlign w:val="bottom"/>
            <w:gridSpan w:val="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6"/>
        </w:trPr>
        <w:tc>
          <w:tcPr>
            <w:tcW w:w="374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4440" w:type="dxa"/>
            <w:vAlign w:val="bottom"/>
            <w:gridSpan w:val="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Borders>
              <w:bottom w:val="single" w:sz="8" w:color="0000EE"/>
            </w:tcBorders>
            <w:gridSpan w:val="23"/>
          </w:tcPr>
          <w:p>
            <w:pPr>
              <w:spacing w:after="0" w:line="146" w:lineRule="exact"/>
              <w:rPr>
                <w:sz w:val="20"/>
                <w:szCs w:val="20"/>
                <w:color w:val="auto"/>
              </w:rPr>
            </w:pPr>
            <w:r>
              <w:rPr>
                <w:rFonts w:ascii="Times New Roman" w:cs="Times New Roman" w:eastAsia="Times New Roman" w:hAnsi="Times New Roman"/>
                <w:sz w:val="14"/>
                <w:szCs w:val="14"/>
                <w:color w:val="0000EE"/>
                <w:w w:val="97"/>
              </w:rPr>
              <w:t>SUB-ADMINISTRATOR, CUSTODIAN, TRANSFER AGENT AND TRUSTEE</w:t>
            </w:r>
          </w:p>
        </w:tc>
        <w:tc>
          <w:tcPr>
            <w:tcW w:w="36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1120" w:type="dxa"/>
            <w:vAlign w:val="bottom"/>
            <w:tcBorders>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7060" w:type="dxa"/>
            <w:vAlign w:val="bottom"/>
            <w:gridSpan w:val="21"/>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4500" w:type="dxa"/>
            <w:vAlign w:val="bottom"/>
            <w:gridSpan w:val="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5960" w:type="dxa"/>
            <w:vAlign w:val="bottom"/>
            <w:gridSpan w:val="1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4"/>
              </w:rPr>
              <w:t>AVAILABLE INFORMATION</w:t>
            </w:r>
          </w:p>
        </w:tc>
        <w:tc>
          <w:tcPr>
            <w:tcW w:w="6440" w:type="dxa"/>
            <w:vAlign w:val="bottom"/>
            <w:gridSpan w:val="1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left="1420" w:right="279" w:firstLine="338"/>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398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379085" cy="4398010"/>
                    </a:xfrm>
                    <a:prstGeom prst="rect">
                      <a:avLst/>
                    </a:prstGeom>
                    <a:noFill/>
                  </pic:spPr>
                </pic:pic>
              </a:graphicData>
            </a:graphic>
          </wp:anchor>
        </w:drawing>
      </w:r>
    </w:p>
    <w:p>
      <w:pPr>
        <w:spacing w:after="0" w:line="3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1" w:lineRule="exact"/>
        <w:rPr>
          <w:sz w:val="20"/>
          <w:szCs w:val="20"/>
          <w:color w:val="auto"/>
        </w:rPr>
      </w:pPr>
    </w:p>
    <w:p>
      <w:pPr>
        <w:ind w:left="1560" w:right="439" w:firstLine="327"/>
        <w:spacing w:after="0" w:line="248" w:lineRule="auto"/>
        <w:rPr>
          <w:sz w:val="20"/>
          <w:szCs w:val="20"/>
          <w:color w:val="auto"/>
        </w:rPr>
      </w:pPr>
      <w:r>
        <w:rPr>
          <w:rFonts w:ascii="Times New Roman" w:cs="Times New Roman" w:eastAsia="Times New Roman" w:hAnsi="Times New Roman"/>
          <w:sz w:val="14"/>
          <w:szCs w:val="14"/>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3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General Business of PennantPark Floating Rate Capital Ltd.</w:t>
      </w:r>
    </w:p>
    <w:p>
      <w:pPr>
        <w:spacing w:after="0" w:line="90" w:lineRule="exact"/>
        <w:rPr>
          <w:sz w:val="20"/>
          <w:szCs w:val="20"/>
          <w:color w:val="auto"/>
        </w:rPr>
      </w:pPr>
    </w:p>
    <w:p>
      <w:pPr>
        <w:ind w:left="1560" w:right="439" w:firstLine="327"/>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26" w:lineRule="exact"/>
        <w:rPr>
          <w:sz w:val="20"/>
          <w:szCs w:val="20"/>
          <w:color w:val="auto"/>
        </w:rPr>
      </w:pPr>
    </w:p>
    <w:p>
      <w:pPr>
        <w:ind w:left="1560" w:right="679" w:firstLine="327"/>
        <w:spacing w:after="0" w:line="278"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spacing w:after="0" w:line="1" w:lineRule="exact"/>
        <w:rPr>
          <w:sz w:val="20"/>
          <w:szCs w:val="20"/>
          <w:color w:val="auto"/>
        </w:rPr>
      </w:pPr>
    </w:p>
    <w:p>
      <w:pPr>
        <w:ind w:left="1560" w:right="479"/>
        <w:spacing w:after="0" w:line="272" w:lineRule="auto"/>
        <w:rPr>
          <w:sz w:val="20"/>
          <w:szCs w:val="20"/>
          <w:color w:val="auto"/>
        </w:rPr>
      </w:pPr>
      <w:r>
        <w:rPr>
          <w:rFonts w:ascii="Times New Roman" w:cs="Times New Roman" w:eastAsia="Times New Roman" w:hAnsi="Times New Roman"/>
          <w:sz w:val="13"/>
          <w:szCs w:val="13"/>
          <w:color w:val="auto"/>
        </w:rPr>
        <w:t>$1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w:t>
      </w:r>
    </w:p>
    <w:p>
      <w:pPr>
        <w:spacing w:after="0" w:line="2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503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379085" cy="4503420"/>
                    </a:xfrm>
                    <a:prstGeom prst="rect">
                      <a:avLst/>
                    </a:prstGeom>
                    <a:noFill/>
                  </pic:spPr>
                </pic:pic>
              </a:graphicData>
            </a:graphic>
          </wp:anchor>
        </w:drawing>
      </w:r>
    </w:p>
    <w:p>
      <w:pPr>
        <w:spacing w:after="0" w:line="360" w:lineRule="exact"/>
        <w:rPr>
          <w:sz w:val="20"/>
          <w:szCs w:val="20"/>
          <w:color w:val="auto"/>
        </w:rPr>
      </w:pPr>
    </w:p>
    <w:p>
      <w:pPr>
        <w:ind w:left="1560" w:right="1019"/>
        <w:spacing w:after="0" w:line="277" w:lineRule="auto"/>
        <w:rPr>
          <w:sz w:val="20"/>
          <w:szCs w:val="20"/>
          <w:color w:val="auto"/>
        </w:rPr>
      </w:pPr>
      <w:r>
        <w:rPr>
          <w:rFonts w:ascii="Times New Roman" w:cs="Times New Roman" w:eastAsia="Times New Roman" w:hAnsi="Times New Roman"/>
          <w:sz w:val="14"/>
          <w:szCs w:val="14"/>
          <w:color w:val="auto"/>
        </w:rPr>
        <w:t>investments may generally range in maturity from three to ten years and are made to U.S. and, to a limited extent, non-U.S. corporations, partnerships and other business entities which operate in various industries and geographical regions.</w:t>
      </w:r>
    </w:p>
    <w:p>
      <w:pPr>
        <w:spacing w:after="0" w:line="126" w:lineRule="exact"/>
        <w:rPr>
          <w:sz w:val="20"/>
          <w:szCs w:val="20"/>
          <w:color w:val="auto"/>
        </w:rPr>
      </w:pPr>
    </w:p>
    <w:p>
      <w:pPr>
        <w:ind w:left="1560" w:right="499" w:firstLine="327"/>
        <w:spacing w:after="0" w:line="253"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43" w:lineRule="exact"/>
        <w:rPr>
          <w:sz w:val="20"/>
          <w:szCs w:val="20"/>
          <w:color w:val="auto"/>
        </w:rPr>
      </w:pPr>
    </w:p>
    <w:p>
      <w:pPr>
        <w:ind w:left="1560" w:right="499" w:firstLine="327"/>
        <w:spacing w:after="0" w:line="257"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Organization and Structure of PennantPark Floating Rate Capital Ltd.</w:t>
      </w:r>
    </w:p>
    <w:p>
      <w:pPr>
        <w:spacing w:after="0" w:line="90" w:lineRule="exact"/>
        <w:rPr>
          <w:sz w:val="20"/>
          <w:szCs w:val="20"/>
          <w:color w:val="auto"/>
        </w:rPr>
      </w:pPr>
    </w:p>
    <w:p>
      <w:pPr>
        <w:ind w:left="1560" w:right="619" w:firstLine="327"/>
        <w:spacing w:after="0" w:line="26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6" w:lineRule="exact"/>
        <w:rPr>
          <w:sz w:val="20"/>
          <w:szCs w:val="20"/>
          <w:color w:val="auto"/>
        </w:rPr>
      </w:pPr>
    </w:p>
    <w:p>
      <w:pPr>
        <w:ind w:left="1560" w:right="479" w:firstLine="327"/>
        <w:spacing w:after="0" w:line="257" w:lineRule="auto"/>
        <w:rPr>
          <w:sz w:val="20"/>
          <w:szCs w:val="20"/>
          <w:color w:val="auto"/>
        </w:rPr>
      </w:pPr>
      <w:r>
        <w:rPr>
          <w:rFonts w:ascii="Times New Roman" w:cs="Times New Roman" w:eastAsia="Times New Roman" w:hAnsi="Times New Roman"/>
          <w:sz w:val="14"/>
          <w:szCs w:val="14"/>
          <w:color w:val="auto"/>
        </w:rPr>
        <w:t>Funding I, our wholly owned subsidiary and a special purpose entity, was organized in Delaware as a limited liability company in May 2011. We formed Funding I in order to establish the Prior Credit Facility. On August 12, 2021, we terminated the Prior Credit Facility, and Funding I, as borrower, entered into the Credit Facility, which provides the ability for Funding I to borrow up to $366 million (increased from $300 million in September 2022). The Credit Facility is secured by all of the assets of Funding I.</w:t>
      </w:r>
    </w:p>
    <w:p>
      <w:pPr>
        <w:spacing w:after="0" w:line="140" w:lineRule="exact"/>
        <w:rPr>
          <w:sz w:val="20"/>
          <w:szCs w:val="20"/>
          <w:color w:val="auto"/>
        </w:rPr>
      </w:pPr>
    </w:p>
    <w:p>
      <w:pPr>
        <w:ind w:left="1560" w:right="459" w:firstLine="327"/>
        <w:spacing w:after="0" w:line="26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36" w:lineRule="exact"/>
        <w:rPr>
          <w:sz w:val="20"/>
          <w:szCs w:val="20"/>
          <w:color w:val="auto"/>
        </w:rPr>
      </w:pPr>
    </w:p>
    <w:p>
      <w:pPr>
        <w:ind w:left="1560" w:right="459" w:firstLine="327"/>
        <w:spacing w:after="0" w:line="277" w:lineRule="auto"/>
        <w:rPr>
          <w:sz w:val="20"/>
          <w:szCs w:val="20"/>
          <w:color w:val="auto"/>
        </w:rPr>
      </w:pPr>
      <w:r>
        <w:rPr>
          <w:rFonts w:ascii="Times New Roman" w:cs="Times New Roman" w:eastAsia="Times New Roman" w:hAnsi="Times New Roman"/>
          <w:sz w:val="14"/>
          <w:szCs w:val="14"/>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Our Investment Adviser and Administrator</w:t>
      </w:r>
    </w:p>
    <w:p>
      <w:pPr>
        <w:spacing w:after="0" w:line="90" w:lineRule="exact"/>
        <w:rPr>
          <w:sz w:val="20"/>
          <w:szCs w:val="20"/>
          <w:color w:val="auto"/>
        </w:rPr>
      </w:pPr>
    </w:p>
    <w:p>
      <w:pPr>
        <w:ind w:left="1560" w:right="519" w:firstLine="327"/>
        <w:spacing w:after="0" w:line="253"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w:t>
      </w:r>
    </w:p>
    <w:p>
      <w:pPr>
        <w:spacing w:after="0" w:line="2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589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379085" cy="4589145"/>
                    </a:xfrm>
                    <a:prstGeom prst="rect">
                      <a:avLst/>
                    </a:prstGeom>
                    <a:noFill/>
                  </pic:spPr>
                </pic:pic>
              </a:graphicData>
            </a:graphic>
          </wp:anchor>
        </w:drawing>
      </w:r>
    </w:p>
    <w:p>
      <w:pPr>
        <w:spacing w:after="0" w:line="360" w:lineRule="exact"/>
        <w:rPr>
          <w:sz w:val="20"/>
          <w:szCs w:val="20"/>
          <w:color w:val="auto"/>
        </w:rPr>
      </w:pPr>
    </w:p>
    <w:p>
      <w:pPr>
        <w:ind w:left="1560" w:right="579"/>
        <w:spacing w:after="0" w:line="254" w:lineRule="auto"/>
        <w:rPr>
          <w:sz w:val="20"/>
          <w:szCs w:val="20"/>
          <w:color w:val="auto"/>
        </w:rPr>
      </w:pPr>
      <w:r>
        <w:rPr>
          <w:rFonts w:ascii="Times New Roman" w:cs="Times New Roman" w:eastAsia="Times New Roman" w:hAnsi="Times New Roman"/>
          <w:sz w:val="14"/>
          <w:szCs w:val="14"/>
          <w:color w:val="auto"/>
        </w:rPr>
        <w:t>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w:t>
      </w:r>
    </w:p>
    <w:p>
      <w:pPr>
        <w:spacing w:after="0" w:line="144" w:lineRule="exact"/>
        <w:rPr>
          <w:sz w:val="20"/>
          <w:szCs w:val="20"/>
          <w:color w:val="auto"/>
        </w:rPr>
      </w:pPr>
    </w:p>
    <w:p>
      <w:pPr>
        <w:ind w:left="1560" w:right="439" w:firstLine="327"/>
        <w:spacing w:after="0" w:line="251"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90" w:lineRule="exact"/>
        <w:rPr>
          <w:sz w:val="20"/>
          <w:szCs w:val="20"/>
          <w:color w:val="auto"/>
        </w:rPr>
      </w:pPr>
    </w:p>
    <w:p>
      <w:pPr>
        <w:ind w:left="1560" w:right="539" w:firstLine="327"/>
        <w:spacing w:after="0" w:line="277" w:lineRule="auto"/>
        <w:rPr>
          <w:sz w:val="20"/>
          <w:szCs w:val="20"/>
          <w:color w:val="auto"/>
        </w:rPr>
      </w:pPr>
      <w:r>
        <w:rPr>
          <w:rFonts w:ascii="Times New Roman" w:cs="Times New Roman" w:eastAsia="Times New Roman" w:hAnsi="Times New Roman"/>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2" w:lineRule="exact"/>
        <w:rPr>
          <w:sz w:val="20"/>
          <w:szCs w:val="20"/>
          <w:color w:val="auto"/>
        </w:rPr>
      </w:pPr>
    </w:p>
    <w:p>
      <w:pPr>
        <w:ind w:left="1860" w:right="479" w:hanging="234"/>
        <w:spacing w:after="0" w:line="263"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raising debt in private markets. </w:t>
      </w:r>
      <w:r>
        <w:rPr>
          <w:rFonts w:ascii="Times New Roman" w:cs="Times New Roman" w:eastAsia="Times New Roman" w:hAnsi="Times New Roman"/>
          <w:sz w:val="14"/>
          <w:szCs w:val="14"/>
          <w:color w:val="auto"/>
        </w:rPr>
        <w:t>From time to time, banks, finance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companies, hedge funds and collateralized loan obligation, or CLO, funds have withdrawn, and may again withdraw, capital from the middle-market, resulting in opportunities for alternative funding sources.</w:t>
      </w:r>
    </w:p>
    <w:p>
      <w:pPr>
        <w:spacing w:after="0" w:line="61" w:lineRule="exact"/>
        <w:rPr>
          <w:rFonts w:ascii="Times New Roman" w:cs="Times New Roman" w:eastAsia="Times New Roman" w:hAnsi="Times New Roman"/>
          <w:sz w:val="14"/>
          <w:szCs w:val="14"/>
          <w:color w:val="auto"/>
        </w:rPr>
      </w:pPr>
    </w:p>
    <w:p>
      <w:pPr>
        <w:jc w:val="both"/>
        <w:ind w:left="1860" w:right="439" w:hanging="234"/>
        <w:spacing w:after="0" w:line="258"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4"/>
          <w:szCs w:val="14"/>
          <w:color w:val="auto"/>
        </w:rPr>
        <w:t>Many middle-market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64" w:lineRule="exact"/>
        <w:rPr>
          <w:rFonts w:ascii="Times New Roman" w:cs="Times New Roman" w:eastAsia="Times New Roman" w:hAnsi="Times New Roman"/>
          <w:sz w:val="14"/>
          <w:szCs w:val="14"/>
          <w:color w:val="auto"/>
        </w:rPr>
      </w:pPr>
    </w:p>
    <w:p>
      <w:pPr>
        <w:jc w:val="both"/>
        <w:ind w:left="1860" w:right="619" w:hanging="234"/>
        <w:spacing w:after="0" w:line="263"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4"/>
          <w:szCs w:val="14"/>
          <w:color w:val="auto"/>
        </w:rPr>
        <w:t>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1" w:lineRule="exact"/>
        <w:rPr>
          <w:rFonts w:ascii="Times New Roman" w:cs="Times New Roman" w:eastAsia="Times New Roman" w:hAnsi="Times New Roman"/>
          <w:sz w:val="14"/>
          <w:szCs w:val="14"/>
          <w:color w:val="auto"/>
        </w:rPr>
      </w:pPr>
    </w:p>
    <w:p>
      <w:pPr>
        <w:ind w:left="1860" w:right="439" w:hanging="234"/>
        <w:spacing w:after="0" w:line="258"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4"/>
          <w:szCs w:val="14"/>
          <w:color w:val="auto"/>
        </w:rPr>
        <w:t>We expect that private equity firms will continue to be active investors in middle-market companies.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private equity funds generally seek to leverage their investments by combining their capital with loans provided by other sources, and we believe that we are well-positioned to partner with such equity investors.</w:t>
      </w:r>
    </w:p>
    <w:p>
      <w:pPr>
        <w:spacing w:after="0" w:line="64" w:lineRule="exact"/>
        <w:rPr>
          <w:rFonts w:ascii="Times New Roman" w:cs="Times New Roman" w:eastAsia="Times New Roman" w:hAnsi="Times New Roman"/>
          <w:sz w:val="14"/>
          <w:szCs w:val="14"/>
          <w:color w:val="auto"/>
        </w:rPr>
      </w:pPr>
    </w:p>
    <w:p>
      <w:pPr>
        <w:ind w:left="1860" w:right="499" w:hanging="234"/>
        <w:spacing w:after="0" w:line="253" w:lineRule="auto"/>
        <w:tabs>
          <w:tab w:leader="none" w:pos="18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4"/>
          <w:szCs w:val="14"/>
          <w:color w:val="auto"/>
        </w:rPr>
        <w:t>A high volume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4661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379085" cy="4661535"/>
                    </a:xfrm>
                    <a:prstGeom prst="rect">
                      <a:avLst/>
                    </a:prstGeom>
                    <a:noFill/>
                  </pic:spPr>
                </pic:pic>
              </a:graphicData>
            </a:graphic>
          </wp:anchor>
        </w:drawing>
      </w:r>
    </w:p>
    <w:p>
      <w:pPr>
        <w:spacing w:after="0" w:line="3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0" w:lineRule="exact"/>
        <w:rPr>
          <w:sz w:val="20"/>
          <w:szCs w:val="20"/>
          <w:color w:val="auto"/>
        </w:rPr>
      </w:pPr>
    </w:p>
    <w:p>
      <w:pPr>
        <w:ind w:left="1560" w:right="599" w:firstLine="327"/>
        <w:spacing w:after="0" w:line="257" w:lineRule="auto"/>
        <w:rPr>
          <w:sz w:val="20"/>
          <w:szCs w:val="20"/>
          <w:color w:val="auto"/>
        </w:rPr>
      </w:pPr>
      <w:r>
        <w:rPr>
          <w:rFonts w:ascii="Times New Roman" w:cs="Times New Roman" w:eastAsia="Times New Roman" w:hAnsi="Times New Roman"/>
          <w:sz w:val="14"/>
          <w:szCs w:val="14"/>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Distributions on Common Stock</w:t>
      </w:r>
    </w:p>
    <w:p>
      <w:pPr>
        <w:spacing w:after="0" w:line="90" w:lineRule="exact"/>
        <w:rPr>
          <w:sz w:val="20"/>
          <w:szCs w:val="20"/>
          <w:color w:val="auto"/>
        </w:rPr>
      </w:pPr>
    </w:p>
    <w:p>
      <w:pPr>
        <w:ind w:left="1560" w:right="859" w:firstLine="327"/>
        <w:spacing w:after="0" w:line="277" w:lineRule="auto"/>
        <w:rPr>
          <w:sz w:val="20"/>
          <w:szCs w:val="20"/>
          <w:color w:val="auto"/>
        </w:rPr>
      </w:pPr>
      <w:r>
        <w:rPr>
          <w:rFonts w:ascii="Times New Roman" w:cs="Times New Roman" w:eastAsia="Times New Roman" w:hAnsi="Times New Roman"/>
          <w:sz w:val="14"/>
          <w:szCs w:val="14"/>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Dividends on Preferred Stock</w:t>
      </w:r>
    </w:p>
    <w:p>
      <w:pPr>
        <w:spacing w:after="0" w:line="90" w:lineRule="exact"/>
        <w:rPr>
          <w:sz w:val="20"/>
          <w:szCs w:val="20"/>
          <w:color w:val="auto"/>
        </w:rPr>
      </w:pPr>
    </w:p>
    <w:p>
      <w:pPr>
        <w:ind w:left="1560" w:right="419" w:firstLine="327"/>
        <w:spacing w:after="0" w:line="279" w:lineRule="auto"/>
        <w:rPr>
          <w:sz w:val="20"/>
          <w:szCs w:val="20"/>
          <w:color w:val="auto"/>
        </w:rPr>
      </w:pPr>
      <w:r>
        <w:rPr>
          <w:rFonts w:ascii="Times New Roman" w:cs="Times New Roman" w:eastAsia="Times New Roman" w:hAnsi="Times New Roman"/>
          <w:sz w:val="13"/>
          <w:szCs w:val="13"/>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0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0" w:lineRule="exact"/>
        <w:rPr>
          <w:sz w:val="20"/>
          <w:szCs w:val="20"/>
          <w:color w:val="auto"/>
        </w:rPr>
      </w:pPr>
    </w:p>
    <w:p>
      <w:pPr>
        <w:ind w:left="1560" w:right="659" w:firstLine="327"/>
        <w:spacing w:after="0" w:line="277" w:lineRule="auto"/>
        <w:rPr>
          <w:sz w:val="20"/>
          <w:szCs w:val="20"/>
          <w:color w:val="auto"/>
        </w:rPr>
      </w:pPr>
      <w:r>
        <w:rPr>
          <w:rFonts w:ascii="Times New Roman" w:cs="Times New Roman" w:eastAsia="Times New Roman" w:hAnsi="Times New Roman"/>
          <w:sz w:val="14"/>
          <w:szCs w:val="14"/>
          <w:color w:val="auto"/>
        </w:rPr>
        <w:t>We may offer, from time to time, up to $500,000,000 of our securities, on terms to be determined at the time of each such offering and set forth in a supplement to this prospectus.</w:t>
      </w:r>
    </w:p>
    <w:p>
      <w:pPr>
        <w:spacing w:after="0" w:line="126" w:lineRule="exact"/>
        <w:rPr>
          <w:sz w:val="20"/>
          <w:szCs w:val="20"/>
          <w:color w:val="auto"/>
        </w:rPr>
      </w:pPr>
    </w:p>
    <w:p>
      <w:pPr>
        <w:ind w:left="1560" w:right="439" w:firstLine="327"/>
        <w:spacing w:after="0" w:line="251" w:lineRule="auto"/>
        <w:rPr>
          <w:sz w:val="20"/>
          <w:szCs w:val="20"/>
          <w:color w:val="auto"/>
        </w:rPr>
      </w:pPr>
      <w:r>
        <w:rPr>
          <w:rFonts w:ascii="Times New Roman" w:cs="Times New Roman" w:eastAsia="Times New Roman" w:hAnsi="Times New Roman"/>
          <w:sz w:val="14"/>
          <w:szCs w:val="14"/>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46" w:lineRule="exact"/>
        <w:rPr>
          <w:sz w:val="20"/>
          <w:szCs w:val="20"/>
          <w:color w:val="auto"/>
        </w:rPr>
      </w:pPr>
    </w:p>
    <w:p>
      <w:pPr>
        <w:ind w:left="1560" w:right="799" w:firstLine="327"/>
        <w:spacing w:after="0" w:line="277" w:lineRule="auto"/>
        <w:rPr>
          <w:sz w:val="20"/>
          <w:szCs w:val="20"/>
          <w:color w:val="auto"/>
        </w:rPr>
      </w:pPr>
      <w:r>
        <w:rPr>
          <w:rFonts w:ascii="Times New Roman" w:cs="Times New Roman" w:eastAsia="Times New Roman" w:hAnsi="Times New Roman"/>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Risks Associated with Our Business</w:t>
      </w:r>
    </w:p>
    <w:p>
      <w:pPr>
        <w:spacing w:after="0" w:line="90" w:lineRule="exact"/>
        <w:rPr>
          <w:sz w:val="20"/>
          <w:szCs w:val="20"/>
          <w:color w:val="auto"/>
        </w:rPr>
      </w:pPr>
    </w:p>
    <w:p>
      <w:pPr>
        <w:ind w:left="1560" w:right="419" w:firstLine="327"/>
        <w:spacing w:after="0" w:line="283" w:lineRule="auto"/>
        <w:rPr>
          <w:sz w:val="20"/>
          <w:szCs w:val="20"/>
          <w:color w:val="auto"/>
        </w:rPr>
      </w:pPr>
      <w:r>
        <w:rPr>
          <w:rFonts w:ascii="Times New Roman" w:cs="Times New Roman" w:eastAsia="Times New Roman" w:hAnsi="Times New Roman"/>
          <w:sz w:val="13"/>
          <w:szCs w:val="13"/>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155575</wp:posOffset>
            </wp:positionV>
            <wp:extent cx="5379085" cy="763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379085" cy="763270"/>
                    </a:xfrm>
                    <a:prstGeom prst="rect">
                      <a:avLst/>
                    </a:prstGeom>
                    <a:noFill/>
                  </pic:spPr>
                </pic:pic>
              </a:graphicData>
            </a:graphic>
          </wp:anchor>
        </w:drawing>
      </w:r>
    </w:p>
    <w:p>
      <w:pPr>
        <w:spacing w:after="0" w:line="3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0" w:lineRule="exact"/>
        <w:rPr>
          <w:sz w:val="20"/>
          <w:szCs w:val="20"/>
          <w:color w:val="auto"/>
        </w:rPr>
      </w:pPr>
    </w:p>
    <w:p>
      <w:pPr>
        <w:ind w:left="1560" w:right="539" w:firstLine="327"/>
        <w:spacing w:after="0" w:line="257"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1691 Michigan Avenue, Miami, Florida 33139. Our phone number is (212) 905-1000,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2"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73" w:lineRule="exact"/>
        <w:rPr>
          <w:sz w:val="20"/>
          <w:szCs w:val="20"/>
          <w:color w:val="auto"/>
        </w:rPr>
      </w:pPr>
    </w:p>
    <w:p>
      <w:pPr>
        <w:ind w:left="1420" w:right="339" w:firstLine="338"/>
        <w:spacing w:after="0" w:line="291" w:lineRule="auto"/>
        <w:rPr>
          <w:sz w:val="20"/>
          <w:szCs w:val="20"/>
          <w:color w:val="auto"/>
        </w:rPr>
      </w:pPr>
      <w:r>
        <w:rPr>
          <w:rFonts w:ascii="Times New Roman" w:cs="Times New Roman" w:eastAsia="Times New Roman" w:hAnsi="Times New Roman"/>
          <w:sz w:val="13"/>
          <w:szCs w:val="13"/>
          <w:color w:val="auto"/>
        </w:rPr>
        <w:t>Information about the various costs and expenses that an investor in shares of our common stock will bear directly or indirectly is located in “Part II, Item 5 – Market for Registrant’s Common Equity, Related Stockholder Matters and Issuer Purchases of Equity Securities – Fees and Expenses” in our most recent Annual Report on Form 10-K and is incorporated by reference into the registration statement of which this prospectus is a part.</w:t>
      </w:r>
    </w:p>
    <w:p>
      <w:pPr>
        <w:spacing w:after="0" w:line="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173" w:lineRule="exact"/>
        <w:rPr>
          <w:sz w:val="20"/>
          <w:szCs w:val="20"/>
          <w:color w:val="auto"/>
        </w:rPr>
      </w:pPr>
    </w:p>
    <w:p>
      <w:pPr>
        <w:ind w:left="1420" w:right="319" w:firstLine="338"/>
        <w:spacing w:after="0" w:line="283" w:lineRule="auto"/>
        <w:rPr>
          <w:sz w:val="20"/>
          <w:szCs w:val="20"/>
          <w:color w:val="auto"/>
        </w:rPr>
      </w:pPr>
      <w:r>
        <w:rPr>
          <w:rFonts w:ascii="Times New Roman" w:cs="Times New Roman" w:eastAsia="Times New Roman" w:hAnsi="Times New Roman"/>
          <w:sz w:val="13"/>
          <w:szCs w:val="13"/>
          <w:color w:val="auto"/>
        </w:rPr>
        <w:t>The financial data set forth in the following table as of and for the years ended September 30, 2022, 2021, 2020, 2019, 2018, 2017, 2016, 2015, 2014 and 2013 are derived from our consolidated financial statements, which have been audited by an independent registered public accounting firm for those periods. This financial data should be read in conjunction with our Consolidated Financial Statements and related notes thereto and “Management’s Discussion and Analysis of Financial Condition and Results of Operations” included in our most recent Annual Report on Form 10-K.</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2017</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2016</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2015</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2014</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2013 (7)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Per Share Data:</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asset value,</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beginning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period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12.31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12.97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13.82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14.10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13.98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investment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realized and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unrealized (loss)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gain (1)</w:t>
            </w: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(0.65)</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(0.88)</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0.23</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increase in net</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assets resulting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from operations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0.87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0.77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Distributions to</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w w:val="99"/>
              </w:rPr>
              <w:t>stockholders (1),</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ind w:left="200"/>
              <w:spacing w:after="0" w:line="111" w:lineRule="exact"/>
              <w:rPr>
                <w:sz w:val="20"/>
                <w:szCs w:val="20"/>
                <w:color w:val="auto"/>
              </w:rPr>
            </w:pPr>
            <w:r>
              <w:rPr>
                <w:rFonts w:ascii="Times New Roman" w:cs="Times New Roman" w:eastAsia="Times New Roman" w:hAnsi="Times New Roman"/>
                <w:sz w:val="12"/>
                <w:szCs w:val="12"/>
                <w:color w:val="auto"/>
              </w:rPr>
              <w:t>Distribution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Times New Roman" w:cs="Times New Roman" w:eastAsia="Times New Roman" w:hAnsi="Times New Roman"/>
                <w:sz w:val="12"/>
                <w:szCs w:val="12"/>
                <w:color w:val="auto"/>
              </w:rPr>
              <w:t>of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Times New Roman" w:cs="Times New Roman" w:eastAsia="Times New Roman" w:hAnsi="Times New Roman"/>
                <w:sz w:val="12"/>
                <w:szCs w:val="12"/>
                <w:color w:val="auto"/>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income</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(0.98)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(0.84)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(0.95)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ind w:left="200"/>
              <w:spacing w:after="0" w:line="111" w:lineRule="exact"/>
              <w:rPr>
                <w:sz w:val="20"/>
                <w:szCs w:val="20"/>
                <w:color w:val="auto"/>
              </w:rPr>
            </w:pPr>
            <w:r>
              <w:rPr>
                <w:rFonts w:ascii="Times New Roman" w:cs="Times New Roman" w:eastAsia="Times New Roman" w:hAnsi="Times New Roman"/>
                <w:sz w:val="12"/>
                <w:szCs w:val="12"/>
                <w:color w:val="auto"/>
              </w:rPr>
              <w:t>Distribution</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of realized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gains</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Total distributions</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to stockholders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w w:val="97"/>
              </w:rPr>
              <w:t>Accretive (dilutive)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effect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issuance and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acquisition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MCG (1)</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asset value,</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end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11.62</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12.62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12.31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12.97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14.40</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14.10</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line="133" w:lineRule="exact"/>
              <w:rPr>
                <w:sz w:val="20"/>
                <w:szCs w:val="20"/>
                <w:color w:val="auto"/>
              </w:rPr>
            </w:pPr>
            <w:r>
              <w:rPr>
                <w:rFonts w:ascii="Times New Roman" w:cs="Times New Roman" w:eastAsia="Times New Roman" w:hAnsi="Times New Roman"/>
                <w:sz w:val="12"/>
                <w:szCs w:val="12"/>
                <w:color w:val="auto"/>
              </w:rPr>
              <w:t>Per share market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value, end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period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8.44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11.60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13.23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11.94</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13.78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return(3)</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(17.76)%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66.47%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2"/>
                <w:szCs w:val="12"/>
                <w:color w:val="auto"/>
              </w:rPr>
              <w:t>(17.15)%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(3.20)%</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(1.29)%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18.71%</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21.77%</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(6.01)%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8.05%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17.17%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w w:val="98"/>
              </w:rPr>
              <w:t>Shares outstanding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at end of period</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6"/>
              </w:rPr>
              <w:t>45,345,638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6"/>
              </w:rPr>
              <w:t>38,880,728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38,772,074</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38,772,074</w:t>
            </w:r>
          </w:p>
        </w:tc>
        <w:tc>
          <w:tcPr>
            <w:tcW w:w="6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6"/>
              </w:rPr>
              <w:t>38,772,074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32,480,074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26,730,074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26,730,074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2"/>
              </w:rPr>
              <w:t>14,898,056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6"/>
              </w:rPr>
              <w:t>14,898,056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b w:val="1"/>
                <w:bCs w:val="1"/>
                <w:color w:val="auto"/>
              </w:rPr>
              <w:t>Ratios/</w:t>
            </w: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b w:val="1"/>
                <w:bCs w:val="1"/>
                <w:color w:val="auto"/>
              </w:rPr>
              <w:t>Supplemental</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Ratio of operating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assets (4)</w:t>
            </w:r>
          </w:p>
        </w:tc>
        <w:tc>
          <w:tcPr>
            <w:tcW w:w="6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5.19%</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3.94%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4.13%</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Ratio of debt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related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to 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rPr>
              <w:t>Ratio of total</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10.82%</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9.15%</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6.11%</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Ratio of net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income to</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8.76%</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w w:val="96"/>
              </w:rPr>
              <w:t>Net assets at end of</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period (in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thousands)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527,092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490,611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477,270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503,057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535,842</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457,906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375,907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372,890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214,528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210,066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9"/>
                <w:szCs w:val="9"/>
                <w:color w:val="auto"/>
              </w:rPr>
              <w:t>Weighted average</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debt outstanding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 thousands)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698,765</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622,739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737,209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512,135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354,322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269,320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140,218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123,924</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147,599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71,679</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rPr>
              <w:t>Weighted average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debt per share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17.06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19.01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13.21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7.61</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w w:val="98"/>
              </w:rPr>
              <w:t>Asset coverage per</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 (6)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1,776</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1,786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2,601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13,598</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2,469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3,109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Portfolio turnover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ratio</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35.08%</w:t>
            </w:r>
          </w:p>
        </w:tc>
        <w:tc>
          <w:tcPr>
            <w:tcW w:w="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52.64%</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59.70%</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32.16%</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81.89%</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230505</wp:posOffset>
            </wp:positionV>
            <wp:extent cx="59245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370" w:lineRule="exact"/>
        <w:rPr>
          <w:sz w:val="20"/>
          <w:szCs w:val="20"/>
          <w:color w:val="auto"/>
        </w:rPr>
      </w:pPr>
    </w:p>
    <w:p>
      <w:pPr>
        <w:ind w:left="1740" w:hanging="327"/>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weighted average shares outstanding for the respective periods.</w:t>
      </w:r>
    </w:p>
    <w:p>
      <w:pPr>
        <w:spacing w:after="0" w:line="20" w:lineRule="exact"/>
        <w:rPr>
          <w:rFonts w:ascii="Times New Roman" w:cs="Times New Roman" w:eastAsia="Times New Roman" w:hAnsi="Times New Roman"/>
          <w:sz w:val="14"/>
          <w:szCs w:val="14"/>
          <w:color w:val="auto"/>
        </w:rPr>
      </w:pPr>
    </w:p>
    <w:p>
      <w:pPr>
        <w:ind w:left="1740" w:right="419" w:hanging="327"/>
        <w:spacing w:after="0" w:line="247"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status of distributions is calculated in accordance with income tax regulations, which may differ from amounts determined under GAAP, and reported on Form 1099-DIV each calendar year.</w:t>
      </w:r>
    </w:p>
    <w:p>
      <w:pPr>
        <w:ind w:left="1740" w:hanging="327"/>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change in market price per share during the period and assumes distributions, if any, are reinvested.</w:t>
      </w:r>
    </w:p>
    <w:p>
      <w:pPr>
        <w:spacing w:after="0" w:line="4" w:lineRule="exact"/>
        <w:rPr>
          <w:rFonts w:ascii="Times New Roman" w:cs="Times New Roman" w:eastAsia="Times New Roman" w:hAnsi="Times New Roman"/>
          <w:sz w:val="14"/>
          <w:szCs w:val="14"/>
          <w:color w:val="auto"/>
        </w:rPr>
      </w:pPr>
    </w:p>
    <w:p>
      <w:pPr>
        <w:ind w:left="1740" w:hanging="327"/>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related costs.</w:t>
      </w:r>
    </w:p>
    <w:p>
      <w:pPr>
        <w:spacing w:after="0" w:line="4" w:lineRule="exact"/>
        <w:rPr>
          <w:rFonts w:ascii="Times New Roman" w:cs="Times New Roman" w:eastAsia="Times New Roman" w:hAnsi="Times New Roman"/>
          <w:sz w:val="14"/>
          <w:szCs w:val="14"/>
          <w:color w:val="auto"/>
        </w:rPr>
      </w:pPr>
    </w:p>
    <w:p>
      <w:pPr>
        <w:ind w:left="1740" w:hanging="327"/>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and expenses on debt as well as Credit Facility amendment and debt issuance costs, if any.</w:t>
      </w:r>
    </w:p>
    <w:p>
      <w:pPr>
        <w:spacing w:after="0" w:line="4" w:lineRule="exact"/>
        <w:rPr>
          <w:rFonts w:ascii="Times New Roman" w:cs="Times New Roman" w:eastAsia="Times New Roman" w:hAnsi="Times New Roman"/>
          <w:sz w:val="14"/>
          <w:szCs w:val="14"/>
          <w:color w:val="auto"/>
        </w:rPr>
      </w:pPr>
    </w:p>
    <w:p>
      <w:pPr>
        <w:ind w:left="1740" w:right="399" w:hanging="327"/>
        <w:spacing w:after="0" w:line="247"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ind w:left="1740" w:hanging="327"/>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by predecessor auditors.</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20" w:right="279" w:firstLine="338"/>
        <w:spacing w:after="0" w:line="250" w:lineRule="auto"/>
        <w:rPr>
          <w:sz w:val="20"/>
          <w:szCs w:val="20"/>
          <w:color w:val="auto"/>
        </w:rPr>
      </w:pPr>
      <w:r>
        <w:rPr>
          <w:rFonts w:ascii="Times New Roman" w:cs="Times New Roman" w:eastAsia="Times New Roman" w:hAnsi="Times New Roman"/>
          <w:sz w:val="14"/>
          <w:szCs w:val="14"/>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2022, filed on November 17,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ind w:left="1420" w:right="379" w:firstLine="338"/>
        <w:spacing w:after="0" w:line="253" w:lineRule="auto"/>
        <w:rPr>
          <w:sz w:val="20"/>
          <w:szCs w:val="20"/>
          <w:color w:val="auto"/>
        </w:rPr>
      </w:pPr>
      <w:r>
        <w:rPr>
          <w:rFonts w:ascii="Times New Roman" w:cs="Times New Roman" w:eastAsia="Times New Roman" w:hAnsi="Times New Roman"/>
          <w:sz w:val="14"/>
          <w:szCs w:val="14"/>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71" w:lineRule="exact"/>
        <w:rPr>
          <w:sz w:val="20"/>
          <w:szCs w:val="20"/>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8" w:lineRule="exact"/>
        <w:rPr>
          <w:rFonts w:ascii="Times New Roman" w:cs="Times New Roman" w:eastAsia="Times New Roman" w:hAnsi="Times New Roman"/>
          <w:sz w:val="14"/>
          <w:szCs w:val="14"/>
          <w:color w:val="auto"/>
        </w:rPr>
      </w:pPr>
    </w:p>
    <w:p>
      <w:pPr>
        <w:ind w:left="2160" w:right="459" w:hanging="332"/>
        <w:spacing w:after="0" w:line="277"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future worsening thereof;</w:t>
      </w:r>
    </w:p>
    <w:p>
      <w:pPr>
        <w:spacing w:after="0" w:line="53" w:lineRule="exact"/>
        <w:rPr>
          <w:rFonts w:ascii="Times New Roman" w:cs="Times New Roman" w:eastAsia="Times New Roman" w:hAnsi="Times New Roman"/>
          <w:sz w:val="14"/>
          <w:szCs w:val="14"/>
          <w:color w:val="auto"/>
        </w:rPr>
      </w:pPr>
    </w:p>
    <w:p>
      <w:pPr>
        <w:jc w:val="both"/>
        <w:ind w:left="2160" w:right="299" w:hanging="332"/>
        <w:spacing w:after="0" w:line="262"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hanging="33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98"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126" w:lineRule="exact"/>
        <w:rPr>
          <w:sz w:val="20"/>
          <w:szCs w:val="20"/>
          <w:color w:val="auto"/>
        </w:rPr>
      </w:pPr>
    </w:p>
    <w:p>
      <w:pPr>
        <w:ind w:left="1420" w:right="479" w:firstLine="338"/>
        <w:spacing w:after="0" w:line="291"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20" w:lineRule="exact"/>
        <w:rPr>
          <w:sz w:val="20"/>
          <w:szCs w:val="20"/>
          <w:color w:val="auto"/>
        </w:rPr>
      </w:pPr>
    </w:p>
    <w:p>
      <w:pPr>
        <w:ind w:left="1420" w:right="339" w:firstLine="338"/>
        <w:spacing w:after="0" w:line="253"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43"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44" w:lineRule="exact"/>
        <w:rPr>
          <w:sz w:val="20"/>
          <w:szCs w:val="20"/>
          <w:color w:val="auto"/>
        </w:rPr>
      </w:pPr>
    </w:p>
    <w:p>
      <w:pPr>
        <w:jc w:val="both"/>
        <w:ind w:left="1420" w:right="299" w:firstLine="338"/>
        <w:spacing w:after="0" w:line="26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3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20" w:right="459" w:firstLine="338"/>
        <w:spacing w:after="0" w:line="262" w:lineRule="auto"/>
        <w:rPr>
          <w:sz w:val="20"/>
          <w:szCs w:val="20"/>
          <w:color w:val="auto"/>
        </w:rPr>
      </w:pPr>
      <w:r>
        <w:rPr>
          <w:rFonts w:ascii="Times New Roman" w:cs="Times New Roman" w:eastAsia="Times New Roman" w:hAnsi="Times New Roman"/>
          <w:sz w:val="14"/>
          <w:szCs w:val="14"/>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36" w:lineRule="exact"/>
        <w:rPr>
          <w:sz w:val="20"/>
          <w:szCs w:val="20"/>
          <w:color w:val="auto"/>
        </w:rPr>
      </w:pPr>
    </w:p>
    <w:p>
      <w:pPr>
        <w:ind w:left="1420" w:right="379" w:firstLine="338"/>
        <w:spacing w:after="0" w:line="253" w:lineRule="auto"/>
        <w:rPr>
          <w:sz w:val="20"/>
          <w:szCs w:val="20"/>
          <w:color w:val="auto"/>
        </w:rPr>
      </w:pPr>
      <w:r>
        <w:rPr>
          <w:rFonts w:ascii="Times New Roman" w:cs="Times New Roman" w:eastAsia="Times New Roman" w:hAnsi="Times New Roman"/>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2"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jc w:val="both"/>
        <w:ind w:left="1420" w:right="299"/>
        <w:spacing w:after="0" w:line="262" w:lineRule="auto"/>
        <w:rPr>
          <w:sz w:val="20"/>
          <w:szCs w:val="20"/>
          <w:color w:val="auto"/>
        </w:rPr>
      </w:pPr>
      <w:r>
        <w:rPr>
          <w:rFonts w:ascii="Times New Roman" w:cs="Times New Roman" w:eastAsia="Times New Roman" w:hAnsi="Times New Roman"/>
          <w:sz w:val="14"/>
          <w:szCs w:val="14"/>
          <w:color w:val="auto"/>
        </w:rPr>
        <w:t>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30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73" w:lineRule="exact"/>
        <w:rPr>
          <w:sz w:val="20"/>
          <w:szCs w:val="20"/>
          <w:color w:val="auto"/>
        </w:rPr>
      </w:pPr>
    </w:p>
    <w:p>
      <w:pPr>
        <w:ind w:left="1420" w:right="299" w:firstLine="338"/>
        <w:spacing w:after="0" w:line="253" w:lineRule="auto"/>
        <w:rPr>
          <w:sz w:val="20"/>
          <w:szCs w:val="20"/>
          <w:color w:val="auto"/>
        </w:rPr>
      </w:pPr>
      <w:r>
        <w:rPr>
          <w:rFonts w:ascii="Times New Roman" w:cs="Times New Roman" w:eastAsia="Times New Roman" w:hAnsi="Times New Roman"/>
          <w:sz w:val="14"/>
          <w:szCs w:val="14"/>
          <w:color w:val="auto"/>
        </w:rPr>
        <w:t>Information about our senior securities shown as of September 30, 2022, 2021, 2020, 2019, 2018, 2017, 2016 2015, 2014 and 2013 is located in “Part II, Item 7 – Management’s Discussion and Analysis of Financial Condition and Results of Operations – Liquidity and Capital Resources – Senior Securities” in our most recent Annual Report on Form 10-K, and is incorporated by reference into the registration statement of which this prospectus is a part, and the report of RSM US LLP, an independent registered public accounting firm, on our senior securities table as of September 30, 2022 is included in our most recent Annual Report on Form 10-K, filed on November 17, 2022, and is incorporated by reference into the registration statement of which this prospectus is a part.</w:t>
      </w:r>
    </w:p>
    <w:p>
      <w:pPr>
        <w:spacing w:after="0" w:line="3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173" w:lineRule="exact"/>
        <w:rPr>
          <w:sz w:val="20"/>
          <w:szCs w:val="20"/>
          <w:color w:val="auto"/>
        </w:rPr>
      </w:pPr>
    </w:p>
    <w:p>
      <w:pPr>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Information about the price range of our common stock is located in “Part II, Item 5 – Market for Registrant’s Common Equity, Related Stockholder Matters and Issuer Purchases of Equity Securities – Price Range of Common Stock” in our most recent Annual Report on Form 10-K and is incorporated by reference into the registration statement of which this prospectus is a part.</w:t>
      </w:r>
    </w:p>
    <w:p>
      <w:pPr>
        <w:spacing w:after="0" w:line="30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SALES OF COMMON STOCK BELOW NET ASSET VALUE</w:t>
      </w:r>
    </w:p>
    <w:p>
      <w:pPr>
        <w:spacing w:after="0" w:line="173" w:lineRule="exact"/>
        <w:rPr>
          <w:sz w:val="20"/>
          <w:szCs w:val="20"/>
          <w:color w:val="auto"/>
        </w:rPr>
      </w:pPr>
    </w:p>
    <w:p>
      <w:pPr>
        <w:ind w:left="1420" w:right="319" w:firstLine="338"/>
        <w:spacing w:after="0" w:line="257" w:lineRule="auto"/>
        <w:rPr>
          <w:sz w:val="20"/>
          <w:szCs w:val="20"/>
          <w:color w:val="auto"/>
        </w:rPr>
      </w:pPr>
      <w:r>
        <w:rPr>
          <w:rFonts w:ascii="Times New Roman" w:cs="Times New Roman" w:eastAsia="Times New Roman" w:hAnsi="Times New Roman"/>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7" w:lineRule="exact"/>
        <w:rPr>
          <w:sz w:val="20"/>
          <w:szCs w:val="20"/>
          <w:color w:val="auto"/>
        </w:rPr>
      </w:pPr>
    </w:p>
    <w:p>
      <w:pPr>
        <w:ind w:left="2160" w:right="319" w:hanging="332"/>
        <w:spacing w:after="0" w:line="277"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that an offering below NAV per share would have on our stockholders, including the potential dilution they would experience as a result of the offering;</w:t>
      </w:r>
    </w:p>
    <w:p>
      <w:pPr>
        <w:spacing w:after="0" w:line="53" w:lineRule="exact"/>
        <w:rPr>
          <w:rFonts w:ascii="Times New Roman" w:cs="Times New Roman" w:eastAsia="Times New Roman" w:hAnsi="Times New Roman"/>
          <w:sz w:val="14"/>
          <w:szCs w:val="14"/>
          <w:color w:val="auto"/>
        </w:rPr>
      </w:pPr>
    </w:p>
    <w:p>
      <w:pPr>
        <w:ind w:left="2160" w:right="339" w:hanging="332"/>
        <w:spacing w:after="0" w:line="277"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per share by which the offering price per share and the net proceeds per share are less than the most recently determined NAV per share;</w:t>
      </w:r>
    </w:p>
    <w:p>
      <w:pPr>
        <w:spacing w:after="0" w:line="53" w:lineRule="exact"/>
        <w:rPr>
          <w:rFonts w:ascii="Times New Roman" w:cs="Times New Roman" w:eastAsia="Times New Roman" w:hAnsi="Times New Roman"/>
          <w:sz w:val="14"/>
          <w:szCs w:val="14"/>
          <w:color w:val="auto"/>
        </w:rPr>
      </w:pPr>
    </w:p>
    <w:p>
      <w:pPr>
        <w:ind w:left="2160" w:right="599" w:hanging="332"/>
        <w:spacing w:after="0" w:line="277"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 of recent market prices of our common stock to NAV per share and the potential impact of the offering on the market price per share of our common stock;</w:t>
      </w:r>
    </w:p>
    <w:p>
      <w:pPr>
        <w:spacing w:after="0" w:line="53" w:lineRule="exact"/>
        <w:rPr>
          <w:rFonts w:ascii="Times New Roman" w:cs="Times New Roman" w:eastAsia="Times New Roman" w:hAnsi="Times New Roman"/>
          <w:sz w:val="14"/>
          <w:szCs w:val="14"/>
          <w:color w:val="auto"/>
        </w:rPr>
      </w:pPr>
    </w:p>
    <w:p>
      <w:pPr>
        <w:ind w:left="2160" w:right="279" w:hanging="332"/>
        <w:spacing w:after="0" w:line="277"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estimated offering price would closely approximate the market value of our shares, less distributing commissions or discounts, and would not be below current market price;</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market impact of being able to raise capital in the current financial market;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any new investors anticipated to acquire shares in the offering;</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rate of return on and quality, type and availability of investments;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leverage available to us, both before and after the offering and other borrowing terms;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investment opportunities available relative to the potential dilutive effect of additional capital at the time of the offering.</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2"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479" w:firstLine="338"/>
        <w:spacing w:after="0" w:line="262" w:lineRule="auto"/>
        <w:rPr>
          <w:sz w:val="20"/>
          <w:szCs w:val="20"/>
          <w:color w:val="auto"/>
        </w:rPr>
      </w:pPr>
      <w:r>
        <w:rPr>
          <w:rFonts w:ascii="Times New Roman" w:cs="Times New Roman" w:eastAsia="Times New Roman" w:hAnsi="Times New Roman"/>
          <w:sz w:val="14"/>
          <w:szCs w:val="14"/>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36" w:lineRule="exact"/>
        <w:rPr>
          <w:sz w:val="20"/>
          <w:szCs w:val="20"/>
          <w:color w:val="auto"/>
        </w:rPr>
      </w:pPr>
    </w:p>
    <w:p>
      <w:pPr>
        <w:jc w:val="both"/>
        <w:ind w:left="1420" w:right="419" w:firstLine="338"/>
        <w:spacing w:after="0" w:line="262" w:lineRule="auto"/>
        <w:rPr>
          <w:sz w:val="20"/>
          <w:szCs w:val="20"/>
          <w:color w:val="auto"/>
        </w:rPr>
      </w:pPr>
      <w:r>
        <w:rPr>
          <w:rFonts w:ascii="Times New Roman" w:cs="Times New Roman" w:eastAsia="Times New Roman" w:hAnsi="Times New Roman"/>
          <w:sz w:val="14"/>
          <w:szCs w:val="14"/>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36" w:lineRule="exact"/>
        <w:rPr>
          <w:sz w:val="20"/>
          <w:szCs w:val="20"/>
          <w:color w:val="auto"/>
        </w:rPr>
      </w:pPr>
    </w:p>
    <w:p>
      <w:pPr>
        <w:ind w:left="1420" w:right="339" w:firstLine="338"/>
        <w:spacing w:after="0" w:line="269" w:lineRule="auto"/>
        <w:rPr>
          <w:sz w:val="20"/>
          <w:szCs w:val="20"/>
          <w:color w:val="auto"/>
        </w:rPr>
      </w:pPr>
      <w:r>
        <w:rPr>
          <w:rFonts w:ascii="Times New Roman" w:cs="Times New Roman" w:eastAsia="Times New Roman" w:hAnsi="Times New Roman"/>
          <w:sz w:val="13"/>
          <w:szCs w:val="13"/>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w:t>
      </w:r>
    </w:p>
    <w:p>
      <w:pPr>
        <w:spacing w:after="0" w:line="4" w:lineRule="exact"/>
        <w:rPr>
          <w:sz w:val="20"/>
          <w:szCs w:val="20"/>
          <w:color w:val="auto"/>
        </w:rPr>
      </w:pPr>
    </w:p>
    <w:p>
      <w:pPr>
        <w:ind w:left="1420" w:right="439"/>
        <w:spacing w:after="0" w:line="249" w:lineRule="auto"/>
        <w:rPr>
          <w:sz w:val="20"/>
          <w:szCs w:val="20"/>
          <w:color w:val="auto"/>
        </w:rPr>
      </w:pPr>
      <w:r>
        <w:rPr>
          <w:rFonts w:ascii="Times New Roman" w:cs="Times New Roman" w:eastAsia="Times New Roman" w:hAnsi="Times New Roman"/>
          <w:sz w:val="14"/>
          <w:szCs w:val="14"/>
          <w:color w:val="auto"/>
        </w:rPr>
        <w:t>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46" w:lineRule="exact"/>
        <w:rPr>
          <w:sz w:val="20"/>
          <w:szCs w:val="20"/>
          <w:color w:val="auto"/>
        </w:rPr>
      </w:pPr>
    </w:p>
    <w:p>
      <w:pPr>
        <w:ind w:left="1420" w:right="339" w:firstLine="338"/>
        <w:spacing w:after="0" w:line="277" w:lineRule="auto"/>
        <w:rPr>
          <w:sz w:val="20"/>
          <w:szCs w:val="20"/>
          <w:color w:val="auto"/>
        </w:rPr>
      </w:pPr>
      <w:r>
        <w:rPr>
          <w:rFonts w:ascii="Times New Roman" w:cs="Times New Roman" w:eastAsia="Times New Roman" w:hAnsi="Times New Roman"/>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4" w:lineRule="exact"/>
        <w:rPr>
          <w:sz w:val="20"/>
          <w:szCs w:val="20"/>
          <w:color w:val="auto"/>
        </w:rPr>
      </w:pPr>
    </w:p>
    <w:p>
      <w:pPr>
        <w:ind w:left="2160" w:hanging="332"/>
        <w:spacing w:after="0"/>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do not purchase any shares in the offering;</w:t>
      </w:r>
    </w:p>
    <w:p>
      <w:pPr>
        <w:spacing w:after="0" w:line="98" w:lineRule="exact"/>
        <w:rPr>
          <w:rFonts w:ascii="Times New Roman" w:cs="Times New Roman" w:eastAsia="Times New Roman" w:hAnsi="Times New Roman"/>
          <w:sz w:val="14"/>
          <w:szCs w:val="14"/>
          <w:color w:val="auto"/>
        </w:rPr>
      </w:pPr>
    </w:p>
    <w:p>
      <w:pPr>
        <w:ind w:left="2160" w:right="299" w:hanging="332"/>
        <w:spacing w:after="0" w:line="277"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purchase a relatively small amount of shares in the offering or a relatively large amount of shares in the offering; and</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investors who become stockholders by purchasing shares in the offering.</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Impact on Existing Stockholders who do not Participate in the Offering</w:t>
      </w:r>
    </w:p>
    <w:p>
      <w:pPr>
        <w:spacing w:after="0" w:line="90" w:lineRule="exact"/>
        <w:rPr>
          <w:sz w:val="20"/>
          <w:szCs w:val="20"/>
          <w:color w:val="auto"/>
        </w:rPr>
      </w:pPr>
    </w:p>
    <w:p>
      <w:pPr>
        <w:ind w:left="1420" w:right="319" w:firstLine="338"/>
        <w:spacing w:after="0" w:line="252" w:lineRule="auto"/>
        <w:rPr>
          <w:sz w:val="20"/>
          <w:szCs w:val="20"/>
          <w:color w:val="auto"/>
        </w:rPr>
      </w:pPr>
      <w:r>
        <w:rPr>
          <w:rFonts w:ascii="Times New Roman" w:cs="Times New Roman" w:eastAsia="Times New Roman" w:hAnsi="Times New Roman"/>
          <w:sz w:val="14"/>
          <w:szCs w:val="14"/>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44" w:lineRule="exact"/>
        <w:rPr>
          <w:sz w:val="20"/>
          <w:szCs w:val="20"/>
          <w:color w:val="auto"/>
        </w:rPr>
      </w:pPr>
    </w:p>
    <w:p>
      <w:pPr>
        <w:ind w:left="1420" w:right="619" w:firstLine="338"/>
        <w:spacing w:after="0" w:line="262"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firstLine="338"/>
        <w:spacing w:after="0" w:line="253" w:lineRule="auto"/>
        <w:rPr>
          <w:sz w:val="20"/>
          <w:szCs w:val="20"/>
          <w:color w:val="auto"/>
        </w:rPr>
      </w:pPr>
      <w:r>
        <w:rPr>
          <w:rFonts w:ascii="Times New Roman" w:cs="Times New Roman" w:eastAsia="Times New Roman" w:hAnsi="Times New Roman"/>
          <w:sz w:val="14"/>
          <w:szCs w:val="14"/>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7"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left="255"/>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tcPr>
          <w:p>
            <w:pPr>
              <w:jc w:val="center"/>
              <w:ind w:right="300"/>
              <w:spacing w:after="0" w:line="114" w:lineRule="exact"/>
              <w:rPr>
                <w:sz w:val="20"/>
                <w:szCs w:val="20"/>
                <w:color w:val="auto"/>
              </w:rPr>
            </w:pPr>
            <w:r>
              <w:rPr>
                <w:rFonts w:ascii="Times New Roman" w:cs="Times New Roman" w:eastAsia="Times New Roman" w:hAnsi="Times New Roman"/>
                <w:sz w:val="11"/>
                <w:szCs w:val="11"/>
                <w:b w:val="1"/>
                <w:bCs w:val="1"/>
                <w:color w:val="auto"/>
                <w:w w:val="97"/>
              </w:rPr>
              <w:t>5% Offering at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4"/>
          </w:tcPr>
          <w:p>
            <w:pPr>
              <w:jc w:val="center"/>
              <w:ind w:right="360"/>
              <w:spacing w:after="0" w:line="114" w:lineRule="exact"/>
              <w:rPr>
                <w:sz w:val="20"/>
                <w:szCs w:val="20"/>
                <w:color w:val="auto"/>
              </w:rPr>
            </w:pPr>
            <w:r>
              <w:rPr>
                <w:rFonts w:ascii="Times New Roman" w:cs="Times New Roman" w:eastAsia="Times New Roman" w:hAnsi="Times New Roman"/>
                <w:sz w:val="11"/>
                <w:szCs w:val="11"/>
                <w:b w:val="1"/>
                <w:bCs w:val="1"/>
                <w:color w:val="auto"/>
              </w:rPr>
              <w:t>10% Offering at</w:t>
            </w:r>
          </w:p>
        </w:tc>
        <w:tc>
          <w:tcPr>
            <w:tcW w:w="80" w:type="dxa"/>
            <w:vAlign w:val="bottom"/>
          </w:tcPr>
          <w:p>
            <w:pPr>
              <w:spacing w:after="0"/>
              <w:rPr>
                <w:sz w:val="9"/>
                <w:szCs w:val="9"/>
                <w:color w:val="auto"/>
              </w:rPr>
            </w:pPr>
          </w:p>
        </w:tc>
        <w:tc>
          <w:tcPr>
            <w:tcW w:w="1540" w:type="dxa"/>
            <w:vAlign w:val="bottom"/>
            <w:gridSpan w:val="4"/>
          </w:tcPr>
          <w:p>
            <w:pPr>
              <w:jc w:val="center"/>
              <w:ind w:right="280"/>
              <w:spacing w:after="0" w:line="114" w:lineRule="exact"/>
              <w:rPr>
                <w:sz w:val="20"/>
                <w:szCs w:val="20"/>
                <w:color w:val="auto"/>
              </w:rPr>
            </w:pPr>
            <w:r>
              <w:rPr>
                <w:rFonts w:ascii="Times New Roman" w:cs="Times New Roman" w:eastAsia="Times New Roman" w:hAnsi="Times New Roman"/>
                <w:sz w:val="11"/>
                <w:szCs w:val="11"/>
                <w:b w:val="1"/>
                <w:bCs w:val="1"/>
                <w:color w:val="auto"/>
              </w:rPr>
              <w:t>25% Offering at</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5% Discount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10% Discount</w:t>
            </w:r>
          </w:p>
        </w:tc>
        <w:tc>
          <w:tcPr>
            <w:tcW w:w="80" w:type="dxa"/>
            <w:vAlign w:val="bottom"/>
          </w:tcPr>
          <w:p>
            <w:pPr>
              <w:spacing w:after="0"/>
              <w:rPr>
                <w:sz w:val="11"/>
                <w:szCs w:val="11"/>
                <w:color w:val="auto"/>
              </w:rPr>
            </w:pPr>
          </w:p>
        </w:tc>
        <w:tc>
          <w:tcPr>
            <w:tcW w:w="15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25% Discount</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32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8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3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40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46"/>
        </w:trPr>
        <w:tc>
          <w:tcPr>
            <w:tcW w:w="276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9.47</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offering proceeds per share to issuer</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to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1,050,000</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1,100,000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1,250,000</w:t>
            </w:r>
          </w:p>
        </w:tc>
        <w:tc>
          <w:tcPr>
            <w:tcW w:w="4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9.98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9.91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 to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10,000</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0.91%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0.80%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99,800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99,100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95,000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Total investment by stockholder A (assumed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 $10.00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dilution to stockholder A (total NAV less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investment)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9.98</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9.91</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Investment per share held by stockholder A</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$10.00 per share on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 prior to sale)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Dilution per share held by stockholder A (NAV</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 less investment per share)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(0.02)</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(0.09)</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Percentage dilution to stockholder A (dilution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 divided by investment per 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80"/>
        </w:trPr>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Impact on Existing Stockholders who Participate in the Offering</w:t>
      </w:r>
    </w:p>
    <w:p>
      <w:pPr>
        <w:spacing w:after="0" w:line="90" w:lineRule="exact"/>
        <w:rPr>
          <w:sz w:val="20"/>
          <w:szCs w:val="20"/>
          <w:color w:val="auto"/>
        </w:rPr>
      </w:pPr>
    </w:p>
    <w:p>
      <w:pPr>
        <w:ind w:left="1420" w:right="299" w:firstLine="338"/>
        <w:spacing w:after="0" w:line="249" w:lineRule="auto"/>
        <w:rPr>
          <w:sz w:val="20"/>
          <w:szCs w:val="20"/>
          <w:color w:val="auto"/>
        </w:rPr>
      </w:pPr>
      <w:r>
        <w:rPr>
          <w:rFonts w:ascii="Times New Roman" w:cs="Times New Roman" w:eastAsia="Times New Roman" w:hAnsi="Times New Roman"/>
          <w:sz w:val="14"/>
          <w:szCs w:val="14"/>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51" w:lineRule="exact"/>
        <w:rPr>
          <w:sz w:val="20"/>
          <w:szCs w:val="20"/>
          <w:color w:val="auto"/>
        </w:rPr>
      </w:pPr>
    </w:p>
    <w:p>
      <w:pPr>
        <w:ind w:left="1420" w:right="479" w:firstLine="338"/>
        <w:spacing w:after="0" w:line="253" w:lineRule="auto"/>
        <w:rPr>
          <w:sz w:val="20"/>
          <w:szCs w:val="20"/>
          <w:color w:val="auto"/>
        </w:rPr>
      </w:pPr>
      <w:r>
        <w:rPr>
          <w:rFonts w:ascii="Times New Roman" w:cs="Times New Roman" w:eastAsia="Times New Roman" w:hAnsi="Times New Roman"/>
          <w:sz w:val="14"/>
          <w:szCs w:val="14"/>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59"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7"/>
              </w:rPr>
              <w:t>Prior to Sale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50% Participation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150% Participation</w:t>
            </w:r>
          </w:p>
        </w:tc>
        <w:tc>
          <w:tcPr>
            <w:tcW w:w="0" w:type="dxa"/>
            <w:vAlign w:val="bottom"/>
          </w:tcPr>
          <w:p>
            <w:pPr>
              <w:spacing w:after="0"/>
              <w:rPr>
                <w:sz w:val="1"/>
                <w:szCs w:val="1"/>
                <w:color w:val="auto"/>
              </w:rPr>
            </w:pPr>
          </w:p>
        </w:tc>
      </w:tr>
      <w:tr>
        <w:trPr>
          <w:trHeight w:val="85"/>
        </w:trPr>
        <w:tc>
          <w:tcPr>
            <w:tcW w:w="3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48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420" w:type="dxa"/>
            <w:vAlign w:val="bottom"/>
            <w:tcBorders>
              <w:top w:val="single" w:sz="8" w:color="auto"/>
            </w:tcBorders>
          </w:tcPr>
          <w:p>
            <w:pPr>
              <w:jc w:val="right"/>
              <w:ind w:right="94"/>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50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4"/>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46"/>
        </w:trPr>
        <w:tc>
          <w:tcPr>
            <w:tcW w:w="372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per share to issuer</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Shares and Decrease to NAV</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1,000,000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96"/>
              </w:rPr>
              <w:t>1,250,000</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1,250,000</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(Dilution)/Accretion to Participating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11,250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13,750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0.90%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106,875</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130,625</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151"/>
        </w:trPr>
        <w:tc>
          <w:tcPr>
            <w:tcW w:w="37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Total investment by stockholder A (assumed to be $10.00 per</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on shares held prior to sale)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109,863</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129,588</w:t>
            </w:r>
          </w:p>
        </w:tc>
        <w:tc>
          <w:tcPr>
            <w:tcW w:w="4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29.59%</w:t>
            </w:r>
          </w:p>
        </w:tc>
        <w:tc>
          <w:tcPr>
            <w:tcW w:w="0" w:type="dxa"/>
            <w:vAlign w:val="bottom"/>
          </w:tcPr>
          <w:p>
            <w:pPr>
              <w:spacing w:after="0"/>
              <w:rPr>
                <w:sz w:val="1"/>
                <w:szCs w:val="1"/>
                <w:color w:val="auto"/>
              </w:rPr>
            </w:pPr>
          </w:p>
        </w:tc>
      </w:tr>
      <w:tr>
        <w:trPr>
          <w:trHeight w:val="151"/>
        </w:trPr>
        <w:tc>
          <w:tcPr>
            <w:tcW w:w="37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(dilution)/accretion to stockholder A (total NAV less total</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(2,988)</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0"/>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2"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100" w:type="dxa"/>
            <w:vAlign w:val="bottom"/>
          </w:tcPr>
          <w:p>
            <w:pPr>
              <w:spacing w:after="0"/>
              <w:rPr>
                <w:sz w:val="11"/>
                <w:szCs w:val="11"/>
                <w:color w:val="auto"/>
              </w:rPr>
            </w:pPr>
          </w:p>
        </w:tc>
        <w:tc>
          <w:tcPr>
            <w:tcW w:w="154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50% Participation</w:t>
            </w:r>
          </w:p>
        </w:tc>
        <w:tc>
          <w:tcPr>
            <w:tcW w:w="100" w:type="dxa"/>
            <w:vAlign w:val="bottom"/>
          </w:tcPr>
          <w:p>
            <w:pPr>
              <w:spacing w:after="0"/>
              <w:rPr>
                <w:sz w:val="11"/>
                <w:szCs w:val="11"/>
                <w:color w:val="auto"/>
              </w:rPr>
            </w:pP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9"/>
              </w:rPr>
              <w:t>150% Participation</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20" w:type="dxa"/>
            <w:vAlign w:val="bottom"/>
            <w:tcBorders>
              <w:top w:val="single" w:sz="8" w:color="auto"/>
            </w:tcBorders>
            <w:gridSpan w:val="3"/>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7"/>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tcPr>
          <w:p>
            <w:pPr>
              <w:spacing w:after="0"/>
              <w:rPr>
                <w:sz w:val="7"/>
                <w:szCs w:val="7"/>
                <w:color w:val="auto"/>
              </w:rPr>
            </w:pPr>
          </w:p>
        </w:tc>
        <w:tc>
          <w:tcPr>
            <w:tcW w:w="800" w:type="dxa"/>
            <w:vAlign w:val="bottom"/>
            <w:tcBorders>
              <w:top w:val="single" w:sz="8" w:color="auto"/>
            </w:tcBorders>
            <w:gridSpan w:val="3"/>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7"/>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00" w:type="dxa"/>
            <w:vAlign w:val="bottom"/>
          </w:tcPr>
          <w:p>
            <w:pPr>
              <w:spacing w:after="0"/>
              <w:rPr>
                <w:sz w:val="11"/>
                <w:szCs w:val="11"/>
                <w:color w:val="auto"/>
              </w:rPr>
            </w:pP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46"/>
        </w:trPr>
        <w:tc>
          <w:tcPr>
            <w:tcW w:w="44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9.50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Investment per share held by stockholder A (assumed to be $10.00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 on shares held prior to sale)</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9.77</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7"/>
              </w:rPr>
              <w:t>9.42</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51"/>
        </w:trPr>
        <w:tc>
          <w:tcPr>
            <w:tcW w:w="440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(Dilution)/accretion per share held by stockholder A (NAV per share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less investment per 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(0.27)</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0.08</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Percentage (dilution)/accretion to stockholder A (dilution)/accretion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 divided by investment per share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Impact on New Investors</w:t>
      </w:r>
    </w:p>
    <w:p>
      <w:pPr>
        <w:spacing w:after="0" w:line="90" w:lineRule="exact"/>
        <w:rPr>
          <w:sz w:val="20"/>
          <w:szCs w:val="20"/>
          <w:color w:val="auto"/>
        </w:rPr>
      </w:pPr>
    </w:p>
    <w:p>
      <w:pPr>
        <w:ind w:left="1420" w:right="619" w:firstLine="338"/>
        <w:spacing w:after="0" w:line="262"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36" w:lineRule="exact"/>
        <w:rPr>
          <w:sz w:val="20"/>
          <w:szCs w:val="20"/>
          <w:color w:val="auto"/>
        </w:rPr>
      </w:pPr>
    </w:p>
    <w:p>
      <w:pPr>
        <w:ind w:left="1420" w:right="319" w:firstLine="338"/>
        <w:spacing w:after="0" w:line="250" w:lineRule="auto"/>
        <w:rPr>
          <w:sz w:val="20"/>
          <w:szCs w:val="20"/>
          <w:color w:val="auto"/>
        </w:rPr>
      </w:pPr>
      <w:r>
        <w:rPr>
          <w:rFonts w:ascii="Times New Roman" w:cs="Times New Roman" w:eastAsia="Times New Roman" w:hAnsi="Times New Roman"/>
          <w:sz w:val="14"/>
          <w:szCs w:val="14"/>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46" w:lineRule="exact"/>
        <w:rPr>
          <w:sz w:val="20"/>
          <w:szCs w:val="20"/>
          <w:color w:val="auto"/>
        </w:rPr>
      </w:pPr>
    </w:p>
    <w:p>
      <w:pPr>
        <w:ind w:left="1420" w:right="339" w:firstLine="338"/>
        <w:spacing w:after="0" w:line="251"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2"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left="195"/>
              <w:spacing w:after="0" w:line="114" w:lineRule="exact"/>
              <w:rPr>
                <w:sz w:val="20"/>
                <w:szCs w:val="20"/>
                <w:color w:val="auto"/>
              </w:rPr>
            </w:pPr>
            <w:r>
              <w:rPr>
                <w:rFonts w:ascii="Times New Roman" w:cs="Times New Roman" w:eastAsia="Times New Roman" w:hAnsi="Times New Roman"/>
                <w:sz w:val="11"/>
                <w:szCs w:val="11"/>
                <w:b w:val="1"/>
                <w:bCs w:val="1"/>
                <w:color w:val="auto"/>
              </w:rPr>
              <w:t>5% Offering</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tcPr>
          <w:p>
            <w:pPr>
              <w:jc w:val="center"/>
              <w:ind w:right="460"/>
              <w:spacing w:after="0" w:line="114" w:lineRule="exact"/>
              <w:rPr>
                <w:sz w:val="20"/>
                <w:szCs w:val="20"/>
                <w:color w:val="auto"/>
              </w:rPr>
            </w:pPr>
            <w:r>
              <w:rPr>
                <w:rFonts w:ascii="Times New Roman" w:cs="Times New Roman" w:eastAsia="Times New Roman" w:hAnsi="Times New Roman"/>
                <w:sz w:val="11"/>
                <w:szCs w:val="11"/>
                <w:b w:val="1"/>
                <w:bCs w:val="1"/>
                <w:color w:val="auto"/>
              </w:rPr>
              <w:t>10% Offering</w:t>
            </w:r>
          </w:p>
        </w:tc>
        <w:tc>
          <w:tcPr>
            <w:tcW w:w="80" w:type="dxa"/>
            <w:vAlign w:val="bottom"/>
          </w:tcPr>
          <w:p>
            <w:pPr>
              <w:spacing w:after="0"/>
              <w:rPr>
                <w:sz w:val="9"/>
                <w:szCs w:val="9"/>
                <w:color w:val="auto"/>
              </w:rPr>
            </w:pPr>
          </w:p>
        </w:tc>
        <w:tc>
          <w:tcPr>
            <w:tcW w:w="1480" w:type="dxa"/>
            <w:vAlign w:val="bottom"/>
            <w:gridSpan w:val="4"/>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rPr>
              <w:t>25% Offering</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Prior to Sale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at 5% Discount</w:t>
            </w: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9"/>
              </w:rPr>
              <w:t>at 10% Discount</w:t>
            </w:r>
          </w:p>
        </w:tc>
        <w:tc>
          <w:tcPr>
            <w:tcW w:w="80" w:type="dxa"/>
            <w:vAlign w:val="bottom"/>
          </w:tcPr>
          <w:p>
            <w:pPr>
              <w:spacing w:after="0"/>
              <w:rPr>
                <w:sz w:val="11"/>
                <w:szCs w:val="11"/>
                <w:color w:val="auto"/>
              </w:rPr>
            </w:pPr>
          </w:p>
        </w:tc>
        <w:tc>
          <w:tcPr>
            <w:tcW w:w="148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at 25% Discount</w:t>
            </w:r>
          </w:p>
        </w:tc>
        <w:tc>
          <w:tcPr>
            <w:tcW w:w="0" w:type="dxa"/>
            <w:vAlign w:val="bottom"/>
          </w:tcPr>
          <w:p>
            <w:pPr>
              <w:spacing w:after="0"/>
              <w:rPr>
                <w:sz w:val="1"/>
                <w:szCs w:val="1"/>
                <w:color w:val="auto"/>
              </w:rPr>
            </w:pPr>
          </w:p>
        </w:tc>
      </w:tr>
      <w:tr>
        <w:trPr>
          <w:trHeight w:val="85"/>
        </w:trPr>
        <w:tc>
          <w:tcPr>
            <w:tcW w:w="2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Below NAV</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46"/>
        </w:trPr>
        <w:tc>
          <w:tcPr>
            <w:tcW w:w="262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offering proceeds per share to issuer</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9.00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to NAV</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2"/>
              </w:rPr>
              <w:t>1,050,000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6"/>
              </w:rPr>
              <w:t>1,100,000</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1,250,000</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9.98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9.91</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 to Stockholder A</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2,500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0.05%</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4,990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9,910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23,750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investment by 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19,725</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Total (dilution)/accretion to</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stockholder A (total NAV less total</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investment)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440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4,025</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9.98</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9.91</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Investment per share held by</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(Dilution)/accretion per share held by</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stockholder A (NAV per share less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investment per share)</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(0.02)</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0.44</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1.61</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Percentage (dilution)/accretion to</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 A (dilution)/ accretion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 share divided by investment per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share</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73" w:lineRule="exact"/>
        <w:rPr>
          <w:sz w:val="20"/>
          <w:szCs w:val="20"/>
          <w:color w:val="auto"/>
        </w:rPr>
      </w:pPr>
    </w:p>
    <w:p>
      <w:pPr>
        <w:ind w:left="1420" w:right="519" w:firstLine="338"/>
        <w:spacing w:after="0" w:line="254" w:lineRule="auto"/>
        <w:rPr>
          <w:sz w:val="20"/>
          <w:szCs w:val="20"/>
          <w:color w:val="auto"/>
        </w:rPr>
      </w:pPr>
      <w:r>
        <w:rPr>
          <w:rFonts w:ascii="Times New Roman" w:cs="Times New Roman" w:eastAsia="Times New Roman" w:hAnsi="Times New Roman"/>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44" w:lineRule="exact"/>
        <w:rPr>
          <w:sz w:val="20"/>
          <w:szCs w:val="20"/>
          <w:color w:val="auto"/>
        </w:rPr>
      </w:pPr>
    </w:p>
    <w:p>
      <w:pPr>
        <w:ind w:left="1420" w:right="919" w:firstLine="338"/>
        <w:spacing w:after="0" w:line="277" w:lineRule="auto"/>
        <w:rPr>
          <w:sz w:val="20"/>
          <w:szCs w:val="20"/>
          <w:color w:val="auto"/>
        </w:rPr>
      </w:pPr>
      <w:r>
        <w:rPr>
          <w:rFonts w:ascii="Times New Roman" w:cs="Times New Roman" w:eastAsia="Times New Roman" w:hAnsi="Times New Roman"/>
          <w:sz w:val="14"/>
          <w:szCs w:val="14"/>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2"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The tax characteristics of distributions declared, in accordance with Section 19(a) of the 1940 Act, for our fiscal and taxable years ended September 30, 2022 and 2021 from ordinary income (including short-term gains), if any, totaled $46.7 million, or $1.14 per share, and $44.2 million, or $1.14 per share, based on the weighted average shares outstanding for the respective periods. Additionally, for both years ended September 30, 2022 and 2021, we did not pay any distributions from long-term capital gains.</w:t>
      </w:r>
    </w:p>
    <w:p>
      <w:pPr>
        <w:spacing w:after="0" w:line="140" w:lineRule="exact"/>
        <w:rPr>
          <w:sz w:val="20"/>
          <w:szCs w:val="20"/>
          <w:color w:val="auto"/>
        </w:rPr>
      </w:pPr>
    </w:p>
    <w:p>
      <w:pPr>
        <w:ind w:left="1420" w:right="439" w:firstLine="338"/>
        <w:spacing w:after="0" w:line="254"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2"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PORTFOLIO COMPANIES</w:t>
      </w:r>
    </w:p>
    <w:p>
      <w:pPr>
        <w:spacing w:after="0" w:line="173" w:lineRule="exact"/>
        <w:rPr>
          <w:sz w:val="20"/>
          <w:szCs w:val="20"/>
          <w:color w:val="auto"/>
        </w:rPr>
      </w:pPr>
    </w:p>
    <w:p>
      <w:pPr>
        <w:ind w:left="1420" w:right="379" w:firstLine="338"/>
        <w:spacing w:after="0" w:line="254" w:lineRule="auto"/>
        <w:rPr>
          <w:sz w:val="20"/>
          <w:szCs w:val="20"/>
          <w:color w:val="auto"/>
        </w:rPr>
      </w:pPr>
      <w:r>
        <w:rPr>
          <w:rFonts w:ascii="Times New Roman" w:cs="Times New Roman" w:eastAsia="Times New Roman" w:hAnsi="Times New Roman"/>
          <w:sz w:val="14"/>
          <w:szCs w:val="14"/>
          <w:color w:val="auto"/>
        </w:rPr>
        <w:t>The following is a listing of each portfolio company or its affiliate, together referred to as portfolio companies, in which we had an investment as of September 30, 2022.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 for the fiscal year ended September 30, 2022.</w:t>
      </w:r>
    </w:p>
    <w:p>
      <w:pPr>
        <w:spacing w:after="0" w:line="144" w:lineRule="exact"/>
        <w:rPr>
          <w:sz w:val="20"/>
          <w:szCs w:val="20"/>
          <w:color w:val="auto"/>
        </w:rPr>
      </w:pPr>
    </w:p>
    <w:p>
      <w:pPr>
        <w:ind w:left="1420" w:right="339" w:firstLine="338"/>
        <w:spacing w:after="0" w:line="251" w:lineRule="auto"/>
        <w:rPr>
          <w:sz w:val="20"/>
          <w:szCs w:val="20"/>
          <w:color w:val="auto"/>
        </w:rPr>
      </w:pPr>
      <w:r>
        <w:rPr>
          <w:rFonts w:ascii="Times New Roman" w:cs="Times New Roman" w:eastAsia="Times New Roman" w:hAnsi="Times New Roman"/>
          <w:sz w:val="14"/>
          <w:szCs w:val="14"/>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00" w:type="dxa"/>
            <w:vAlign w:val="bottom"/>
            <w:gridSpan w:val="3"/>
            <w:vMerge w:val="continue"/>
          </w:tcPr>
          <w:p>
            <w:pPr>
              <w:spacing w:after="0"/>
              <w:rPr>
                <w:sz w:val="9"/>
                <w:szCs w:val="9"/>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60" w:type="dxa"/>
            <w:vAlign w:val="bottom"/>
            <w:gridSpan w:val="2"/>
            <w:vMerge w:val="continue"/>
          </w:tcPr>
          <w:p>
            <w:pPr>
              <w:spacing w:after="0"/>
              <w:rPr>
                <w:sz w:val="9"/>
                <w:szCs w:val="9"/>
                <w:color w:val="auto"/>
              </w:rPr>
            </w:pPr>
          </w:p>
        </w:tc>
        <w:tc>
          <w:tcPr>
            <w:tcW w:w="8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0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60" w:type="dxa"/>
            <w:vAlign w:val="bottom"/>
            <w:gridSpan w:val="2"/>
            <w:vMerge w:val="continue"/>
          </w:tcPr>
          <w:p>
            <w:pPr>
              <w:spacing w:after="0"/>
              <w:rPr>
                <w:sz w:val="10"/>
                <w:szCs w:val="10"/>
                <w:color w:val="auto"/>
              </w:rPr>
            </w:pPr>
          </w:p>
        </w:tc>
        <w:tc>
          <w:tcPr>
            <w:tcW w:w="16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84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80" w:type="dxa"/>
            <w:vAlign w:val="bottom"/>
          </w:tcPr>
          <w:p>
            <w:pPr>
              <w:spacing w:after="0"/>
              <w:rPr>
                <w:sz w:val="10"/>
                <w:szCs w:val="10"/>
                <w:color w:val="auto"/>
              </w:rPr>
            </w:pP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36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Companies Less than 5% Owned</w:t>
            </w:r>
          </w:p>
        </w:tc>
        <w:tc>
          <w:tcPr>
            <w:tcW w:w="1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68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color w:val="auto"/>
              </w:rPr>
              <w:t>Ad.net Acquisition, LLC</w:t>
            </w:r>
          </w:p>
        </w:tc>
        <w:tc>
          <w:tcPr>
            <w:tcW w:w="1460" w:type="dxa"/>
            <w:vAlign w:val="bottom"/>
            <w:gridSpan w:val="2"/>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60" w:type="dxa"/>
            <w:vAlign w:val="bottom"/>
            <w:gridSpan w:val="2"/>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0.9%</w:t>
            </w:r>
          </w:p>
        </w:tc>
        <w:tc>
          <w:tcPr>
            <w:tcW w:w="16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5,737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(Ad.net Holdings, Inc.(5))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L+600, 05/06/2026</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1100 Glendon Avenue, Suite 1200</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Los Angeles, CA 90024</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Affinion Group Holdings, Inc.</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rPr>
              <w:t>Consumer Goods: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w w:val="94"/>
              </w:rPr>
              <w:t>Warrants</w:t>
            </w:r>
          </w:p>
        </w:tc>
        <w:tc>
          <w:tcPr>
            <w:tcW w:w="8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100 Connecticut Avenue</w:t>
            </w:r>
          </w:p>
        </w:tc>
        <w:tc>
          <w:tcPr>
            <w:tcW w:w="146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Durable</w:t>
            </w:r>
          </w:p>
        </w:tc>
        <w:tc>
          <w:tcPr>
            <w:tcW w:w="1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Norwalk, CT 06850</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AG Investco LP(5)</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Software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Equity(4)</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1,127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251 Little Falls Drive</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Herndon, VA 19808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Altamira Technologies, LLC</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rPr>
              <w:t>IT Services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L+800, 07/24/2025</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8201 Greensboro Drive, Suite 800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McLean, VA 22102</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Building Products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7,978</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(Go Dawgs Capital III, LP(5))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L+550, 12/21/2023</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3965 E. Conley Road</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Conley, GA 30288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American Teleconferencing Services, Ltd.</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107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2300 Lakeview Parkway Suite 300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 06/08/2023</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Alpharetta, GA 30009</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Amsive Holding Corporation (f/k/a Vision Purchaser</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Media</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13,892</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Corporation)</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L+625, 06/10/2025</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605 Territorial Drive</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420"/>
        <w:spacing w:after="0" w:line="216" w:lineRule="auto"/>
        <w:rPr>
          <w:sz w:val="20"/>
          <w:szCs w:val="20"/>
          <w:color w:val="auto"/>
        </w:rPr>
      </w:pPr>
      <w:r>
        <w:rPr>
          <w:rFonts w:ascii="Times New Roman" w:cs="Times New Roman" w:eastAsia="Times New Roman" w:hAnsi="Times New Roman"/>
          <w:sz w:val="11"/>
          <w:szCs w:val="11"/>
          <w:color w:val="auto"/>
        </w:rPr>
        <w:t>Suite A, B &amp; C</w:t>
      </w:r>
    </w:p>
    <w:p>
      <w:pPr>
        <w:ind w:left="1420"/>
        <w:spacing w:after="0"/>
        <w:rPr>
          <w:sz w:val="20"/>
          <w:szCs w:val="20"/>
          <w:color w:val="auto"/>
        </w:rPr>
      </w:pPr>
      <w:r>
        <w:rPr>
          <w:rFonts w:ascii="Times New Roman" w:cs="Times New Roman" w:eastAsia="Times New Roman" w:hAnsi="Times New Roman"/>
          <w:sz w:val="11"/>
          <w:szCs w:val="11"/>
          <w:color w:val="auto"/>
        </w:rPr>
        <w:t>Bolingbrook, IL 60440</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2"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680" w:type="dxa"/>
            <w:vAlign w:val="bottom"/>
            <w:gridSpan w:val="3"/>
            <w:vMerge w:val="continue"/>
          </w:tcPr>
          <w:p>
            <w:pPr>
              <w:spacing w:after="0"/>
              <w:rPr>
                <w:sz w:val="9"/>
                <w:szCs w:val="9"/>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6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80" w:type="dxa"/>
            <w:vAlign w:val="bottom"/>
            <w:gridSpan w:val="2"/>
            <w:vMerge w:val="continue"/>
          </w:tcPr>
          <w:p>
            <w:pPr>
              <w:spacing w:after="0"/>
              <w:rPr>
                <w:sz w:val="10"/>
                <w:szCs w:val="10"/>
                <w:color w:val="auto"/>
              </w:rPr>
            </w:pPr>
          </w:p>
        </w:tc>
        <w:tc>
          <w:tcPr>
            <w:tcW w:w="16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6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66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Anteriad, LLC (f/k/a MeritDirect, LLC)</w:t>
            </w:r>
          </w:p>
        </w:tc>
        <w:tc>
          <w:tcPr>
            <w:tcW w:w="112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w:t>
            </w:r>
          </w:p>
        </w:tc>
        <w:tc>
          <w:tcPr>
            <w:tcW w:w="360" w:type="dxa"/>
            <w:vAlign w:val="bottom"/>
            <w:shd w:val="clear" w:color="auto" w:fill="CCEEFF"/>
          </w:tcPr>
          <w:p>
            <w:pPr>
              <w:spacing w:after="0"/>
              <w:rPr>
                <w:sz w:val="6"/>
                <w:szCs w:val="6"/>
                <w:color w:val="auto"/>
              </w:rPr>
            </w:pPr>
          </w:p>
        </w:tc>
        <w:tc>
          <w:tcPr>
            <w:tcW w:w="148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17,584</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(Anterida Holdings, LP (5))</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05/23/2024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 International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Rye Brook, New York 10573</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Any Hour Services</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Energy Equipment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10,946</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(KL Stockton Co-Invest LP (5))</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07/21/2027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1374 130 S</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Orem, UT 84058</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Apex Service Partners, LLC</w:t>
            </w:r>
          </w:p>
        </w:tc>
        <w:tc>
          <w:tcPr>
            <w:tcW w:w="1480" w:type="dxa"/>
            <w:vAlign w:val="bottom"/>
            <w:gridSpan w:val="2"/>
            <w:shd w:val="clear" w:color="auto" w:fill="CCEEFF"/>
          </w:tcPr>
          <w:p>
            <w:pPr>
              <w:jc w:val="center"/>
              <w:ind w:right="380"/>
              <w:spacing w:after="0" w:line="97" w:lineRule="exact"/>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19,304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401 E Jackson, Ste #3300</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07/31/2025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Tampa, FL 33602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API Holdings III Corp.</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Electronic Equipment,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5,050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400 Nickerson Road</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L+425, 05/11/2026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Marlborough, MA 01752</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Components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1480" w:type="dxa"/>
            <w:vAlign w:val="bottom"/>
            <w:gridSpan w:val="2"/>
            <w:shd w:val="clear" w:color="auto" w:fill="CCEEFF"/>
          </w:tcPr>
          <w:p>
            <w:pPr>
              <w:jc w:val="center"/>
              <w:ind w:right="380"/>
              <w:spacing w:after="0" w:line="97" w:lineRule="exact"/>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7,913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(Ironclad Holdco, LLC (5))</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12/29/2026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1049 Triad Ct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Marietta, GA 30062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14295 Park Meadow Drive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 03/07/2028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Chantilly, VA 20151</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Athletico Holdings,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Healthcare Providers and</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4,758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2122 York Road, Ste. 300</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Oak Brook, IL 60523</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Internet Software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4,900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7 World Trade Center, 47th Floor</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07/01/2029</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York, NY 10007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456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1501 SW Expressway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9"/>
              </w:rPr>
              <w:t>3ML+500, 09/17/2024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Broken Arrow, OK 74012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Textiles, Apparel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3,405</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Six Neshaminy Interplex, 6 Floor</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Luxury Goods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12/02/2022</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Trevose, PA 19053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Burgess Point Holdings, LP</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Auto Components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29627 Renaissance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Daphne, Alabama 26526</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46,179</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(By Light Investco, LP(5))</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L+625, 05/16/2024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8484 Westpark Drive Suite 600</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McLean, VA 22102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Cadence Aerospace,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3,003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3150 East Miraloma Avenue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3M L+850 (PIK 9.50%),</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Anaheim, CA 92806</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11/14/2023</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Cartessa Aesthetics,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18,200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175 Broadhollow Road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L+600, 05/13/2028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Melville, NY 11747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2"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920" w:type="dxa"/>
            <w:vAlign w:val="bottom"/>
            <w:gridSpan w:val="2"/>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20" w:type="dxa"/>
            <w:vAlign w:val="bottom"/>
            <w:gridSpan w:val="3"/>
            <w:vMerge w:val="continue"/>
          </w:tcPr>
          <w:p>
            <w:pPr>
              <w:spacing w:after="0"/>
              <w:rPr>
                <w:sz w:val="9"/>
                <w:szCs w:val="9"/>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28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2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CF512, Inc.</w:t>
            </w:r>
          </w:p>
        </w:tc>
        <w:tc>
          <w:tcPr>
            <w:tcW w:w="22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w:t>
            </w:r>
          </w:p>
        </w:tc>
        <w:tc>
          <w:tcPr>
            <w:tcW w:w="3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0.8</w:t>
            </w:r>
          </w:p>
        </w:tc>
        <w:tc>
          <w:tcPr>
            <w:tcW w:w="260" w:type="dxa"/>
            <w:vAlign w:val="bottom"/>
            <w:tcBorders>
              <w:top w:val="single" w:sz="8" w:color="CCEEFF"/>
            </w:tcBorders>
            <w:shd w:val="clear" w:color="auto" w:fill="CCEEFF"/>
          </w:tcPr>
          <w:p>
            <w:pPr>
              <w:jc w:val="right"/>
              <w:ind w:right="121"/>
              <w:spacing w:after="0" w:line="74"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8,121</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(StellPen Holdings,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08/20/2026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960B Harvest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Blue Bell, PA 19422</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 Holdings,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Environmental</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1,581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575 Broadway</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Industries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L+450, 04/10/2025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Albany, NY 12207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Business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335</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1201 Wilson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L+675, 08/31/2023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Arlington, VA 22209</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8,811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325 Maple Avenue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02/09/2026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Torrance, CA 90503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Connatix Buyer,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4,206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(Connatix Parent,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07/13/2027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666 Broadway, Floor 10</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10012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1,244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(Crane 1 Acquisition Parent Holdings, L.P.)</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08/16/2027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1027 Byers Rd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Miamisburg, OH 45342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Douglas Products and Packaging Company,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Chemicals, Plastics and</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13,662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(Douglas Sewer Intermediate, LLC)</w:t>
            </w:r>
          </w:p>
        </w:tc>
        <w:tc>
          <w:tcPr>
            <w:tcW w:w="1480" w:type="dxa"/>
            <w:vAlign w:val="bottom"/>
            <w:gridSpan w:val="2"/>
            <w:shd w:val="clear" w:color="auto" w:fill="CCEEFF"/>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w w:val="98"/>
              </w:rPr>
              <w:t>Rubber</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10/19/2022</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(Plant Health Intermediate, Inc.)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1550 E. Old 210 Highway</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Liberty, MO 64068</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 Squatch,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2355 Westwood Blvd. #1834</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08/31/2027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Los Angeles, CA 90064</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DRS Holdings III,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16,518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225 State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Boston MA 02109</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Containers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3,169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7400 Industrial Dr.</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Packaging</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06/30/2024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Forest Park, IL 60130</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ECL Entertainment,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Hotels, Restaurants and</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6,086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(Kentucky Racing Holdco, LLC(5))</w:t>
            </w:r>
          </w:p>
        </w:tc>
        <w:tc>
          <w:tcPr>
            <w:tcW w:w="148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Leisure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L+750, 05/01/2028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5629 Nashville Road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9"/>
              </w:rPr>
              <w:t>Warrants</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Franklin, KY 42134</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Electronic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1,104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(ECM Investors, LLC (5))</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L+475, 12/23/2025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16250 W Woods Edge Rd</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Components</w:t>
            </w: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Berlin, WI 53151</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eCommission Financial Services, Inc. (6)</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Banking, Finance,</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8,685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(eCommission Holding Corporation(6))</w:t>
            </w:r>
          </w:p>
        </w:tc>
        <w:tc>
          <w:tcPr>
            <w:tcW w:w="148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w w:val="99"/>
              </w:rPr>
              <w:t>Insurance &amp; Real Estate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L+500, 10/05/2023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11612 Bee Caves Road, Building II,</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Suite 200 Austin, TX, 78738</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Efficient Collaborative Retail Marketing</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Media: Diversified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6,936</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Company, LLC</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L+675, 06/15/2024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27070 Miles Road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Solon, OH 44139</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2"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480" w:type="dxa"/>
            <w:vAlign w:val="bottom"/>
            <w:gridSpan w:val="3"/>
            <w:vMerge w:val="continue"/>
          </w:tcPr>
          <w:p>
            <w:pPr>
              <w:spacing w:after="0"/>
              <w:rPr>
                <w:sz w:val="9"/>
                <w:szCs w:val="9"/>
                <w:color w:val="auto"/>
              </w:rPr>
            </w:pPr>
          </w:p>
        </w:tc>
        <w:tc>
          <w:tcPr>
            <w:tcW w:w="16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80" w:type="dxa"/>
            <w:vAlign w:val="bottom"/>
            <w:gridSpan w:val="2"/>
            <w:vMerge w:val="continue"/>
          </w:tcPr>
          <w:p>
            <w:pPr>
              <w:spacing w:after="0"/>
              <w:rPr>
                <w:sz w:val="9"/>
                <w:szCs w:val="9"/>
                <w:color w:val="auto"/>
              </w:rPr>
            </w:pPr>
          </w:p>
        </w:tc>
        <w:tc>
          <w:tcPr>
            <w:tcW w:w="98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600" w:type="dxa"/>
            <w:vAlign w:val="bottom"/>
            <w:gridSpan w:val="2"/>
            <w:vMerge w:val="continue"/>
          </w:tcPr>
          <w:p>
            <w:pPr>
              <w:spacing w:after="0"/>
              <w:rPr>
                <w:sz w:val="12"/>
                <w:szCs w:val="12"/>
                <w:color w:val="auto"/>
              </w:rPr>
            </w:pPr>
          </w:p>
        </w:tc>
        <w:tc>
          <w:tcPr>
            <w:tcW w:w="168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8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Exigo Intermediate II, LLC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Software</w:t>
            </w:r>
          </w:p>
        </w:tc>
        <w:tc>
          <w:tcPr>
            <w:tcW w:w="48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559</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(Exigo, LLC)</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L+575, 03/15/2027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1256 Main Street, Suite 256</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Southlake, TX 76092</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Express Wash Topco,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Automobiles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Common Equity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5821 Fairview Road</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Charlotte, North Carolina 28209</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FedHC InvestCo LP(5)</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Common Equity(4)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2,142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3100 Clarendon Blvd</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Arlington, VA 22201</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Findex Group Limited(6)</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Diversified Financial</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6,430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 O’Connell Street</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L+450, 05/31/2024</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Sydney NSW 2000, Australia</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Gantech Acquisition Corp.</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26,085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(GCOM InvestCo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L+625, 05/14/2026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9175 Guilford Road, Suite 101</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Columbia, MD 21046</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Diversified Financial</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3,273</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4343 South 118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East Ave Suite 220</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03/16/2026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Tulsa, OK 74146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Graffiti Buyer, Inc.</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Trading Companies &amp;</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3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359</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25195 Brest Road</w:t>
            </w:r>
          </w:p>
        </w:tc>
        <w:tc>
          <w:tcPr>
            <w:tcW w:w="1600" w:type="dxa"/>
            <w:vAlign w:val="bottom"/>
            <w:gridSpan w:val="2"/>
            <w:shd w:val="clear" w:color="auto" w:fill="CCEEFF"/>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Distributors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L+575, 08/10/2027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Taylor, MI 48180</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8"/>
              </w:rPr>
              <w:t>Insurance</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5,104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(Hancock Claims Consultants</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L+500, 12/31/2026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Investors, LLC (5))</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6875 Shiloh Rd. East</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Alpharetta, GA 30005</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7,744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(OceanSound Discovery Equity,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11/23/2028</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44150 Smartronix Way, STE 200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Hollywood, MD 20636</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Common Equity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1821 Walden Office Square Unit 111</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Schaumburg, IL 60173</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HW Holdco, LLC</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3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8,329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4000 MacArthur, Suite 400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L+500, 12/10/2024</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Newport Beach, CA 92660</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Icon Partners V C, L.P.</w:t>
            </w: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Internet Software and</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1,989</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315 Capitol St Suite 100</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Houston, TX 77002</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IDC Infusion Services, Inc.</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Healthcare Equipment</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6,175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(ITC Infusion Co-Invest, LP)</w:t>
            </w:r>
          </w:p>
        </w:tc>
        <w:tc>
          <w:tcPr>
            <w:tcW w:w="1600" w:type="dxa"/>
            <w:vAlign w:val="bottom"/>
            <w:gridSpan w:val="2"/>
            <w:shd w:val="clear" w:color="auto" w:fill="CCEEFF"/>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and Supplies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L+700, 12/30/2026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3609 Park East Drive</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Beachwood, OH 44122</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4,424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1224 Hammond Drive, Suite 1500</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09/22/2028</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Atlanta, GA 30346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2"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920" w:type="dxa"/>
            <w:vAlign w:val="bottom"/>
            <w:gridSpan w:val="2"/>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20" w:type="dxa"/>
            <w:vAlign w:val="bottom"/>
            <w:gridSpan w:val="3"/>
            <w:vMerge w:val="continue"/>
          </w:tcPr>
          <w:p>
            <w:pPr>
              <w:spacing w:after="0"/>
              <w:rPr>
                <w:sz w:val="9"/>
                <w:szCs w:val="9"/>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28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2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Imagine Acquisitionco, LLC</w:t>
            </w:r>
          </w:p>
        </w:tc>
        <w:tc>
          <w:tcPr>
            <w:tcW w:w="22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Software</w:t>
            </w:r>
          </w:p>
        </w:tc>
        <w:tc>
          <w:tcPr>
            <w:tcW w:w="3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0.3</w:t>
            </w:r>
          </w:p>
        </w:tc>
        <w:tc>
          <w:tcPr>
            <w:tcW w:w="260" w:type="dxa"/>
            <w:vAlign w:val="bottom"/>
            <w:tcBorders>
              <w:top w:val="single" w:sz="8" w:color="CCEEFF"/>
            </w:tcBorders>
            <w:shd w:val="clear" w:color="auto" w:fill="CCEEFF"/>
          </w:tcPr>
          <w:p>
            <w:pPr>
              <w:jc w:val="right"/>
              <w:ind w:right="121"/>
              <w:spacing w:after="0" w:line="74"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4,994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(Imagine Topco, LP)</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11/15/2027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8757 Red Oak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Charlotte, NC 28217</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Healthcare Providers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14,804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650 Madison Avenue, 21st Floor</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L+715, 12/07/2023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York, NY 10022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Infolinks Media Buyco,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3,000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(Tower Arch Infolinks Media, LP (5))</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11/01/2026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45 North Broad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Ridgewood, NJ 07450</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Consumer Services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15,378</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(IIN Group Holdings, LLC(5))</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L+450, 09/29/2023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245 5</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Avenue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York, New York 10016</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Integrity Marketing Acquisition, LLC</w:t>
            </w:r>
          </w:p>
        </w:tc>
        <w:tc>
          <w:tcPr>
            <w:tcW w:w="148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8"/>
              </w:rPr>
              <w:t>Insurance</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15,667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1445 Ross Avenue, 22nd Floor</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SOFR+550, 08/27/2025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 TX 75202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ITC Rumba, LLC(5)</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Healthcare and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5,232</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9725 NW 117th Ave #200,</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w w:val="99"/>
              </w:rPr>
              <w:t>Pharmaceuticals</w:t>
            </w: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Miami, FL 33178</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ITI Holdings, Inc.</w:t>
            </w:r>
          </w:p>
        </w:tc>
        <w:tc>
          <w:tcPr>
            <w:tcW w:w="148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120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2980 E. Coliseum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03/03/2028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Wayne, IN 46805</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Chemicals,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3515 Massillion Road, Ste. 290</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Plastics and Rubber</w:t>
            </w: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 12/20/2023</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Uniontown, OH 44685</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Kinetic Purchaser,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22,903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12552 S. 125 West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11/10/2027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Draper, UT 84020</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Lash OpCo,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17,891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(Gauge Lash Coinvest LLC)</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L+700, 02/18/2027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1256 Main Street, Suite 256</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Southlake, TX 76092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LAV Gear Holdings, Inc.</w:t>
            </w:r>
          </w:p>
        </w:tc>
        <w:tc>
          <w:tcPr>
            <w:tcW w:w="148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11,027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3165 W Sunset Rd,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1M L+750 (PIK 5.50%),</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Las Vegas, NV 89118</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Ledge Lounger,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4,052</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(SP L2 Holdings, LLC)</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L+625, 11/09/2026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616 Cane Island Pkwy Suite 200</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Katy, TX 77494</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Lightspeed Buyer Inc.</w:t>
            </w:r>
          </w:p>
        </w:tc>
        <w:tc>
          <w:tcPr>
            <w:tcW w:w="148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Healthcare Technology</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25,367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L+575, 02/03/2026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1457 East 40th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Cleveland, OH 44103</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Lucky Bucks,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9"/>
              </w:rPr>
              <w:t>Hotels, Restaurants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3,183</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5820 Live Oak Parkway #300</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Leisure</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07/20/2027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Norcross, GA 30093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2"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100" w:type="dxa"/>
            <w:vAlign w:val="bottom"/>
            <w:gridSpan w:val="2"/>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2520" w:type="dxa"/>
            <w:vAlign w:val="bottom"/>
            <w:gridSpan w:val="3"/>
            <w:vMerge w:val="continue"/>
          </w:tcPr>
          <w:p>
            <w:pPr>
              <w:spacing w:after="0"/>
              <w:rPr>
                <w:sz w:val="9"/>
                <w:szCs w:val="9"/>
                <w:color w:val="auto"/>
              </w:rPr>
            </w:pPr>
          </w:p>
        </w:tc>
        <w:tc>
          <w:tcPr>
            <w:tcW w:w="2460" w:type="dxa"/>
            <w:vAlign w:val="bottom"/>
            <w:gridSpan w:val="2"/>
            <w:vMerge w:val="restart"/>
          </w:tcPr>
          <w:p>
            <w:pPr>
              <w:jc w:val="center"/>
              <w:ind w:right="138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1100" w:type="dxa"/>
            <w:vAlign w:val="bottom"/>
            <w:gridSpan w:val="2"/>
          </w:tcPr>
          <w:p>
            <w:pPr>
              <w:jc w:val="right"/>
              <w:ind w:right="46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2460" w:type="dxa"/>
            <w:vAlign w:val="bottom"/>
            <w:gridSpan w:val="2"/>
            <w:vMerge w:val="continue"/>
          </w:tcPr>
          <w:p>
            <w:pPr>
              <w:spacing w:after="0"/>
              <w:rPr>
                <w:sz w:val="12"/>
                <w:szCs w:val="12"/>
                <w:color w:val="auto"/>
              </w:rPr>
            </w:pPr>
          </w:p>
        </w:tc>
        <w:tc>
          <w:tcPr>
            <w:tcW w:w="16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100" w:type="dxa"/>
            <w:vAlign w:val="bottom"/>
            <w:gridSpan w:val="2"/>
          </w:tcPr>
          <w:p>
            <w:pPr>
              <w:jc w:val="right"/>
              <w:ind w:right="40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6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MailSouth, Inc.</w:t>
            </w:r>
          </w:p>
        </w:tc>
        <w:tc>
          <w:tcPr>
            <w:tcW w:w="10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 Advertising,</w:t>
            </w:r>
          </w:p>
        </w:tc>
        <w:tc>
          <w:tcPr>
            <w:tcW w:w="136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Second Lien Secured Debt,</w:t>
            </w:r>
          </w:p>
        </w:tc>
        <w:tc>
          <w:tcPr>
            <w:tcW w:w="1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4.0</w:t>
            </w:r>
          </w:p>
        </w:tc>
        <w:tc>
          <w:tcPr>
            <w:tcW w:w="440" w:type="dxa"/>
            <w:vAlign w:val="bottom"/>
            <w:tcBorders>
              <w:top w:val="single" w:sz="8" w:color="CCEEFF"/>
            </w:tcBorders>
            <w:shd w:val="clear" w:color="auto" w:fill="CCEEFF"/>
          </w:tcPr>
          <w:p>
            <w:pPr>
              <w:jc w:val="right"/>
              <w:ind w:right="181"/>
              <w:spacing w:after="0" w:line="74" w:lineRule="exact"/>
              <w:rPr>
                <w:sz w:val="20"/>
                <w:szCs w:val="20"/>
                <w:color w:val="auto"/>
              </w:rPr>
            </w:pPr>
            <w:r>
              <w:rPr>
                <w:rFonts w:ascii="Times New Roman" w:cs="Times New Roman" w:eastAsia="Times New Roman" w:hAnsi="Times New Roman"/>
                <w:sz w:val="8"/>
                <w:szCs w:val="8"/>
                <w:color w:val="auto"/>
              </w:rPr>
              <w:t>%(3)</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ind w:left="440"/>
              <w:spacing w:after="0" w:line="74"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(MSpark, LLC)</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Times New Roman" w:cs="Times New Roman" w:eastAsia="Times New Roman" w:hAnsi="Times New Roman"/>
                <w:sz w:val="11"/>
                <w:szCs w:val="11"/>
                <w:color w:val="auto"/>
              </w:rPr>
              <w:t>Printing and Publishing</w:t>
            </w: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9"/>
              </w:rPr>
              <w:t>—(PIK 15.0%), 04/23/2025</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5901 Highway 52 East</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Helena, AL 35080</w:t>
            </w:r>
          </w:p>
        </w:tc>
        <w:tc>
          <w:tcPr>
            <w:tcW w:w="1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MAG DS Corp.</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100" w:type="dxa"/>
            <w:vAlign w:val="bottom"/>
            <w:gridSpan w:val="2"/>
          </w:tcPr>
          <w:p>
            <w:pPr>
              <w:jc w:val="right"/>
              <w:ind w:right="46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3,379</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12730 Fair Lakes Cir Suite 600</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L+550, 04/01/2027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Fairfax, VA 22033</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2460" w:type="dxa"/>
            <w:vAlign w:val="bottom"/>
            <w:gridSpan w:val="2"/>
            <w:shd w:val="clear" w:color="auto" w:fill="CCEEFF"/>
          </w:tcPr>
          <w:p>
            <w:pPr>
              <w:jc w:val="center"/>
              <w:ind w:right="138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46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7,244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(Mars Intermediate Holdings II, Inc.)</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05/14/2026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25200 Telegraph Rd., 5th Floor</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Southfield, MI 48033</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MBS Holdings, Inc.</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rPr>
              <w:t>Internet Software and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tcPr>
          <w:p>
            <w:pPr>
              <w:jc w:val="right"/>
              <w:ind w:right="46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880 Montclair Road Suite 400</w:t>
            </w:r>
          </w:p>
        </w:tc>
        <w:tc>
          <w:tcPr>
            <w:tcW w:w="2460" w:type="dxa"/>
            <w:vAlign w:val="bottom"/>
            <w:gridSpan w:val="2"/>
          </w:tcPr>
          <w:p>
            <w:pPr>
              <w:jc w:val="center"/>
              <w:ind w:right="1380"/>
              <w:spacing w:after="0" w:line="114" w:lineRule="exact"/>
              <w:rPr>
                <w:sz w:val="20"/>
                <w:szCs w:val="20"/>
                <w:color w:val="auto"/>
              </w:rPr>
            </w:pPr>
            <w:r>
              <w:rPr>
                <w:rFonts w:ascii="Times New Roman" w:cs="Times New Roman" w:eastAsia="Times New Roman" w:hAnsi="Times New Roman"/>
                <w:sz w:val="11"/>
                <w:szCs w:val="11"/>
                <w:color w:val="auto"/>
                <w:w w:val="96"/>
              </w:rPr>
              <w:t>Services</w:t>
            </w: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 04/16/2027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Birmingham, AL 35213</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MDI Buyer, Inc.</w:t>
            </w:r>
          </w:p>
        </w:tc>
        <w:tc>
          <w:tcPr>
            <w:tcW w:w="2460" w:type="dxa"/>
            <w:vAlign w:val="bottom"/>
            <w:gridSpan w:val="2"/>
            <w:shd w:val="clear" w:color="auto" w:fill="CCEEFF"/>
          </w:tcPr>
          <w:p>
            <w:pPr>
              <w:jc w:val="center"/>
              <w:ind w:right="1360"/>
              <w:spacing w:after="0" w:line="97" w:lineRule="exact"/>
              <w:rPr>
                <w:sz w:val="20"/>
                <w:szCs w:val="20"/>
                <w:color w:val="auto"/>
              </w:rPr>
            </w:pPr>
            <w:r>
              <w:rPr>
                <w:rFonts w:ascii="Times New Roman" w:cs="Times New Roman" w:eastAsia="Times New Roman" w:hAnsi="Times New Roman"/>
                <w:sz w:val="11"/>
                <w:szCs w:val="11"/>
                <w:color w:val="auto"/>
              </w:rPr>
              <w:t>Commodity Chemicals</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301"/>
              <w:spacing w:after="0" w:line="97" w:lineRule="exact"/>
              <w:rPr>
                <w:sz w:val="20"/>
                <w:szCs w:val="20"/>
                <w:color w:val="auto"/>
              </w:rPr>
            </w:pPr>
            <w:r>
              <w:rPr>
                <w:rFonts w:ascii="Times New Roman" w:cs="Times New Roman" w:eastAsia="Times New Roman" w:hAnsi="Times New Roman"/>
                <w:sz w:val="11"/>
                <w:szCs w:val="11"/>
                <w:color w:val="auto"/>
              </w:rPr>
              <w:t>0.6%</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643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(MDI Aggregator, LP)</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 07/25/2028</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740 W Knox Road</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Tempe, AZ 85284</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Meadowlark Acquirer, LLC</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rPr>
              <w:t>Professional Services</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1"/>
                <w:szCs w:val="11"/>
                <w:color w:val="auto"/>
              </w:rPr>
              <w:t>0.8%(3)</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2,190</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(Meadowlark Title, LLC)</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12/10/2027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888 Boylston, Ste. 1600,</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Boston, MA, 02199</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2460" w:type="dxa"/>
            <w:vAlign w:val="bottom"/>
            <w:gridSpan w:val="2"/>
            <w:shd w:val="clear" w:color="auto" w:fill="CCEEFF"/>
          </w:tcPr>
          <w:p>
            <w:pPr>
              <w:jc w:val="center"/>
              <w:ind w:right="1380"/>
              <w:spacing w:after="0" w:line="97" w:lineRule="exact"/>
              <w:rPr>
                <w:sz w:val="20"/>
                <w:szCs w:val="20"/>
                <w:color w:val="auto"/>
              </w:rPr>
            </w:pPr>
            <w:r>
              <w:rPr>
                <w:rFonts w:ascii="Times New Roman" w:cs="Times New Roman" w:eastAsia="Times New Roman" w:hAnsi="Times New Roman"/>
                <w:sz w:val="11"/>
                <w:szCs w:val="11"/>
                <w:color w:val="auto"/>
              </w:rPr>
              <w:t>Capital Equipment</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46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3,922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15272 Newsboy Circle</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SOFR+500, 03/28/2024</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Huntington, CA 92649</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1,897</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 Turnberry Ln</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L+500, 09/28/2027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Sandy Hook, CT 06482</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NBH Group LLC</w:t>
            </w:r>
          </w:p>
        </w:tc>
        <w:tc>
          <w:tcPr>
            <w:tcW w:w="2460" w:type="dxa"/>
            <w:vAlign w:val="bottom"/>
            <w:gridSpan w:val="2"/>
            <w:shd w:val="clear" w:color="auto" w:fill="CCEEFF"/>
          </w:tcPr>
          <w:p>
            <w:pPr>
              <w:jc w:val="center"/>
              <w:ind w:right="1380"/>
              <w:spacing w:after="0" w:line="97" w:lineRule="exact"/>
              <w:rPr>
                <w:sz w:val="20"/>
                <w:szCs w:val="20"/>
                <w:color w:val="auto"/>
              </w:rPr>
            </w:pPr>
            <w:r>
              <w:rPr>
                <w:rFonts w:ascii="Times New Roman" w:cs="Times New Roman" w:eastAsia="Times New Roman" w:hAnsi="Times New Roman"/>
                <w:sz w:val="11"/>
                <w:szCs w:val="11"/>
                <w:color w:val="auto"/>
              </w:rPr>
              <w:t>Healthcare Equipment</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46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ind w:left="440"/>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3035 S Maryland Pkwy #110</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 08/19/2026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Las Vegas, NV 89109</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OHCP V BC COI, L.P.(5)</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Equity(4)</w:t>
            </w:r>
          </w:p>
        </w:tc>
        <w:tc>
          <w:tcPr>
            <w:tcW w:w="1100" w:type="dxa"/>
            <w:vAlign w:val="bottom"/>
            <w:gridSpan w:val="2"/>
          </w:tcPr>
          <w:p>
            <w:pPr>
              <w:jc w:val="right"/>
              <w:ind w:right="561"/>
              <w:spacing w:after="0"/>
              <w:rPr>
                <w:sz w:val="20"/>
                <w:szCs w:val="20"/>
                <w:color w:val="auto"/>
              </w:rPr>
            </w:pPr>
            <w:r>
              <w:rPr>
                <w:rFonts w:ascii="Times New Roman" w:cs="Times New Roman" w:eastAsia="Times New Roman" w:hAnsi="Times New Roman"/>
                <w:sz w:val="11"/>
                <w:szCs w:val="11"/>
                <w:color w:val="auto"/>
              </w:rPr>
              <w:t>— (7)</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563</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525 West Monroe Street</w:t>
            </w: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Chicago, IL 60661</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2460" w:type="dxa"/>
            <w:vAlign w:val="bottom"/>
            <w:gridSpan w:val="2"/>
            <w:shd w:val="clear" w:color="auto" w:fill="CCEEFF"/>
          </w:tcPr>
          <w:p>
            <w:pPr>
              <w:jc w:val="center"/>
              <w:ind w:right="1380"/>
              <w:spacing w:after="0" w:line="97" w:lineRule="exact"/>
              <w:rPr>
                <w:sz w:val="20"/>
                <w:szCs w:val="20"/>
                <w:color w:val="auto"/>
              </w:rPr>
            </w:pPr>
            <w:r>
              <w:rPr>
                <w:rFonts w:ascii="Times New Roman" w:cs="Times New Roman" w:eastAsia="Times New Roman" w:hAnsi="Times New Roman"/>
                <w:sz w:val="11"/>
                <w:szCs w:val="11"/>
                <w:color w:val="auto"/>
              </w:rPr>
              <w:t>Healthcare Equipment</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301"/>
              <w:spacing w:after="0" w:line="97" w:lineRule="exact"/>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2,206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(Oral Surgery (ITC) Holdings,</w:t>
            </w:r>
          </w:p>
        </w:tc>
        <w:tc>
          <w:tcPr>
            <w:tcW w:w="2460" w:type="dxa"/>
            <w:vAlign w:val="bottom"/>
            <w:gridSpan w:val="2"/>
            <w:shd w:val="clear" w:color="auto" w:fill="CCEEFF"/>
          </w:tcPr>
          <w:p>
            <w:pPr>
              <w:jc w:val="center"/>
              <w:ind w:right="1380"/>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SOFR+575, 07/09/2026</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LLC (5))</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2600 S 56th Street A</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Lincoln, NE 68506</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One Stop Mailing, LLC</w:t>
            </w:r>
          </w:p>
        </w:tc>
        <w:tc>
          <w:tcPr>
            <w:tcW w:w="246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color w:val="auto"/>
              </w:rPr>
              <w:t>Air Freight and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8,496</w:t>
            </w:r>
          </w:p>
        </w:tc>
        <w:tc>
          <w:tcPr>
            <w:tcW w:w="0" w:type="dxa"/>
            <w:vAlign w:val="bottom"/>
          </w:tcPr>
          <w:p>
            <w:pPr>
              <w:spacing w:after="0"/>
              <w:rPr>
                <w:sz w:val="1"/>
                <w:szCs w:val="1"/>
                <w:color w:val="auto"/>
              </w:rPr>
            </w:pPr>
          </w:p>
        </w:tc>
      </w:tr>
      <w:tr>
        <w:trPr>
          <w:trHeight w:val="114"/>
        </w:trPr>
        <w:tc>
          <w:tcPr>
            <w:tcW w:w="25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601 Regency Drive</w:t>
            </w:r>
          </w:p>
        </w:tc>
        <w:tc>
          <w:tcPr>
            <w:tcW w:w="2460" w:type="dxa"/>
            <w:vAlign w:val="bottom"/>
            <w:gridSpan w:val="2"/>
          </w:tcPr>
          <w:p>
            <w:pPr>
              <w:jc w:val="center"/>
              <w:ind w:right="1380"/>
              <w:spacing w:after="0" w:line="114" w:lineRule="exact"/>
              <w:rPr>
                <w:sz w:val="20"/>
                <w:szCs w:val="20"/>
                <w:color w:val="auto"/>
              </w:rPr>
            </w:pPr>
            <w:r>
              <w:rPr>
                <w:rFonts w:ascii="Times New Roman" w:cs="Times New Roman" w:eastAsia="Times New Roman" w:hAnsi="Times New Roman"/>
                <w:sz w:val="11"/>
                <w:szCs w:val="11"/>
                <w:color w:val="auto"/>
                <w:w w:val="99"/>
              </w:rPr>
              <w:t>Logistics</w:t>
            </w:r>
          </w:p>
        </w:tc>
        <w:tc>
          <w:tcPr>
            <w:tcW w:w="16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L+625, 05/07/2027</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Glendale Heights, IL 60139</w:t>
            </w: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ORL Acquisition, Inc.</w:t>
            </w:r>
          </w:p>
        </w:tc>
        <w:tc>
          <w:tcPr>
            <w:tcW w:w="2460" w:type="dxa"/>
            <w:vAlign w:val="bottom"/>
            <w:gridSpan w:val="2"/>
            <w:shd w:val="clear" w:color="auto" w:fill="CCEEFF"/>
          </w:tcPr>
          <w:p>
            <w:pPr>
              <w:jc w:val="center"/>
              <w:ind w:right="1380"/>
              <w:spacing w:after="0" w:line="97" w:lineRule="exact"/>
              <w:rPr>
                <w:sz w:val="20"/>
                <w:szCs w:val="20"/>
                <w:color w:val="auto"/>
              </w:rPr>
            </w:pPr>
            <w:r>
              <w:rPr>
                <w:rFonts w:ascii="Times New Roman" w:cs="Times New Roman" w:eastAsia="Times New Roman" w:hAnsi="Times New Roman"/>
                <w:sz w:val="11"/>
                <w:szCs w:val="11"/>
                <w:color w:val="auto"/>
              </w:rPr>
              <w:t>Consumer Finance</w:t>
            </w:r>
          </w:p>
        </w:tc>
        <w:tc>
          <w:tcPr>
            <w:tcW w:w="162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2"/>
            <w:shd w:val="clear" w:color="auto" w:fill="CCEEFF"/>
          </w:tcPr>
          <w:p>
            <w:pPr>
              <w:jc w:val="right"/>
              <w:ind w:right="301"/>
              <w:spacing w:after="0" w:line="97" w:lineRule="exact"/>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7,600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(ORL Holdco, Inc.)</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L+525, 09/03/2027</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5555 N Beach St #4100,</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Worth, TX 76137</w:t>
            </w:r>
          </w:p>
        </w:tc>
        <w:tc>
          <w:tcPr>
            <w:tcW w:w="1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480" w:type="dxa"/>
            <w:vAlign w:val="bottom"/>
            <w:gridSpan w:val="3"/>
            <w:vMerge w:val="continue"/>
          </w:tcPr>
          <w:p>
            <w:pPr>
              <w:spacing w:after="0"/>
              <w:rPr>
                <w:sz w:val="9"/>
                <w:szCs w:val="9"/>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60" w:type="dxa"/>
            <w:vAlign w:val="bottom"/>
            <w:gridSpan w:val="2"/>
            <w:vMerge w:val="continue"/>
          </w:tcPr>
          <w:p>
            <w:pPr>
              <w:spacing w:after="0"/>
              <w:rPr>
                <w:sz w:val="9"/>
                <w:szCs w:val="9"/>
                <w:color w:val="auto"/>
              </w:rPr>
            </w:pPr>
          </w:p>
        </w:tc>
        <w:tc>
          <w:tcPr>
            <w:tcW w:w="1060" w:type="dxa"/>
            <w:vAlign w:val="bottom"/>
            <w:gridSpan w:val="2"/>
          </w:tcPr>
          <w:p>
            <w:pPr>
              <w:jc w:val="right"/>
              <w:ind w:right="48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54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06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1"/>
                <w:szCs w:val="11"/>
                <w:b w:val="1"/>
                <w:bCs w:val="1"/>
                <w:color w:val="auto"/>
                <w:w w:val="95"/>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Output Services Group, Inc.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Business Services</w:t>
            </w: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ind w:left="480"/>
              <w:spacing w:after="0" w:line="74"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3,704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775 Washington Ave</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L+675, 03/27/2024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Carlstadt, NJ 07072</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Owl Acquisition,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Professional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3,890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47 Old Webster Road</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L+575, 02/04/2028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Oxford, MA 01540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Ox Two,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Construction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27,673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22260 Haggerty Road #365</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Building</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L+700, 05/18/2026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Northville, MI 48167</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PennantPark-TSO Senior Loan Fund, LP</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4.99%(3)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9,892</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1691 Michigan Avenue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Miami, FL 33139</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PL Acquisitionco,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Textiles, Apparel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6,814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(Pink Lily Holdco, LLC)</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Luxury Goods</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L+650, 11/09/2027</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323 Mitch McConnell Way</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Bowling Green KY 42101</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Leisure Products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3,078</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13310 James E. Casey Ave.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L+550, 05/08/2026</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Englewood, CO 80112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PRA Events, Inc.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Business Services</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4,974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(CI (Allied) Investment Holdings, LLC(5))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L+1,050 (PIK 10.5%),</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One North LaSalle Street</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w w:val="99"/>
              </w:rPr>
              <w:t>08/07/2025</w:t>
            </w: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Chicago, IL 60602</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Pragmatic Institute,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Professional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8910 East Raintree Drive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L+575, 07/06/2028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Scottsdale, AZ 85620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Quantic Electronics,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Electronic Equipment,</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4,867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Four Embarcadero Center, Suite 3460</w:t>
            </w:r>
          </w:p>
        </w:tc>
        <w:tc>
          <w:tcPr>
            <w:tcW w:w="1540" w:type="dxa"/>
            <w:vAlign w:val="bottom"/>
            <w:gridSpan w:val="2"/>
            <w:shd w:val="clear" w:color="auto" w:fill="CCEEFF"/>
          </w:tcPr>
          <w:p>
            <w:pPr>
              <w:jc w:val="center"/>
              <w:ind w:right="40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L+600, 11/19/2026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Francisco, CA 94111</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color w:val="auto"/>
              </w:rPr>
              <w:t>Components</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QuantiTech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Aerospace and Defense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Second Lien Secured Debt,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(QuantiTech Investco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1"/>
                <w:szCs w:val="11"/>
                <w:color w:val="auto"/>
              </w:rPr>
              <w:t>3M L+1,000, 02/04/2027</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(QuantiTech InvestCo II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360A-360D Quality Circle, Suite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100/430</w:t>
            </w:r>
          </w:p>
        </w:tc>
        <w:tc>
          <w:tcPr>
            <w:tcW w:w="2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Huntsville, AL 35806</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Questex, LLC</w:t>
            </w:r>
          </w:p>
        </w:tc>
        <w:tc>
          <w:tcPr>
            <w:tcW w:w="1540" w:type="dxa"/>
            <w:vAlign w:val="bottom"/>
            <w:gridSpan w:val="2"/>
            <w:shd w:val="clear" w:color="auto" w:fill="CCEEFF"/>
          </w:tcPr>
          <w:p>
            <w:pPr>
              <w:jc w:val="center"/>
              <w:ind w:right="400"/>
              <w:spacing w:after="0" w:line="97" w:lineRule="exact"/>
              <w:rPr>
                <w:sz w:val="20"/>
                <w:szCs w:val="20"/>
                <w:color w:val="auto"/>
              </w:rPr>
            </w:pPr>
            <w:r>
              <w:rPr>
                <w:rFonts w:ascii="Times New Roman" w:cs="Times New Roman" w:eastAsia="Times New Roman" w:hAnsi="Times New Roman"/>
                <w:sz w:val="11"/>
                <w:szCs w:val="11"/>
                <w:color w:val="auto"/>
                <w:w w:val="99"/>
              </w:rPr>
              <w:t>Media: Diversified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275 Grove Street, Suite 2-130</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L+500, 09/07/2024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Newton, MA 02466</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Healthcare Equipment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2,130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(RFMG Parent, LP)</w:t>
            </w:r>
          </w:p>
        </w:tc>
        <w:tc>
          <w:tcPr>
            <w:tcW w:w="154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12/18/2025</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31720 Temecula Pkwy Suite 100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Temecula, CA 92592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Recteq,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Leisure Products</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0.6%</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2,020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(NEPRT Parent Holdings, LLC (5))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L+600, 01/29/2026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1061 Triad Ct., Ste. 3</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Marietta, GA 30062</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Business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15,406</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5800 Tennyson Parkway, Suite 600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12/20/2024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Plano, TX 75024</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60" w:type="dxa"/>
            <w:vAlign w:val="bottom"/>
            <w:gridSpan w:val="3"/>
            <w:vMerge w:val="continue"/>
          </w:tcPr>
          <w:p>
            <w:pPr>
              <w:spacing w:after="0"/>
              <w:rPr>
                <w:sz w:val="9"/>
                <w:szCs w:val="9"/>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6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Riverpoint Medical, LLC</w:t>
            </w:r>
          </w:p>
        </w:tc>
        <w:tc>
          <w:tcPr>
            <w:tcW w:w="23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Healthcare Equipment</w:t>
            </w:r>
          </w:p>
        </w:tc>
        <w:tc>
          <w:tcPr>
            <w:tcW w:w="3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7,758</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825 NE 25th Avenue</w:t>
            </w:r>
          </w:p>
        </w:tc>
        <w:tc>
          <w:tcPr>
            <w:tcW w:w="1440" w:type="dxa"/>
            <w:vAlign w:val="bottom"/>
            <w:gridSpan w:val="2"/>
            <w:shd w:val="clear" w:color="auto" w:fill="CCEEFF"/>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and 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06/20/2025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Portland, OR 97232</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15,049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One Pierce Pl, Suite 900W</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L+625, 03/10/2025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Itasca, IL 60143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Sales Benchmark Index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7,655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(SBI Holdings Investments LLC(5))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2021 McKinney Avenue Suite 550</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 TX 75201</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Electronic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4,489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One Security Drive</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12/20/2024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Nicholasville, KY 40356</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Components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Schlesinger Global, Inc.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16,131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SOFR+700, 07/14/2025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101 Wood Avenue South, Suite 501</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Iselin, NJ 08830</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Chemicals, Plastics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7,132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(Seaway Topco, LP)</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Rubber</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06/13/2029</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6006 Siesta Lane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Port Richey, FL 34668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Sigma Defense Systems,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12,948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(Delta InvestCo LP (5))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L+850, 12/18/2025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1812 Macon Rd, Perry, GA 31069</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Equity(4)</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11,941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(Signature CR Intermediate Holdco, Inc.)</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L+650, 05/03/2024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1201 Lakeside Parkway, Suite 150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Flower Mound, TX 75028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Smile Brands Inc.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Healthcare and</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2,309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100 Spectrum Center Drive, Suite 100</w:t>
            </w:r>
          </w:p>
        </w:tc>
        <w:tc>
          <w:tcPr>
            <w:tcW w:w="144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w w:val="99"/>
              </w:rPr>
              <w:t>Pharmaceuticals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L+450, 10/14/2025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Irvine, CA 92618</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5,562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2600 N. Ashton Blvd.</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01/17/2024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Lehi, UT 84043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Spear Education,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14,747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7201 E Princess Boulevard</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02/26/2025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Scottsdale, AZ 85255</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Spendmend Holdings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3,421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(North Haven Saints Equity Holdings, LP)</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SOFR+575, 03/01/2028,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2680 Horizon Dr SE,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Grand Rapids, MI 49546</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STV Group Incorporated</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rPr>
              <w:t>Construction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4,704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225 Park Avenue South</w:t>
            </w:r>
          </w:p>
        </w:tc>
        <w:tc>
          <w:tcPr>
            <w:tcW w:w="1440" w:type="dxa"/>
            <w:vAlign w:val="bottom"/>
            <w:gridSpan w:val="2"/>
            <w:shd w:val="clear" w:color="auto" w:fill="CCEEFF"/>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12/11/2026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10003</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2,143</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215 Spadina Avenue, Suite 200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Toronto, ON MST 2C7</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2"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40" w:type="dxa"/>
            <w:vAlign w:val="bottom"/>
            <w:gridSpan w:val="3"/>
            <w:vMerge w:val="continue"/>
          </w:tcPr>
          <w:p>
            <w:pPr>
              <w:spacing w:after="0"/>
              <w:rPr>
                <w:sz w:val="9"/>
                <w:szCs w:val="9"/>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4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60" w:type="dxa"/>
            <w:vAlign w:val="bottom"/>
            <w:gridSpan w:val="2"/>
            <w:vMerge w:val="continue"/>
          </w:tcPr>
          <w:p>
            <w:pPr>
              <w:spacing w:after="0"/>
              <w:rPr>
                <w:sz w:val="10"/>
                <w:szCs w:val="10"/>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72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System Planning and Analysis, Inc.</w:t>
            </w:r>
          </w:p>
        </w:tc>
        <w:tc>
          <w:tcPr>
            <w:tcW w:w="114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Aerospace and Defense</w:t>
            </w:r>
          </w:p>
        </w:tc>
        <w:tc>
          <w:tcPr>
            <w:tcW w:w="320" w:type="dxa"/>
            <w:vAlign w:val="bottom"/>
            <w:shd w:val="clear" w:color="auto" w:fill="CCEEFF"/>
          </w:tcPr>
          <w:p>
            <w:pPr>
              <w:spacing w:after="0"/>
              <w:rPr>
                <w:sz w:val="6"/>
                <w:szCs w:val="6"/>
                <w:color w:val="auto"/>
              </w:rPr>
            </w:pPr>
          </w:p>
        </w:tc>
        <w:tc>
          <w:tcPr>
            <w:tcW w:w="148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18,180</w:t>
            </w: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SOFR+600, 08/16/2027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1220 12</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Street SE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Washington DC, 20003</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TAC LifePort Holdings, LLC (5)</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1610 Heritage St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Woodland, WA 98674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Teneo Holdings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Diversified Financial</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5,455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280 Park Avenue, 4</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Floor</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10017</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4,872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4601 N. Fairfax Drive, Suite 900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10/31/2025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Arlington, VA, 22203</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The Bluebird Group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6,337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81 South Ninth Street, Suite 420,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L+700, 07/27/2026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Minneapolis, MN, 55402</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9"/>
              </w:rPr>
              <w:t>Media: Broadcasting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17,586</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(Gauge InfosoftCoInvest, LLC)</w:t>
            </w:r>
          </w:p>
        </w:tc>
        <w:tc>
          <w:tcPr>
            <w:tcW w:w="14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Subscription</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09/16/2024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1000 North Water Street, Suite 1200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Milwaukee, WI 53202</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The Vertex Companies, LLC</w:t>
            </w:r>
          </w:p>
        </w:tc>
        <w:tc>
          <w:tcPr>
            <w:tcW w:w="146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Construction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2,369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(TWD Parent Holdings,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08/30/2027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398 Libbey Industrial Pkwy,</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Weymouth, MA 02189</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TPC Canada Parent, Inc.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Food Products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4,832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and TPC US Parent, LLC(6)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11/24/2025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(TPC Holding Company, LP(6))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151 Struthers Street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Warren, PA 16365</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TVC Enterprises,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25,644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(Gauge TVC Coinvest,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L+600, 03/26/2026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6100 Lake Forrest Drive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Atlanta, GA 30328</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5,427</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120 N. 44th Street #230</w:t>
            </w:r>
          </w:p>
        </w:tc>
        <w:tc>
          <w:tcPr>
            <w:tcW w:w="1460" w:type="dxa"/>
            <w:vAlign w:val="bottom"/>
            <w:gridSpan w:val="2"/>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L+625, 06/16/2025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Phoenix, AZ 85034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Tyto Athene,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13,024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(NXOF Holdings, Inc)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04/01/2028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510 Spring Street, Suite 200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Herndon, VA 20170</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18,199</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401 East Sonterra Blvd, Suite 350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L+450, 04/03/2024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San Antonio, TX 78258</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Unique Indoor Comfort,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8,841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3017 Bolling Way NorthEast</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05/24/2027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Atlanta, GA 30305</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UniTek Global Services, Inc.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Telecommunications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Preferred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1817 Crane Ridge Drive, Suite 500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Jackson, MS 39216</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Warrants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ectPr>
          <w:pgSz w:w="11900" w:h="16838" w:orient="portrait"/>
          <w:cols w:equalWidth="0" w:num="1">
            <w:col w:w="10159"/>
          </w:cols>
          <w:pgMar w:left="300" w:top="382" w:right="1440" w:bottom="1440" w:gutter="0" w:footer="0" w:header="0"/>
        </w:sectPr>
      </w:pPr>
    </w:p>
    <w:p>
      <w:pPr>
        <w:spacing w:after="0" w:line="3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b w:val="1"/>
          <w:bCs w:val="1"/>
          <w:color w:val="auto"/>
        </w:rPr>
        <w:t>Name and</w:t>
      </w:r>
    </w:p>
    <w:p>
      <w:pPr>
        <w:ind w:left="1420"/>
        <w:spacing w:after="0"/>
        <w:rPr>
          <w:sz w:val="20"/>
          <w:szCs w:val="20"/>
          <w:color w:val="auto"/>
        </w:rPr>
      </w:pPr>
      <w:r>
        <w:rPr>
          <w:rFonts w:ascii="Times New Roman" w:cs="Times New Roman" w:eastAsia="Times New Roman" w:hAnsi="Times New Roman"/>
          <w:sz w:val="11"/>
          <w:szCs w:val="11"/>
          <w:b w:val="1"/>
          <w:bCs w:val="1"/>
          <w:u w:val="single" w:color="auto"/>
          <w:color w:val="auto"/>
        </w:rPr>
        <w:t>Address of Portfolio Company</w:t>
      </w:r>
    </w:p>
    <w:p>
      <w:pPr>
        <w:ind w:left="1420"/>
        <w:spacing w:after="0" w:line="216" w:lineRule="auto"/>
        <w:rPr>
          <w:sz w:val="20"/>
          <w:szCs w:val="20"/>
          <w:color w:val="auto"/>
        </w:rPr>
      </w:pPr>
      <w:r>
        <w:rPr>
          <w:rFonts w:ascii="Times New Roman" w:cs="Times New Roman" w:eastAsia="Times New Roman" w:hAnsi="Times New Roman"/>
          <w:sz w:val="11"/>
          <w:szCs w:val="11"/>
          <w:color w:val="auto"/>
        </w:rPr>
        <w:t>UniVista Insurance (5)</w:t>
      </w:r>
    </w:p>
    <w:p>
      <w:pPr>
        <w:ind w:left="1420"/>
        <w:spacing w:after="0" w:line="216" w:lineRule="auto"/>
        <w:rPr>
          <w:sz w:val="20"/>
          <w:szCs w:val="20"/>
          <w:color w:val="auto"/>
        </w:rPr>
      </w:pPr>
      <w:r>
        <w:rPr>
          <w:rFonts w:ascii="Times New Roman" w:cs="Times New Roman" w:eastAsia="Times New Roman" w:hAnsi="Times New Roman"/>
          <w:sz w:val="11"/>
          <w:szCs w:val="11"/>
          <w:color w:val="auto"/>
        </w:rPr>
        <w:t>528 NW 7th Ave,</w:t>
      </w:r>
    </w:p>
    <w:p>
      <w:pPr>
        <w:ind w:left="1420"/>
        <w:spacing w:after="0"/>
        <w:rPr>
          <w:sz w:val="20"/>
          <w:szCs w:val="20"/>
          <w:color w:val="auto"/>
        </w:rPr>
      </w:pPr>
      <w:r>
        <w:rPr>
          <w:rFonts w:ascii="Times New Roman" w:cs="Times New Roman" w:eastAsia="Times New Roman" w:hAnsi="Times New Roman"/>
          <w:sz w:val="11"/>
          <w:szCs w:val="11"/>
          <w:color w:val="auto"/>
        </w:rPr>
        <w:t>Miami, FL 33136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80" w:type="dxa"/>
            <w:vAlign w:val="bottom"/>
          </w:tcPr>
          <w:p>
            <w:pPr>
              <w:spacing w:after="0"/>
              <w:rPr>
                <w:sz w:val="11"/>
                <w:szCs w:val="11"/>
                <w:color w:val="auto"/>
              </w:rPr>
            </w:pPr>
          </w:p>
        </w:tc>
        <w:tc>
          <w:tcPr>
            <w:tcW w:w="60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1040" w:type="dxa"/>
            <w:vAlign w:val="bottom"/>
            <w:gridSpan w:val="2"/>
          </w:tcPr>
          <w:p>
            <w:pPr>
              <w:jc w:val="center"/>
              <w:ind w:right="35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440" w:type="dxa"/>
            <w:vAlign w:val="bottom"/>
            <w:gridSpan w:val="2"/>
            <w:vMerge w:val="continue"/>
          </w:tcPr>
          <w:p>
            <w:pPr>
              <w:spacing w:after="0"/>
              <w:rPr>
                <w:sz w:val="10"/>
                <w:szCs w:val="10"/>
                <w:color w:val="auto"/>
              </w:rPr>
            </w:pPr>
          </w:p>
        </w:tc>
        <w:tc>
          <w:tcPr>
            <w:tcW w:w="16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040" w:type="dxa"/>
            <w:vAlign w:val="bottom"/>
            <w:gridSpan w:val="2"/>
          </w:tcPr>
          <w:p>
            <w:pPr>
              <w:jc w:val="right"/>
              <w:ind w:right="330"/>
              <w:spacing w:after="0" w:line="118"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Insurance</w:t>
            </w:r>
          </w:p>
        </w:tc>
        <w:tc>
          <w:tcPr>
            <w:tcW w:w="320" w:type="dxa"/>
            <w:vAlign w:val="bottom"/>
          </w:tcPr>
          <w:p>
            <w:pPr>
              <w:spacing w:after="0"/>
              <w:rPr>
                <w:sz w:val="12"/>
                <w:szCs w:val="12"/>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Equity</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3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-96520</wp:posOffset>
            </wp:positionV>
            <wp:extent cx="5373370" cy="224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373370" cy="2241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4340" w:space="720"/>
            <w:col w:w="5099"/>
          </w:cols>
          <w:pgMar w:left="300" w:top="382" w:right="1440" w:bottom="1440" w:gutter="0" w:footer="0" w:header="0"/>
          <w:type w:val="continuous"/>
        </w:sectPr>
      </w:pPr>
    </w:p>
    <w:tbl>
      <w:tblPr>
        <w:tblLayout w:type="fixed"/>
        <w:tblInd w:w="1420" w:type="dxa"/>
        <w:tblCellMar>
          <w:top w:w="0" w:type="dxa"/>
          <w:left w:w="0" w:type="dxa"/>
          <w:bottom w:w="0" w:type="dxa"/>
          <w:right w:w="0" w:type="dxa"/>
        </w:tblCellMar>
      </w:tblPr>
      <w:tr>
        <w:trPr>
          <w:trHeight w:val="126"/>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2040" w:type="dxa"/>
            <w:vAlign w:val="bottom"/>
          </w:tcPr>
          <w:p>
            <w:pPr>
              <w:jc w:val="center"/>
              <w:ind w:left="445"/>
              <w:spacing w:after="0"/>
              <w:rPr>
                <w:sz w:val="20"/>
                <w:szCs w:val="20"/>
                <w:color w:val="auto"/>
              </w:rPr>
            </w:pPr>
            <w:r>
              <w:rPr>
                <w:rFonts w:ascii="Times New Roman" w:cs="Times New Roman" w:eastAsia="Times New Roman" w:hAnsi="Times New Roman"/>
                <w:sz w:val="11"/>
                <w:szCs w:val="11"/>
                <w:color w:val="auto"/>
                <w:w w:val="98"/>
              </w:rPr>
              <w:t>Wholesale</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8,473</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(JWC-WE Holdings, L.P. (5))</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1M L+875, 03/31/2027</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4350 West 2100 South, Suite A</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Salt Lake City, UT 84120</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2040" w:type="dxa"/>
            <w:vAlign w:val="bottom"/>
            <w:shd w:val="clear" w:color="auto" w:fill="CCEEFF"/>
          </w:tcPr>
          <w:p>
            <w:pPr>
              <w:jc w:val="center"/>
              <w:ind w:left="425"/>
              <w:spacing w:after="0" w:line="97" w:lineRule="exact"/>
              <w:rPr>
                <w:sz w:val="20"/>
                <w:szCs w:val="20"/>
                <w:color w:val="auto"/>
              </w:rPr>
            </w:pPr>
            <w:r>
              <w:rPr>
                <w:rFonts w:ascii="Times New Roman" w:cs="Times New Roman" w:eastAsia="Times New Roman" w:hAnsi="Times New Roman"/>
                <w:sz w:val="11"/>
                <w:szCs w:val="11"/>
                <w:color w:val="auto"/>
              </w:rPr>
              <w:t>Healthcare Providers and</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rPr>
              <w:t>Common Equity(4)</w:t>
            </w:r>
          </w:p>
        </w:tc>
        <w:tc>
          <w:tcPr>
            <w:tcW w:w="940" w:type="dxa"/>
            <w:vAlign w:val="bottom"/>
            <w:shd w:val="clear" w:color="auto" w:fill="CCEEFF"/>
          </w:tcPr>
          <w:p>
            <w:pPr>
              <w:jc w:val="right"/>
              <w:ind w:right="245"/>
              <w:spacing w:after="0" w:line="97" w:lineRule="exact"/>
              <w:rPr>
                <w:sz w:val="20"/>
                <w:szCs w:val="20"/>
                <w:color w:val="auto"/>
              </w:rPr>
            </w:pPr>
            <w:r>
              <w:rPr>
                <w:rFonts w:ascii="Times New Roman" w:cs="Times New Roman" w:eastAsia="Times New Roman" w:hAnsi="Times New Roman"/>
                <w:sz w:val="11"/>
                <w:szCs w:val="11"/>
                <w:color w:val="auto"/>
              </w:rPr>
              <w:t>1.8%</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3,762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1311 Mamaroneck Avenue, Suite 140</w:t>
            </w:r>
          </w:p>
        </w:tc>
        <w:tc>
          <w:tcPr>
            <w:tcW w:w="2040" w:type="dxa"/>
            <w:vAlign w:val="bottom"/>
            <w:shd w:val="clear" w:color="auto" w:fill="CCEEFF"/>
          </w:tcPr>
          <w:p>
            <w:pPr>
              <w:jc w:val="center"/>
              <w:ind w:left="445"/>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8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White Plains, NY 10605</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2040" w:type="dxa"/>
            <w:vAlign w:val="bottom"/>
          </w:tcPr>
          <w:p>
            <w:pPr>
              <w:jc w:val="center"/>
              <w:ind w:left="425"/>
              <w:spacing w:after="0"/>
              <w:rPr>
                <w:sz w:val="20"/>
                <w:szCs w:val="20"/>
                <w:color w:val="auto"/>
              </w:rPr>
            </w:pPr>
            <w:r>
              <w:rPr>
                <w:rFonts w:ascii="Times New Roman" w:cs="Times New Roman" w:eastAsia="Times New Roman" w:hAnsi="Times New Roman"/>
                <w:sz w:val="11"/>
                <w:szCs w:val="11"/>
                <w:color w:val="auto"/>
              </w:rPr>
              <w:t>Electronic Equipment,</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10,094</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(Wildcat Parent, LP(5))</w:t>
            </w:r>
          </w:p>
        </w:tc>
        <w:tc>
          <w:tcPr>
            <w:tcW w:w="2040" w:type="dxa"/>
            <w:vAlign w:val="bottom"/>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L+575, 02/27/2026</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9730 Northcross Center Court</w:t>
            </w:r>
          </w:p>
        </w:tc>
        <w:tc>
          <w:tcPr>
            <w:tcW w:w="2040" w:type="dxa"/>
            <w:vAlign w:val="bottom"/>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rPr>
              <w:t>Components</w:t>
            </w: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Huntersville, NC 28078</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Zips Car Wash, LLC</w:t>
            </w:r>
          </w:p>
        </w:tc>
        <w:tc>
          <w:tcPr>
            <w:tcW w:w="2040" w:type="dxa"/>
            <w:vAlign w:val="bottom"/>
            <w:shd w:val="clear" w:color="auto" w:fill="CCEEFF"/>
          </w:tcPr>
          <w:p>
            <w:pPr>
              <w:jc w:val="center"/>
              <w:ind w:left="425"/>
              <w:spacing w:after="0" w:line="97" w:lineRule="exact"/>
              <w:rPr>
                <w:sz w:val="20"/>
                <w:szCs w:val="20"/>
                <w:color w:val="auto"/>
              </w:rPr>
            </w:pPr>
            <w:r>
              <w:rPr>
                <w:rFonts w:ascii="Times New Roman" w:cs="Times New Roman" w:eastAsia="Times New Roman" w:hAnsi="Times New Roman"/>
                <w:sz w:val="11"/>
                <w:szCs w:val="11"/>
                <w:color w:val="auto"/>
                <w:w w:val="98"/>
              </w:rPr>
              <w:t>Automobiles</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1100" w:type="dxa"/>
            <w:vAlign w:val="bottom"/>
            <w:gridSpan w:val="2"/>
            <w:shd w:val="clear" w:color="auto" w:fill="CCEEFF"/>
          </w:tcPr>
          <w:p>
            <w:pPr>
              <w:jc w:val="right"/>
              <w:ind w:right="600"/>
              <w:spacing w:after="0" w:line="9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13,092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1809 East Parker Road</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L+725, 03/01/2024</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Jonesboro, AR 72404</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 25% or More Owned</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Marketplace Events, LLC</w:t>
            </w:r>
          </w:p>
        </w:tc>
        <w:tc>
          <w:tcPr>
            <w:tcW w:w="2040" w:type="dxa"/>
            <w:vAlign w:val="bottom"/>
            <w:shd w:val="clear" w:color="auto" w:fill="CCEEFF"/>
          </w:tcPr>
          <w:p>
            <w:pPr>
              <w:jc w:val="center"/>
              <w:ind w:left="445"/>
              <w:spacing w:after="0" w:line="97" w:lineRule="exact"/>
              <w:rPr>
                <w:sz w:val="20"/>
                <w:szCs w:val="20"/>
                <w:color w:val="auto"/>
              </w:rPr>
            </w:pPr>
            <w:r>
              <w:rPr>
                <w:rFonts w:ascii="Times New Roman" w:cs="Times New Roman" w:eastAsia="Times New Roman" w:hAnsi="Times New Roman"/>
                <w:sz w:val="11"/>
                <w:szCs w:val="11"/>
                <w:color w:val="auto"/>
                <w:w w:val="99"/>
              </w:rPr>
              <w:t>Media: Diversified and</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40" w:type="dxa"/>
            <w:vAlign w:val="bottom"/>
            <w:shd w:val="clear" w:color="auto" w:fill="CCEEFF"/>
          </w:tcPr>
          <w:p>
            <w:pPr>
              <w:jc w:val="right"/>
              <w:ind w:right="105"/>
              <w:spacing w:after="0" w:line="97" w:lineRule="exact"/>
              <w:rPr>
                <w:sz w:val="20"/>
                <w:szCs w:val="20"/>
                <w:color w:val="auto"/>
              </w:rPr>
            </w:pPr>
            <w:r>
              <w:rPr>
                <w:rFonts w:ascii="Times New Roman" w:cs="Times New Roman" w:eastAsia="Times New Roman" w:hAnsi="Times New Roman"/>
                <w:sz w:val="11"/>
                <w:szCs w:val="11"/>
                <w:color w:val="auto"/>
              </w:rPr>
              <w:t>32.6%(3)</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31,389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(New MPE Holdings, LLC(5))</w:t>
            </w:r>
          </w:p>
        </w:tc>
        <w:tc>
          <w:tcPr>
            <w:tcW w:w="2040" w:type="dxa"/>
            <w:vAlign w:val="bottom"/>
            <w:shd w:val="clear" w:color="auto" w:fill="CCEEFF"/>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3M L+525 (PIK 5.25%),</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31105 Bainbridge Road, Suite 3</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09/30/2026</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Solon, OH 44139</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85"/>
              <w:spacing w:after="0"/>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PennantPark Senior Secured Loan Fund I, LLC(6)</w:t>
            </w:r>
          </w:p>
        </w:tc>
        <w:tc>
          <w:tcPr>
            <w:tcW w:w="2040" w:type="dxa"/>
            <w:vAlign w:val="bottom"/>
          </w:tcPr>
          <w:p>
            <w:pPr>
              <w:jc w:val="center"/>
              <w:ind w:left="445"/>
              <w:spacing w:after="0"/>
              <w:rPr>
                <w:sz w:val="20"/>
                <w:szCs w:val="20"/>
                <w:color w:val="auto"/>
              </w:rPr>
            </w:pPr>
            <w:r>
              <w:rPr>
                <w:rFonts w:ascii="Times New Roman" w:cs="Times New Roman" w:eastAsia="Times New Roman" w:hAnsi="Times New Roman"/>
                <w:sz w:val="11"/>
                <w:szCs w:val="11"/>
                <w:color w:val="auto"/>
              </w:rPr>
              <w:t>Financial Services</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50.0%(3)</w:t>
            </w:r>
          </w:p>
        </w:tc>
        <w:tc>
          <w:tcPr>
            <w:tcW w:w="1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239,615</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1691 Michigan Avenue</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L+800, 05/06/2024</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Miami, FL 33139</w:t>
            </w:r>
          </w:p>
        </w:tc>
        <w:tc>
          <w:tcPr>
            <w:tcW w:w="2040" w:type="dxa"/>
            <w:vAlign w:val="bottom"/>
          </w:tcPr>
          <w:p>
            <w:pPr>
              <w:spacing w:after="0"/>
              <w:rPr>
                <w:sz w:val="12"/>
                <w:szCs w:val="12"/>
                <w:color w:val="auto"/>
              </w:rPr>
            </w:pP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Total Investments</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1,164,254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78740</wp:posOffset>
            </wp:positionV>
            <wp:extent cx="59245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129" w:lineRule="exact"/>
        <w:rPr>
          <w:sz w:val="20"/>
          <w:szCs w:val="20"/>
          <w:color w:val="auto"/>
        </w:rPr>
      </w:pPr>
    </w:p>
    <w:p>
      <w:pPr>
        <w:ind w:left="1740" w:right="319" w:hanging="327"/>
        <w:spacing w:after="0" w:line="220"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disclosed are the actual interest rate in effect as 09/30/2022. LIBOR loans are typically indexed to a 30-day, 90-day or 180-day LIBOR rate (1M L, 3M L, or 6M L, respectively), and EURIBOR loans are typically indexed to a 90-day EURIBOR rate (3M E), SOFR loans are typically indexed to a 30-day, 90-day or 180-day SOFR rates (1M L, 3M L, or 6M L, respectively) at the borrower’s option. All securities are subject to a LIBOR, SOFR or Prime rate floor where a spread is provided, unless noted. The spread provided includes PIK interest and other fee rates, if any.</w:t>
      </w:r>
    </w:p>
    <w:p>
      <w:pPr>
        <w:ind w:left="1740" w:hanging="327"/>
        <w:spacing w:after="0" w:line="216"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Voting ownership percentage refers only to common equity, preferred equity and warrants held, if any, were we to have voting rights.</w:t>
      </w:r>
    </w:p>
    <w:p>
      <w:pPr>
        <w:ind w:left="1740" w:hanging="327"/>
        <w:spacing w:after="0" w:line="216"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hold one or more voting seats on the portfolio company’s board of directors/managers.</w:t>
      </w:r>
    </w:p>
    <w:p>
      <w:pPr>
        <w:ind w:left="1740" w:right="319" w:hanging="327"/>
        <w:spacing w:after="0" w:line="216"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purchase of a security with delayed settlement or a revolving line of credit that is currently an unfunded investment, that does not earn a basis point spread above an index while it is unfunded.</w:t>
      </w:r>
    </w:p>
    <w:p>
      <w:pPr>
        <w:ind w:left="1740" w:hanging="327"/>
        <w:spacing w:after="0" w:line="216"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through our Taxable Subsidiary.</w:t>
      </w:r>
    </w:p>
    <w:p>
      <w:pPr>
        <w:ind w:left="1740" w:right="599" w:hanging="327"/>
        <w:spacing w:after="0" w:line="216"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the Company’s total assets and non-qualifying assets represent 19% of the Company’s total assets.</w:t>
      </w:r>
    </w:p>
    <w:p>
      <w:pPr>
        <w:ind w:left="1740" w:hanging="327"/>
        <w:spacing w:after="0"/>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0.1% voting ownership percentage.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2"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spacing w:after="0" w:line="277" w:lineRule="auto"/>
        <w:rPr>
          <w:sz w:val="20"/>
          <w:szCs w:val="20"/>
          <w:color w:val="auto"/>
        </w:rPr>
      </w:pPr>
      <w:r>
        <w:rPr>
          <w:rFonts w:ascii="Times New Roman" w:cs="Times New Roman" w:eastAsia="Times New Roman" w:hAnsi="Times New Roman"/>
          <w:sz w:val="14"/>
          <w:szCs w:val="14"/>
          <w:color w:val="auto"/>
        </w:rPr>
        <w:t>Set forth below is a brief description of each portfolio company in which we have made an investment that represents greater than 5% of our total assets as of September 30, 2022:</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PennantParkSenior Secured Loan Fund I, LLC (Financial Services)</w:t>
      </w:r>
    </w:p>
    <w:p>
      <w:pPr>
        <w:spacing w:after="0" w:line="88" w:lineRule="exact"/>
        <w:rPr>
          <w:sz w:val="20"/>
          <w:szCs w:val="20"/>
          <w:color w:val="auto"/>
        </w:rPr>
      </w:pPr>
    </w:p>
    <w:p>
      <w:pPr>
        <w:ind w:left="1760" w:right="459"/>
        <w:spacing w:after="0" w:line="277" w:lineRule="auto"/>
        <w:rPr>
          <w:sz w:val="20"/>
          <w:szCs w:val="20"/>
          <w:color w:val="auto"/>
        </w:rPr>
      </w:pPr>
      <w:r>
        <w:rPr>
          <w:rFonts w:ascii="Times New Roman" w:cs="Times New Roman" w:eastAsia="Times New Roman" w:hAnsi="Times New Roman"/>
          <w:sz w:val="14"/>
          <w:szCs w:val="14"/>
          <w:color w:val="auto"/>
        </w:rPr>
        <w:t>PSSL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43" w:lineRule="exact"/>
        <w:rPr>
          <w:sz w:val="20"/>
          <w:szCs w:val="20"/>
          <w:color w:val="auto"/>
        </w:rPr>
      </w:pPr>
    </w:p>
    <w:p>
      <w:pPr>
        <w:ind w:left="1420" w:right="519"/>
        <w:spacing w:after="0" w:line="277"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30" w:lineRule="exact"/>
        <w:rPr>
          <w:sz w:val="20"/>
          <w:szCs w:val="20"/>
          <w:color w:val="auto"/>
        </w:rPr>
      </w:pPr>
    </w:p>
    <w:tbl>
      <w:tblPr>
        <w:tblLayout w:type="fixed"/>
        <w:tblInd w:w="2100" w:type="dxa"/>
        <w:tblCellMar>
          <w:top w:w="0" w:type="dxa"/>
          <w:left w:w="0" w:type="dxa"/>
          <w:bottom w:w="0" w:type="dxa"/>
          <w:right w:w="0" w:type="dxa"/>
        </w:tblCellMar>
      </w:tblPr>
      <w:tr>
        <w:trPr>
          <w:trHeight w:val="126"/>
        </w:trPr>
        <w:tc>
          <w:tcPr>
            <w:tcW w:w="1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Industry Classification</w:t>
            </w:r>
          </w:p>
        </w:tc>
        <w:tc>
          <w:tcPr>
            <w:tcW w:w="2120" w:type="dxa"/>
            <w:vAlign w:val="bottom"/>
            <w:vMerge w:val="restart"/>
          </w:tcPr>
          <w:p>
            <w:pPr>
              <w:spacing w:after="0"/>
              <w:rPr>
                <w:sz w:val="11"/>
                <w:szCs w:val="11"/>
                <w:color w:val="auto"/>
              </w:rPr>
            </w:pPr>
          </w:p>
        </w:tc>
        <w:tc>
          <w:tcPr>
            <w:tcW w:w="2680" w:type="dxa"/>
            <w:vAlign w:val="bottom"/>
            <w:gridSpan w:val="3"/>
          </w:tcPr>
          <w:p>
            <w:pPr>
              <w:jc w:val="center"/>
              <w:ind w:left="927"/>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220" w:type="dxa"/>
            <w:vAlign w:val="bottom"/>
            <w:gridSpan w:val="3"/>
          </w:tcPr>
          <w:p>
            <w:pPr>
              <w:jc w:val="center"/>
              <w:ind w:left="167"/>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216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2022(1)</w:t>
            </w:r>
          </w:p>
        </w:tc>
        <w:tc>
          <w:tcPr>
            <w:tcW w:w="520" w:type="dxa"/>
            <w:vAlign w:val="bottom"/>
          </w:tcPr>
          <w:p>
            <w:pPr>
              <w:spacing w:after="0"/>
              <w:rPr>
                <w:sz w:val="10"/>
                <w:szCs w:val="10"/>
                <w:color w:val="auto"/>
              </w:rPr>
            </w:pPr>
          </w:p>
        </w:tc>
        <w:tc>
          <w:tcPr>
            <w:tcW w:w="106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2021(1)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gridSpan w:val="2"/>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40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7</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Personal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7</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6</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 Tech Industries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Equipment</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 Technology</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 Providers and Service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Distributors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Air Freight and Logistics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Automobiles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 Products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Food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Leisure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Textiles, Apparel and Luxury Goods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Wholesale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0</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Hotel, Gaming and Leisure</w:t>
            </w:r>
          </w:p>
        </w:tc>
        <w:tc>
          <w:tcPr>
            <w:tcW w:w="268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4"/>
                <w:szCs w:val="14"/>
                <w:color w:val="auto"/>
              </w:rPr>
              <w:t>0%</w:t>
            </w:r>
          </w:p>
        </w:tc>
        <w:tc>
          <w:tcPr>
            <w:tcW w:w="12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rPr>
              <w:t>29</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2100" w:type="dxa"/>
        <w:tblCellMar>
          <w:top w:w="0" w:type="dxa"/>
          <w:left w:w="0" w:type="dxa"/>
          <w:bottom w:w="0" w:type="dxa"/>
          <w:right w:w="0" w:type="dxa"/>
        </w:tblCellMar>
      </w:tblPr>
      <w:tr>
        <w:trPr>
          <w:trHeight w:val="126"/>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Industry Classification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23"/>
        </w:trPr>
        <w:tc>
          <w:tcPr>
            <w:tcW w:w="3640" w:type="dxa"/>
            <w:vAlign w:val="bottom"/>
            <w:gridSpan w:val="3"/>
            <w:vMerge w:val="continue"/>
          </w:tcPr>
          <w:p>
            <w:pPr>
              <w:spacing w:after="0"/>
              <w:rPr>
                <w:sz w:val="10"/>
                <w:szCs w:val="10"/>
                <w:color w:val="auto"/>
              </w:rPr>
            </w:pPr>
          </w:p>
        </w:tc>
        <w:tc>
          <w:tcPr>
            <w:tcW w:w="1860" w:type="dxa"/>
            <w:vAlign w:val="bottom"/>
            <w:gridSpan w:val="2"/>
          </w:tcPr>
          <w:p>
            <w:pPr>
              <w:jc w:val="right"/>
              <w:ind w:right="111"/>
              <w:spacing w:after="0" w:line="123" w:lineRule="exact"/>
              <w:rPr>
                <w:sz w:val="20"/>
                <w:szCs w:val="20"/>
                <w:color w:val="auto"/>
              </w:rPr>
            </w:pPr>
            <w:r>
              <w:rPr>
                <w:rFonts w:ascii="Times New Roman" w:cs="Times New Roman" w:eastAsia="Times New Roman" w:hAnsi="Times New Roman"/>
                <w:sz w:val="11"/>
                <w:szCs w:val="11"/>
                <w:b w:val="1"/>
                <w:bCs w:val="1"/>
                <w:color w:val="auto"/>
              </w:rPr>
              <w:t>2022(1)</w:t>
            </w:r>
          </w:p>
        </w:tc>
        <w:tc>
          <w:tcPr>
            <w:tcW w:w="144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2021(1)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Media: Advertising, Printing and Publishing</w:t>
            </w:r>
          </w:p>
        </w:tc>
        <w:tc>
          <w:tcPr>
            <w:tcW w:w="1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Other</w:t>
            </w:r>
          </w:p>
        </w:tc>
        <w:tc>
          <w:tcPr>
            <w:tcW w:w="1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6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100%</w:t>
            </w: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78740</wp:posOffset>
            </wp:positionV>
            <wp:extent cx="59245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131" w:lineRule="exact"/>
        <w:rPr>
          <w:sz w:val="20"/>
          <w:szCs w:val="20"/>
          <w:color w:val="auto"/>
        </w:rPr>
      </w:pPr>
    </w:p>
    <w:p>
      <w:pPr>
        <w:ind w:left="1420"/>
        <w:spacing w:after="0"/>
        <w:tabs>
          <w:tab w:leader="none" w:pos="1720" w:val="left"/>
        </w:tabs>
        <w:rPr>
          <w:sz w:val="20"/>
          <w:szCs w:val="20"/>
          <w:color w:val="auto"/>
        </w:rPr>
      </w:pPr>
      <w:r>
        <w:rPr>
          <w:rFonts w:ascii="Times New Roman" w:cs="Times New Roman" w:eastAsia="Times New Roman" w:hAnsi="Times New Roman"/>
          <w:sz w:val="14"/>
          <w:szCs w:val="14"/>
          <w:color w:val="auto"/>
        </w:rPr>
        <w:t>(1)</w:t>
        <w:tab/>
        <w:t>Excludes investments in PSSL.</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2"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PORTFOLIO MANAGEMENT</w:t>
      </w:r>
    </w:p>
    <w:p>
      <w:pPr>
        <w:spacing w:after="0" w:line="173" w:lineRule="exact"/>
        <w:rPr>
          <w:sz w:val="20"/>
          <w:szCs w:val="20"/>
          <w:color w:val="auto"/>
        </w:rPr>
      </w:pPr>
    </w:p>
    <w:p>
      <w:pPr>
        <w:ind w:left="1420" w:right="319" w:firstLine="338"/>
        <w:spacing w:after="0" w:line="251" w:lineRule="auto"/>
        <w:rPr>
          <w:sz w:val="20"/>
          <w:szCs w:val="20"/>
          <w:color w:val="auto"/>
        </w:rPr>
      </w:pPr>
      <w:r>
        <w:rPr>
          <w:rFonts w:ascii="Times New Roman" w:cs="Times New Roman" w:eastAsia="Times New Roman" w:hAnsi="Times New Roman"/>
          <w:sz w:val="14"/>
          <w:szCs w:val="14"/>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44" w:lineRule="exact"/>
        <w:rPr>
          <w:sz w:val="20"/>
          <w:szCs w:val="20"/>
          <w:color w:val="auto"/>
        </w:rPr>
      </w:pPr>
    </w:p>
    <w:p>
      <w:pPr>
        <w:ind w:left="1420" w:right="319" w:firstLine="338"/>
        <w:spacing w:after="0" w:line="250" w:lineRule="auto"/>
        <w:rPr>
          <w:sz w:val="20"/>
          <w:szCs w:val="20"/>
          <w:color w:val="auto"/>
        </w:rPr>
      </w:pPr>
      <w:r>
        <w:rPr>
          <w:rFonts w:ascii="Times New Roman" w:cs="Times New Roman" w:eastAsia="Times New Roman" w:hAnsi="Times New Roman"/>
          <w:sz w:val="14"/>
          <w:szCs w:val="14"/>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48"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44"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4" w:lineRule="exact"/>
        <w:rPr>
          <w:sz w:val="20"/>
          <w:szCs w:val="20"/>
          <w:color w:val="auto"/>
        </w:rPr>
      </w:pPr>
    </w:p>
    <w:p>
      <w:pPr>
        <w:ind w:left="1420" w:right="619" w:firstLine="338"/>
        <w:spacing w:after="0" w:line="277" w:lineRule="auto"/>
        <w:rPr>
          <w:sz w:val="20"/>
          <w:szCs w:val="20"/>
          <w:color w:val="auto"/>
        </w:rPr>
      </w:pPr>
      <w:r>
        <w:rPr>
          <w:rFonts w:ascii="Times New Roman" w:cs="Times New Roman" w:eastAsia="Times New Roman" w:hAnsi="Times New Roman"/>
          <w:sz w:val="14"/>
          <w:szCs w:val="14"/>
          <w:color w:val="auto"/>
        </w:rPr>
        <w:t>Ryan Raskopf joined PennantPark Investment Advisers in August 2007. Previously, Mr. Raskopf was an Analyst in the Financial Institutions Group at Credit Suisse Securities (USA) LLC from 2005 to 2007.</w:t>
      </w:r>
    </w:p>
    <w:p>
      <w:pPr>
        <w:spacing w:after="0" w:line="126"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2"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1500" w:firstLine="338"/>
        <w:spacing w:after="0" w:line="254" w:lineRule="auto"/>
        <w:rPr>
          <w:sz w:val="20"/>
          <w:szCs w:val="20"/>
          <w:color w:val="auto"/>
        </w:rPr>
      </w:pPr>
      <w:r>
        <w:rPr>
          <w:rFonts w:ascii="Times New Roman" w:cs="Times New Roman" w:eastAsia="Times New Roman" w:hAnsi="Times New Roman"/>
          <w:sz w:val="14"/>
          <w:szCs w:val="14"/>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44" w:lineRule="exact"/>
        <w:rPr>
          <w:sz w:val="20"/>
          <w:szCs w:val="20"/>
          <w:color w:val="auto"/>
        </w:rPr>
      </w:pPr>
    </w:p>
    <w:p>
      <w:pPr>
        <w:ind w:left="1420" w:right="1500" w:firstLine="338"/>
        <w:spacing w:after="0" w:line="250" w:lineRule="auto"/>
        <w:rPr>
          <w:sz w:val="20"/>
          <w:szCs w:val="20"/>
          <w:color w:val="auto"/>
        </w:rPr>
      </w:pPr>
      <w:r>
        <w:rPr>
          <w:rFonts w:ascii="Times New Roman" w:cs="Times New Roman" w:eastAsia="Times New Roman" w:hAnsi="Times New Roman"/>
          <w:sz w:val="14"/>
          <w:szCs w:val="14"/>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48" w:lineRule="exact"/>
        <w:rPr>
          <w:sz w:val="20"/>
          <w:szCs w:val="20"/>
          <w:color w:val="auto"/>
        </w:rPr>
      </w:pPr>
    </w:p>
    <w:p>
      <w:pPr>
        <w:ind w:left="1420" w:right="1600" w:firstLine="338"/>
        <w:spacing w:after="0" w:line="277" w:lineRule="auto"/>
        <w:rPr>
          <w:sz w:val="20"/>
          <w:szCs w:val="20"/>
          <w:color w:val="auto"/>
        </w:rPr>
      </w:pPr>
      <w:r>
        <w:rPr>
          <w:rFonts w:ascii="Times New Roman" w:cs="Times New Roman" w:eastAsia="Times New Roman" w:hAnsi="Times New Roman"/>
          <w:sz w:val="14"/>
          <w:szCs w:val="14"/>
          <w:color w:val="auto"/>
        </w:rPr>
        <w:t>In addition to managing our investments, as of September 30, 2022, our portfolio managers also managed investments on behalf of the following entities:</w:t>
      </w:r>
    </w:p>
    <w:p>
      <w:pPr>
        <w:sectPr>
          <w:pgSz w:w="11900" w:h="16838" w:orient="portrait"/>
          <w:cols w:equalWidth="0" w:num="1">
            <w:col w:w="11360"/>
          </w:cols>
          <w:pgMar w:left="300" w:top="382" w:right="239" w:bottom="1440" w:gutter="0" w:footer="0" w:header="0"/>
        </w:sectPr>
      </w:pP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b w:val="1"/>
          <w:bCs w:val="1"/>
          <w:u w:val="single" w:color="auto"/>
          <w:color w:val="auto"/>
        </w:rPr>
        <w:t>Name</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PennantPark</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Investment</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Corporation</w:t>
      </w:r>
    </w:p>
    <w:p>
      <w:pPr>
        <w:spacing w:after="0" w:line="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PennantPark</w:t>
      </w:r>
    </w:p>
    <w:p>
      <w:pPr>
        <w:spacing w:after="0" w:line="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Senior</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Secured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Loan Fund I</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LLC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480"/>
        <w:spacing w:after="0"/>
        <w:tabs>
          <w:tab w:leader="none" w:pos="5020" w:val="left"/>
        </w:tabs>
        <w:rPr>
          <w:sz w:val="20"/>
          <w:szCs w:val="20"/>
          <w:color w:val="auto"/>
        </w:rPr>
      </w:pPr>
      <w:r>
        <w:rPr>
          <w:rFonts w:ascii="Times New Roman" w:cs="Times New Roman" w:eastAsia="Times New Roman" w:hAnsi="Times New Roman"/>
          <w:sz w:val="11"/>
          <w:szCs w:val="11"/>
          <w:b w:val="1"/>
          <w:bCs w:val="1"/>
          <w:color w:val="auto"/>
        </w:rPr>
        <w:t>Entity</w:t>
      </w:r>
      <w:r>
        <w:rPr>
          <w:sz w:val="20"/>
          <w:szCs w:val="20"/>
          <w:color w:val="auto"/>
        </w:rPr>
        <w:tab/>
      </w:r>
      <w:r>
        <w:rPr>
          <w:rFonts w:ascii="Times New Roman" w:cs="Times New Roman" w:eastAsia="Times New Roman" w:hAnsi="Times New Roman"/>
          <w:sz w:val="11"/>
          <w:szCs w:val="11"/>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wp:posOffset>
            </wp:positionV>
            <wp:extent cx="6316345" cy="316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316345" cy="316230"/>
                    </a:xfrm>
                    <a:prstGeom prst="rect">
                      <a:avLst/>
                    </a:prstGeom>
                    <a:noFill/>
                  </pic:spPr>
                </pic:pic>
              </a:graphicData>
            </a:graphic>
          </wp:anchor>
        </w:drawing>
      </w:r>
    </w:p>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Business development Primarily in U.S. middle market companies in the form of first lien secured loans, second lien secured debt, subordinated debt and equity in company</w:t>
      </w:r>
    </w:p>
    <w:p>
      <w:pPr>
        <w:spacing w:after="0" w:line="21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color w:val="auto"/>
        </w:rPr>
        <w:t>Joint Venture</w:t>
      </w:r>
      <w:r>
        <w:rPr>
          <w:sz w:val="20"/>
          <w:szCs w:val="20"/>
          <w:color w:val="auto"/>
        </w:rPr>
        <w:tab/>
      </w:r>
      <w:r>
        <w:rPr>
          <w:rFonts w:ascii="Times New Roman" w:cs="Times New Roman" w:eastAsia="Times New Roman" w:hAnsi="Times New Roman"/>
          <w:sz w:val="13"/>
          <w:szCs w:val="13"/>
          <w:color w:val="auto"/>
        </w:rPr>
        <w:t>Primarily Floating Rate Loans, with an emphasis on senior secured loans, in middle-market leveraged companies.</w:t>
      </w:r>
    </w:p>
    <w:p>
      <w:pPr>
        <w:spacing w:after="0" w:line="756" w:lineRule="exact"/>
        <w:rPr>
          <w:sz w:val="20"/>
          <w:szCs w:val="20"/>
          <w:color w:val="auto"/>
        </w:rPr>
      </w:pPr>
    </w:p>
    <w:p>
      <w:pPr>
        <w:sectPr>
          <w:pgSz w:w="11900" w:h="16838" w:orient="portrait"/>
          <w:cols w:equalWidth="0" w:num="2">
            <w:col w:w="2240" w:space="80"/>
            <w:col w:w="9040"/>
          </w:cols>
          <w:pgMar w:left="300" w:top="382" w:right="239" w:bottom="1440" w:gutter="0" w:footer="0" w:header="0"/>
          <w:type w:val="continuous"/>
        </w:sectPr>
      </w:pPr>
    </w:p>
    <w:tbl>
      <w:tblPr>
        <w:tblLayout w:type="fixed"/>
        <w:tblInd w:w="1420" w:type="dxa"/>
        <w:tblCellMar>
          <w:top w:w="0" w:type="dxa"/>
          <w:left w:w="0" w:type="dxa"/>
          <w:bottom w:w="0" w:type="dxa"/>
          <w:right w:w="0" w:type="dxa"/>
        </w:tblCellMar>
      </w:tblPr>
      <w:tr>
        <w:trPr>
          <w:trHeight w:val="16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PennantPark</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Joint Venture</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Primarily invests in middle-market and other corporate debt consistent with PennantPark Investment Corporation’s strategy.</w:t>
            </w:r>
          </w:p>
        </w:tc>
      </w:tr>
      <w:tr>
        <w:trPr>
          <w:trHeight w:val="166"/>
        </w:trPr>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Senior Loan</w:t>
            </w:r>
          </w:p>
        </w:tc>
        <w:tc>
          <w:tcPr>
            <w:tcW w:w="1320" w:type="dxa"/>
            <w:vAlign w:val="bottom"/>
            <w:shd w:val="clear" w:color="auto" w:fill="CCEEFF"/>
          </w:tcPr>
          <w:p>
            <w:pPr>
              <w:spacing w:after="0"/>
              <w:rPr>
                <w:sz w:val="14"/>
                <w:szCs w:val="14"/>
                <w:color w:val="auto"/>
              </w:rPr>
            </w:pPr>
          </w:p>
        </w:tc>
        <w:tc>
          <w:tcPr>
            <w:tcW w:w="7760" w:type="dxa"/>
            <w:vAlign w:val="bottom"/>
            <w:shd w:val="clear" w:color="auto" w:fill="CCEEFF"/>
          </w:tcPr>
          <w:p>
            <w:pPr>
              <w:spacing w:after="0"/>
              <w:rPr>
                <w:sz w:val="14"/>
                <w:szCs w:val="14"/>
                <w:color w:val="auto"/>
              </w:rPr>
            </w:pPr>
          </w:p>
        </w:tc>
      </w:tr>
      <w:tr>
        <w:trPr>
          <w:trHeight w:val="181"/>
        </w:trPr>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 LLC</w:t>
            </w:r>
          </w:p>
        </w:tc>
        <w:tc>
          <w:tcPr>
            <w:tcW w:w="1320" w:type="dxa"/>
            <w:vAlign w:val="bottom"/>
            <w:shd w:val="clear" w:color="auto" w:fill="CCEEFF"/>
          </w:tcPr>
          <w:p>
            <w:pPr>
              <w:spacing w:after="0"/>
              <w:rPr>
                <w:sz w:val="15"/>
                <w:szCs w:val="15"/>
                <w:color w:val="auto"/>
              </w:rPr>
            </w:pPr>
          </w:p>
        </w:tc>
        <w:tc>
          <w:tcPr>
            <w:tcW w:w="7760" w:type="dxa"/>
            <w:vAlign w:val="bottom"/>
            <w:shd w:val="clear" w:color="auto" w:fill="CCEEFF"/>
          </w:tcPr>
          <w:p>
            <w:pPr>
              <w:spacing w:after="0"/>
              <w:rPr>
                <w:sz w:val="15"/>
                <w:szCs w:val="15"/>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 Lending Funds</w:t>
            </w:r>
          </w:p>
        </w:tc>
        <w:tc>
          <w:tcPr>
            <w:tcW w:w="7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credit opportunities</w:t>
            </w:r>
          </w:p>
        </w:tc>
      </w:tr>
      <w:tr>
        <w:trPr>
          <w:trHeight w:val="166"/>
        </w:trPr>
        <w:tc>
          <w:tcPr>
            <w:tcW w:w="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Managed</w:t>
            </w:r>
          </w:p>
        </w:tc>
        <w:tc>
          <w:tcPr>
            <w:tcW w:w="1320" w:type="dxa"/>
            <w:vAlign w:val="bottom"/>
          </w:tcPr>
          <w:p>
            <w:pPr>
              <w:spacing w:after="0"/>
              <w:rPr>
                <w:sz w:val="14"/>
                <w:szCs w:val="14"/>
                <w:color w:val="auto"/>
              </w:rPr>
            </w:pPr>
          </w:p>
        </w:tc>
        <w:tc>
          <w:tcPr>
            <w:tcW w:w="7760" w:type="dxa"/>
            <w:vAlign w:val="bottom"/>
          </w:tcPr>
          <w:p>
            <w:pPr>
              <w:spacing w:after="0"/>
              <w:rPr>
                <w:sz w:val="14"/>
                <w:szCs w:val="14"/>
                <w:color w:val="auto"/>
              </w:rPr>
            </w:pPr>
          </w:p>
        </w:tc>
      </w:tr>
      <w:tr>
        <w:trPr>
          <w:trHeight w:val="181"/>
        </w:trPr>
        <w:tc>
          <w:tcPr>
            <w:tcW w:w="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Funds</w:t>
            </w:r>
          </w:p>
        </w:tc>
        <w:tc>
          <w:tcPr>
            <w:tcW w:w="1320" w:type="dxa"/>
            <w:vAlign w:val="bottom"/>
          </w:tcPr>
          <w:p>
            <w:pPr>
              <w:spacing w:after="0"/>
              <w:rPr>
                <w:sz w:val="15"/>
                <w:szCs w:val="15"/>
                <w:color w:val="auto"/>
              </w:rPr>
            </w:pPr>
          </w:p>
        </w:tc>
        <w:tc>
          <w:tcPr>
            <w:tcW w:w="7760" w:type="dxa"/>
            <w:vAlign w:val="bottom"/>
          </w:tcPr>
          <w:p>
            <w:pPr>
              <w:spacing w:after="0"/>
              <w:rPr>
                <w:sz w:val="15"/>
                <w:szCs w:val="15"/>
                <w:color w:val="auto"/>
              </w:rPr>
            </w:pPr>
          </w:p>
        </w:tc>
      </w:tr>
      <w:tr>
        <w:trPr>
          <w:trHeight w:val="28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60" w:type="dxa"/>
            <w:vAlign w:val="bottom"/>
          </w:tcPr>
          <w:p>
            <w:pPr>
              <w:jc w:val="right"/>
              <w:ind w:right="5571"/>
              <w:spacing w:after="0"/>
              <w:rPr>
                <w:sz w:val="20"/>
                <w:szCs w:val="20"/>
                <w:color w:val="auto"/>
              </w:rPr>
            </w:pPr>
            <w:r>
              <w:rPr>
                <w:rFonts w:ascii="Times New Roman" w:cs="Times New Roman" w:eastAsia="Times New Roman" w:hAnsi="Times New Roman"/>
                <w:sz w:val="14"/>
                <w:szCs w:val="14"/>
                <w:color w:val="auto"/>
              </w:rPr>
              <w:t>32</w:t>
            </w:r>
          </w:p>
        </w:tc>
      </w:tr>
    </w:tbl>
    <w:p>
      <w:pPr>
        <w:sectPr>
          <w:pgSz w:w="11900" w:h="16838" w:orient="portrait"/>
          <w:cols w:equalWidth="0" w:num="1">
            <w:col w:w="11360"/>
          </w:cols>
          <w:pgMar w:left="300" w:top="382" w:right="2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firstLine="338"/>
        <w:spacing w:after="0" w:line="262" w:lineRule="auto"/>
        <w:rPr>
          <w:sz w:val="20"/>
          <w:szCs w:val="20"/>
          <w:color w:val="auto"/>
        </w:rPr>
      </w:pPr>
      <w:r>
        <w:rPr>
          <w:rFonts w:ascii="Times New Roman" w:cs="Times New Roman" w:eastAsia="Times New Roman" w:hAnsi="Times New Roman"/>
          <w:sz w:val="14"/>
          <w:szCs w:val="14"/>
          <w:color w:val="auto"/>
        </w:rPr>
        <w:t>The following table sets forth the dollar range of our common stock beneficially owned by each of our senior investment professionals as of September 30, 2022. Information as to the beneficial ownerships is based on information furnished to us by such persons. We are not part of a “family of investment companies,” as that term is defined in the 1940 Act.</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6760" w:type="dxa"/>
            <w:vAlign w:val="bottom"/>
          </w:tcPr>
          <w:p>
            <w:pPr>
              <w:spacing w:after="0"/>
              <w:rPr>
                <w:sz w:val="11"/>
                <w:szCs w:val="11"/>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Dollar Range of the</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 of</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60"/>
              <w:spacing w:after="0" w:line="114" w:lineRule="exact"/>
              <w:rPr>
                <w:sz w:val="20"/>
                <w:szCs w:val="20"/>
                <w:color w:val="auto"/>
              </w:rPr>
            </w:pPr>
            <w:r>
              <w:rPr>
                <w:rFonts w:ascii="Times New Roman" w:cs="Times New Roman" w:eastAsia="Times New Roman" w:hAnsi="Times New Roman"/>
                <w:sz w:val="11"/>
                <w:szCs w:val="11"/>
                <w:b w:val="1"/>
                <w:bCs w:val="1"/>
                <w:color w:val="auto"/>
                <w:w w:val="99"/>
              </w:rPr>
              <w:t>PennantPark Floating</w:t>
            </w:r>
          </w:p>
        </w:tc>
      </w:tr>
      <w:tr>
        <w:trPr>
          <w:trHeight w:val="133"/>
        </w:trPr>
        <w:tc>
          <w:tcPr>
            <w:tcW w:w="6760" w:type="dxa"/>
            <w:vAlign w:val="bottom"/>
          </w:tcPr>
          <w:p>
            <w:pPr>
              <w:spacing w:after="0"/>
              <w:rPr>
                <w:sz w:val="11"/>
                <w:szCs w:val="1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Rate Capital Ltd. (1)</w:t>
            </w:r>
          </w:p>
        </w:tc>
      </w:tr>
      <w:tr>
        <w:trPr>
          <w:trHeight w:val="156"/>
        </w:trPr>
        <w:tc>
          <w:tcPr>
            <w:tcW w:w="67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Arthur H. Penn</w:t>
            </w:r>
            <w:r>
              <w:rPr>
                <w:rFonts w:ascii="Times New Roman" w:cs="Times New Roman" w:eastAsia="Times New Roman" w:hAnsi="Times New Roman"/>
                <w:sz w:val="18"/>
                <w:szCs w:val="18"/>
                <w:color w:val="auto"/>
                <w:vertAlign w:val="superscript"/>
              </w:rPr>
              <w:t>(2)</w:t>
            </w:r>
          </w:p>
        </w:tc>
        <w:tc>
          <w:tcPr>
            <w:tcW w:w="1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Over $1,000,000</w:t>
            </w:r>
          </w:p>
        </w:tc>
        <w:tc>
          <w:tcPr>
            <w:tcW w:w="60" w:type="dxa"/>
            <w:vAlign w:val="bottom"/>
            <w:tcBorders>
              <w:top w:val="single" w:sz="8" w:color="CCEEFF"/>
            </w:tcBorders>
            <w:shd w:val="clear" w:color="auto" w:fill="CCEEFF"/>
          </w:tcPr>
          <w:p>
            <w:pPr>
              <w:spacing w:after="0"/>
              <w:rPr>
                <w:sz w:val="13"/>
                <w:szCs w:val="13"/>
                <w:color w:val="auto"/>
              </w:rPr>
            </w:pP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José A. Briones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Salvatore Giannetti III</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Ryan Raskopf</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$100,001 - $500,000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Horn</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James Stone</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$10,001 - $50,000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 Winograd</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72390</wp:posOffset>
            </wp:positionV>
            <wp:extent cx="59245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121" w:lineRule="exact"/>
        <w:rPr>
          <w:sz w:val="20"/>
          <w:szCs w:val="20"/>
          <w:color w:val="auto"/>
        </w:rPr>
      </w:pPr>
    </w:p>
    <w:p>
      <w:pPr>
        <w:ind w:left="1740" w:right="799" w:hanging="327"/>
        <w:spacing w:after="0" w:line="277"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 Beneficial ownership has been determined in accordance with Rule 16a-1(a)(2) promulgated under the Exchange Act.</w:t>
      </w:r>
    </w:p>
    <w:p>
      <w:pPr>
        <w:spacing w:after="0" w:line="53" w:lineRule="exact"/>
        <w:rPr>
          <w:rFonts w:ascii="Times New Roman" w:cs="Times New Roman" w:eastAsia="Times New Roman" w:hAnsi="Times New Roman"/>
          <w:sz w:val="14"/>
          <w:szCs w:val="14"/>
          <w:color w:val="auto"/>
        </w:rPr>
      </w:pPr>
    </w:p>
    <w:p>
      <w:pPr>
        <w:ind w:left="1740" w:hanging="327"/>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reflects holdings of PennantPark Investment Advisers, LLC.</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2"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DETERMINATION OF NET ASSET VALUE</w:t>
      </w:r>
    </w:p>
    <w:p>
      <w:pPr>
        <w:spacing w:after="0" w:line="173" w:lineRule="exact"/>
        <w:rPr>
          <w:sz w:val="20"/>
          <w:szCs w:val="20"/>
          <w:color w:val="auto"/>
        </w:rPr>
      </w:pPr>
    </w:p>
    <w:p>
      <w:pPr>
        <w:ind w:left="1420" w:right="319" w:firstLine="338"/>
        <w:spacing w:after="0" w:line="277" w:lineRule="auto"/>
        <w:rPr>
          <w:sz w:val="20"/>
          <w:szCs w:val="20"/>
          <w:color w:val="auto"/>
        </w:rPr>
      </w:pPr>
      <w:r>
        <w:rPr>
          <w:rFonts w:ascii="Times New Roman" w:cs="Times New Roman" w:eastAsia="Times New Roman" w:hAnsi="Times New Roman"/>
          <w:sz w:val="14"/>
          <w:szCs w:val="14"/>
          <w:color w:val="auto"/>
        </w:rPr>
        <w:t>The NAV per share of our outstanding shares of common stock is determined quarterly by dividing the value of total assets minus liabilities by the total number of shares outstanding.</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As a BDC, we generally invest in illiquid securities including debt and equity investments of middle-market companies.</w:t>
      </w:r>
    </w:p>
    <w:p>
      <w:pPr>
        <w:spacing w:after="0" w:line="171" w:lineRule="exact"/>
        <w:rPr>
          <w:sz w:val="20"/>
          <w:szCs w:val="20"/>
          <w:color w:val="auto"/>
        </w:rPr>
      </w:pPr>
    </w:p>
    <w:p>
      <w:pPr>
        <w:ind w:left="1420" w:right="299" w:firstLine="338"/>
        <w:spacing w:after="0" w:line="250"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4" w:lineRule="exact"/>
        <w:rPr>
          <w:sz w:val="20"/>
          <w:szCs w:val="20"/>
          <w:color w:val="auto"/>
        </w:rPr>
      </w:pPr>
    </w:p>
    <w:p>
      <w:pPr>
        <w:ind w:left="2160" w:right="299" w:hanging="415"/>
        <w:spacing w:after="0" w:line="277"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3" w:lineRule="exact"/>
        <w:rPr>
          <w:rFonts w:ascii="Times New Roman" w:cs="Times New Roman" w:eastAsia="Times New Roman" w:hAnsi="Times New Roman"/>
          <w:sz w:val="14"/>
          <w:szCs w:val="14"/>
          <w:color w:val="auto"/>
        </w:rPr>
      </w:pPr>
    </w:p>
    <w:p>
      <w:pPr>
        <w:ind w:left="2160" w:hanging="415"/>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98" w:lineRule="exact"/>
        <w:rPr>
          <w:rFonts w:ascii="Times New Roman" w:cs="Times New Roman" w:eastAsia="Times New Roman" w:hAnsi="Times New Roman"/>
          <w:sz w:val="14"/>
          <w:szCs w:val="14"/>
          <w:color w:val="auto"/>
        </w:rPr>
      </w:pPr>
    </w:p>
    <w:p>
      <w:pPr>
        <w:ind w:left="2160" w:right="399" w:hanging="415"/>
        <w:spacing w:after="0" w:line="257"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7" w:lineRule="exact"/>
        <w:rPr>
          <w:rFonts w:ascii="Times New Roman" w:cs="Times New Roman" w:eastAsia="Times New Roman" w:hAnsi="Times New Roman"/>
          <w:sz w:val="14"/>
          <w:szCs w:val="14"/>
          <w:color w:val="auto"/>
        </w:rPr>
      </w:pPr>
    </w:p>
    <w:p>
      <w:pPr>
        <w:ind w:left="2160" w:right="359" w:hanging="415"/>
        <w:spacing w:after="0" w:line="262"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63" w:lineRule="exact"/>
        <w:rPr>
          <w:rFonts w:ascii="Times New Roman" w:cs="Times New Roman" w:eastAsia="Times New Roman" w:hAnsi="Times New Roman"/>
          <w:sz w:val="14"/>
          <w:szCs w:val="14"/>
          <w:color w:val="auto"/>
        </w:rPr>
      </w:pPr>
    </w:p>
    <w:p>
      <w:pPr>
        <w:ind w:left="2160" w:right="399" w:hanging="415"/>
        <w:spacing w:after="0" w:line="277"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6" w:lineRule="exact"/>
        <w:rPr>
          <w:sz w:val="20"/>
          <w:szCs w:val="20"/>
          <w:color w:val="auto"/>
        </w:rPr>
      </w:pPr>
    </w:p>
    <w:p>
      <w:pPr>
        <w:ind w:left="1420" w:right="379" w:firstLine="338"/>
        <w:spacing w:after="0" w:line="253"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left="1420" w:right="299" w:firstLine="338"/>
        <w:spacing w:after="0" w:line="251" w:lineRule="auto"/>
        <w:rPr>
          <w:sz w:val="20"/>
          <w:szCs w:val="20"/>
          <w:color w:val="auto"/>
        </w:rPr>
      </w:pPr>
      <w:r>
        <w:rPr>
          <w:rFonts w:ascii="Times New Roman" w:cs="Times New Roman" w:eastAsia="Times New Roman" w:hAnsi="Times New Roman"/>
          <w:sz w:val="14"/>
          <w:szCs w:val="14"/>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98" w:lineRule="exact"/>
        <w:rPr>
          <w:sz w:val="20"/>
          <w:szCs w:val="20"/>
          <w:color w:val="auto"/>
        </w:rPr>
      </w:pPr>
    </w:p>
    <w:p>
      <w:pPr>
        <w:ind w:left="2500" w:right="559" w:hanging="756"/>
        <w:spacing w:after="0" w:line="277" w:lineRule="auto"/>
        <w:tabs>
          <w:tab w:leader="none" w:pos="248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2500" w:right="399" w:hanging="756"/>
        <w:spacing w:after="0" w:line="262" w:lineRule="auto"/>
        <w:tabs>
          <w:tab w:leader="none" w:pos="248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4" w:lineRule="exact"/>
        <w:rPr>
          <w:sz w:val="20"/>
          <w:szCs w:val="20"/>
          <w:color w:val="auto"/>
        </w:rPr>
      </w:pPr>
    </w:p>
    <w:p>
      <w:pPr>
        <w:ind w:left="2500" w:right="419" w:hanging="756"/>
        <w:spacing w:after="0" w:line="277" w:lineRule="auto"/>
        <w:tabs>
          <w:tab w:leader="none" w:pos="248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26" w:lineRule="exact"/>
        <w:rPr>
          <w:sz w:val="20"/>
          <w:szCs w:val="20"/>
          <w:color w:val="auto"/>
        </w:rPr>
      </w:pPr>
    </w:p>
    <w:p>
      <w:pPr>
        <w:ind w:left="1420" w:right="299" w:firstLine="338"/>
        <w:spacing w:after="0" w:line="279"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and the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left="1420" w:right="319" w:firstLine="338"/>
        <w:spacing w:after="0" w:line="251"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Determinations In Connection With Offerings</w:t>
      </w:r>
    </w:p>
    <w:p>
      <w:pPr>
        <w:spacing w:after="0" w:line="90"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519"/>
        <w:spacing w:after="0" w:line="277" w:lineRule="auto"/>
        <w:rPr>
          <w:sz w:val="20"/>
          <w:szCs w:val="20"/>
          <w:color w:val="auto"/>
        </w:rPr>
      </w:pPr>
      <w:r>
        <w:rPr>
          <w:rFonts w:ascii="Times New Roman" w:cs="Times New Roman" w:eastAsia="Times New Roman" w:hAnsi="Times New Roman"/>
          <w:sz w:val="14"/>
          <w:szCs w:val="14"/>
          <w:color w:val="auto"/>
        </w:rPr>
        <w:t>directors decides that such an offering is in the best interests of our common stockholders. Our board of directors will consider the following factors, among others, in making such determination:</w:t>
      </w:r>
    </w:p>
    <w:p>
      <w:pPr>
        <w:spacing w:after="0" w:line="54" w:lineRule="exact"/>
        <w:rPr>
          <w:sz w:val="20"/>
          <w:szCs w:val="20"/>
          <w:color w:val="auto"/>
        </w:rPr>
      </w:pPr>
    </w:p>
    <w:p>
      <w:pPr>
        <w:ind w:left="2160" w:hanging="33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NAV of our common stock disclosed in the most recent periodic report that we filed with the SEC;</w:t>
      </w:r>
    </w:p>
    <w:p>
      <w:pPr>
        <w:spacing w:after="0" w:line="98" w:lineRule="exact"/>
        <w:rPr>
          <w:rFonts w:ascii="Times New Roman" w:cs="Times New Roman" w:eastAsia="Times New Roman" w:hAnsi="Times New Roman"/>
          <w:sz w:val="14"/>
          <w:szCs w:val="14"/>
          <w:color w:val="auto"/>
        </w:rPr>
      </w:pPr>
    </w:p>
    <w:p>
      <w:pPr>
        <w:ind w:left="2160" w:right="399" w:hanging="332"/>
        <w:spacing w:after="0" w:line="262"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63"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26" w:lineRule="exact"/>
        <w:rPr>
          <w:sz w:val="20"/>
          <w:szCs w:val="20"/>
          <w:color w:val="auto"/>
        </w:rPr>
      </w:pPr>
    </w:p>
    <w:p>
      <w:pPr>
        <w:jc w:val="both"/>
        <w:ind w:left="1420" w:right="359" w:firstLine="338"/>
        <w:spacing w:after="0" w:line="257" w:lineRule="auto"/>
        <w:rPr>
          <w:sz w:val="20"/>
          <w:szCs w:val="20"/>
          <w:color w:val="auto"/>
        </w:rPr>
      </w:pPr>
      <w:r>
        <w:rPr>
          <w:rFonts w:ascii="Times New Roman" w:cs="Times New Roman" w:eastAsia="Times New Roman" w:hAnsi="Times New Roman"/>
          <w:sz w:val="14"/>
          <w:szCs w:val="14"/>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In addition, we will only sell shares of our common stock at a price below NAV per share if the following conditions are met:</w:t>
      </w:r>
    </w:p>
    <w:p>
      <w:pPr>
        <w:spacing w:after="0" w:line="98" w:lineRule="exact"/>
        <w:rPr>
          <w:sz w:val="20"/>
          <w:szCs w:val="20"/>
          <w:color w:val="auto"/>
        </w:rPr>
      </w:pPr>
    </w:p>
    <w:p>
      <w:pPr>
        <w:ind w:left="2160" w:hanging="33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our independent directors who have no financial interest in the sale must have approved the sale; and</w:t>
      </w:r>
    </w:p>
    <w:p>
      <w:pPr>
        <w:spacing w:after="0" w:line="98" w:lineRule="exact"/>
        <w:rPr>
          <w:rFonts w:ascii="Times New Roman" w:cs="Times New Roman" w:eastAsia="Times New Roman" w:hAnsi="Times New Roman"/>
          <w:sz w:val="14"/>
          <w:szCs w:val="14"/>
          <w:color w:val="auto"/>
        </w:rPr>
      </w:pPr>
    </w:p>
    <w:p>
      <w:pPr>
        <w:ind w:left="2160" w:right="359" w:hanging="332"/>
        <w:spacing w:after="0" w:line="257"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0" w:lineRule="exact"/>
        <w:rPr>
          <w:sz w:val="20"/>
          <w:szCs w:val="20"/>
          <w:color w:val="auto"/>
        </w:rPr>
      </w:pPr>
    </w:p>
    <w:p>
      <w:pPr>
        <w:ind w:left="1420" w:right="379" w:firstLine="338"/>
        <w:spacing w:after="0" w:line="251" w:lineRule="auto"/>
        <w:rPr>
          <w:sz w:val="20"/>
          <w:szCs w:val="20"/>
          <w:color w:val="auto"/>
        </w:rPr>
      </w:pPr>
      <w:r>
        <w:rPr>
          <w:rFonts w:ascii="Times New Roman" w:cs="Times New Roman" w:eastAsia="Times New Roman" w:hAnsi="Times New Roman"/>
          <w:sz w:val="14"/>
          <w:szCs w:val="14"/>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4" w:lineRule="exact"/>
        <w:rPr>
          <w:sz w:val="20"/>
          <w:szCs w:val="20"/>
          <w:color w:val="auto"/>
        </w:rPr>
      </w:pPr>
    </w:p>
    <w:p>
      <w:pPr>
        <w:ind w:left="1420" w:right="359" w:firstLine="338"/>
        <w:spacing w:after="0" w:line="262" w:lineRule="auto"/>
        <w:rPr>
          <w:sz w:val="20"/>
          <w:szCs w:val="20"/>
          <w:color w:val="auto"/>
        </w:rPr>
      </w:pPr>
      <w:r>
        <w:rPr>
          <w:rFonts w:ascii="Times New Roman" w:cs="Times New Roman" w:eastAsia="Times New Roman" w:hAnsi="Times New Roman"/>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2"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CAPITAL STOCK</w:t>
      </w:r>
    </w:p>
    <w:p>
      <w:pPr>
        <w:spacing w:after="0" w:line="173" w:lineRule="exact"/>
        <w:rPr>
          <w:sz w:val="20"/>
          <w:szCs w:val="20"/>
          <w:color w:val="auto"/>
        </w:rPr>
      </w:pPr>
    </w:p>
    <w:p>
      <w:pPr>
        <w:jc w:val="both"/>
        <w:ind w:left="1420" w:right="399" w:firstLine="338"/>
        <w:spacing w:after="0" w:line="262" w:lineRule="auto"/>
        <w:rPr>
          <w:sz w:val="20"/>
          <w:szCs w:val="20"/>
          <w:color w:val="auto"/>
        </w:rPr>
      </w:pPr>
      <w:r>
        <w:rPr>
          <w:rFonts w:ascii="Times New Roman" w:cs="Times New Roman" w:eastAsia="Times New Roman" w:hAnsi="Times New Roman"/>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90" w:lineRule="exact"/>
        <w:rPr>
          <w:sz w:val="20"/>
          <w:szCs w:val="20"/>
          <w:color w:val="auto"/>
        </w:rPr>
      </w:pPr>
    </w:p>
    <w:p>
      <w:pPr>
        <w:ind w:left="1420" w:right="419" w:firstLine="338"/>
        <w:spacing w:after="0" w:line="257" w:lineRule="auto"/>
        <w:rPr>
          <w:sz w:val="20"/>
          <w:szCs w:val="20"/>
          <w:color w:val="auto"/>
        </w:rPr>
      </w:pPr>
      <w:r>
        <w:rPr>
          <w:rFonts w:ascii="Times New Roman" w:cs="Times New Roman" w:eastAsia="Times New Roman" w:hAnsi="Times New Roman"/>
          <w:sz w:val="14"/>
          <w:szCs w:val="14"/>
          <w:color w:val="auto"/>
        </w:rPr>
        <w:t>As of September 30, 2022, our authorized capital stock consisted of 100,000,000 shares of stock, par value $0.001 per share, all of which is classified as common stock. Our common stock is quoted on The New York Stock Exchange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0" w:lineRule="exact"/>
        <w:rPr>
          <w:sz w:val="20"/>
          <w:szCs w:val="20"/>
          <w:color w:val="auto"/>
        </w:rPr>
      </w:pPr>
    </w:p>
    <w:p>
      <w:pPr>
        <w:ind w:left="1420" w:right="459" w:firstLine="338"/>
        <w:spacing w:after="0" w:line="277" w:lineRule="auto"/>
        <w:rPr>
          <w:sz w:val="20"/>
          <w:szCs w:val="20"/>
          <w:color w:val="auto"/>
        </w:rPr>
      </w:pPr>
      <w:r>
        <w:rPr>
          <w:rFonts w:ascii="Times New Roman" w:cs="Times New Roman" w:eastAsia="Times New Roman" w:hAnsi="Times New Roman"/>
          <w:sz w:val="14"/>
          <w:szCs w:val="14"/>
          <w:color w:val="auto"/>
        </w:rPr>
        <w:t>The last reported closing market price of our common stock on December 13, 2022 was $11.44 per share. As of September 30, 2022, we had 37 stockholders of record.</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following are our outstanding classes of securities as of November 30, 2022:</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Amount Held by</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14"/>
        </w:trPr>
        <w:tc>
          <w:tcPr>
            <w:tcW w:w="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880" w:type="dxa"/>
            <w:vAlign w:val="bottom"/>
            <w:vMerge w:val="restart"/>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b w:val="1"/>
                <w:bCs w:val="1"/>
                <w:color w:val="auto"/>
              </w:rPr>
              <w:t>Us or for Our</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620" w:type="dxa"/>
            <w:vAlign w:val="bottom"/>
            <w:tcBorders>
              <w:bottom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110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1"/>
                <w:szCs w:val="11"/>
                <w:b w:val="1"/>
                <w:bCs w:val="1"/>
                <w:color w:val="auto"/>
              </w:rPr>
              <w:t>Authorized</w:t>
            </w:r>
          </w:p>
        </w:tc>
        <w:tc>
          <w:tcPr>
            <w:tcW w:w="114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1"/>
                <w:szCs w:val="11"/>
                <w:b w:val="1"/>
                <w:bCs w:val="1"/>
                <w:color w:val="auto"/>
                <w:w w:val="97"/>
              </w:rPr>
              <w:t>Account</w:t>
            </w:r>
          </w:p>
        </w:tc>
        <w:tc>
          <w:tcPr>
            <w:tcW w:w="7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7"/>
        </w:trPr>
        <w:tc>
          <w:tcPr>
            <w:tcW w:w="550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100,000,000</w:t>
            </w:r>
          </w:p>
        </w:tc>
        <w:tc>
          <w:tcPr>
            <w:tcW w:w="3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45,345,638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1420" w:right="299" w:firstLine="338"/>
        <w:spacing w:after="0" w:line="250"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90" w:lineRule="exact"/>
        <w:rPr>
          <w:sz w:val="20"/>
          <w:szCs w:val="20"/>
          <w:color w:val="auto"/>
        </w:rPr>
      </w:pPr>
    </w:p>
    <w:p>
      <w:pPr>
        <w:ind w:left="1420" w:right="679" w:firstLine="338"/>
        <w:spacing w:after="0" w:line="277"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679"/>
        <w:spacing w:after="0" w:line="262" w:lineRule="auto"/>
        <w:rPr>
          <w:sz w:val="20"/>
          <w:szCs w:val="20"/>
          <w:color w:val="auto"/>
        </w:rPr>
      </w:pPr>
      <w:r>
        <w:rPr>
          <w:rFonts w:ascii="Times New Roman" w:cs="Times New Roman" w:eastAsia="Times New Roman" w:hAnsi="Times New Roman"/>
          <w:sz w:val="14"/>
          <w:szCs w:val="14"/>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6" w:lineRule="exact"/>
        <w:rPr>
          <w:sz w:val="20"/>
          <w:szCs w:val="20"/>
          <w:color w:val="auto"/>
        </w:rPr>
      </w:pPr>
    </w:p>
    <w:p>
      <w:pPr>
        <w:ind w:left="1420" w:right="319" w:firstLine="338"/>
        <w:spacing w:after="0" w:line="253"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43" w:lineRule="exact"/>
        <w:rPr>
          <w:sz w:val="20"/>
          <w:szCs w:val="20"/>
          <w:color w:val="auto"/>
        </w:rPr>
      </w:pPr>
    </w:p>
    <w:p>
      <w:pPr>
        <w:ind w:left="1420" w:right="339" w:firstLine="338"/>
        <w:spacing w:after="0" w:line="250" w:lineRule="auto"/>
        <w:rPr>
          <w:sz w:val="20"/>
          <w:szCs w:val="20"/>
          <w:color w:val="auto"/>
        </w:rPr>
      </w:pPr>
      <w:r>
        <w:rPr>
          <w:rFonts w:ascii="Times New Roman" w:cs="Times New Roman" w:eastAsia="Times New Roman" w:hAnsi="Times New Roman"/>
          <w:sz w:val="14"/>
          <w:szCs w:val="14"/>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8" w:lineRule="exact"/>
        <w:rPr>
          <w:sz w:val="20"/>
          <w:szCs w:val="20"/>
          <w:color w:val="auto"/>
        </w:rPr>
      </w:pPr>
    </w:p>
    <w:p>
      <w:pPr>
        <w:ind w:left="1420" w:right="659" w:firstLine="338"/>
        <w:spacing w:after="0" w:line="277" w:lineRule="auto"/>
        <w:rPr>
          <w:sz w:val="20"/>
          <w:szCs w:val="20"/>
          <w:color w:val="auto"/>
        </w:rPr>
      </w:pPr>
      <w:r>
        <w:rPr>
          <w:rFonts w:ascii="Times New Roman" w:cs="Times New Roman" w:eastAsia="Times New Roman" w:hAnsi="Times New Roman"/>
          <w:sz w:val="14"/>
          <w:szCs w:val="14"/>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6" w:lineRule="exact"/>
        <w:rPr>
          <w:sz w:val="20"/>
          <w:szCs w:val="20"/>
          <w:color w:val="auto"/>
        </w:rPr>
      </w:pPr>
    </w:p>
    <w:p>
      <w:pPr>
        <w:ind w:left="1420" w:right="299" w:firstLine="338"/>
        <w:spacing w:after="0" w:line="249"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2"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Provisions of the Maryland General Corporation Law and our Charter and Bylaws</w:t>
      </w:r>
    </w:p>
    <w:p>
      <w:pPr>
        <w:spacing w:after="0" w:line="90"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90" w:lineRule="exact"/>
        <w:rPr>
          <w:sz w:val="20"/>
          <w:szCs w:val="20"/>
          <w:color w:val="auto"/>
        </w:rPr>
      </w:pPr>
    </w:p>
    <w:p>
      <w:pPr>
        <w:ind w:left="1420" w:right="359" w:firstLine="338"/>
        <w:spacing w:after="0" w:line="252"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The terms of the first, second and third classes will expire at the annual meeting of stockholders held in 2024, 2025 and 2023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90"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90" w:lineRule="exact"/>
        <w:rPr>
          <w:sz w:val="20"/>
          <w:szCs w:val="20"/>
          <w:color w:val="auto"/>
        </w:rPr>
      </w:pPr>
    </w:p>
    <w:p>
      <w:pPr>
        <w:ind w:left="1420" w:right="279" w:firstLine="338"/>
        <w:spacing w:after="0" w:line="251"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6" w:lineRule="exact"/>
        <w:rPr>
          <w:sz w:val="20"/>
          <w:szCs w:val="20"/>
          <w:color w:val="auto"/>
        </w:rPr>
      </w:pPr>
    </w:p>
    <w:p>
      <w:pPr>
        <w:ind w:left="1420" w:right="599" w:firstLine="338"/>
        <w:spacing w:after="0" w:line="277" w:lineRule="auto"/>
        <w:rPr>
          <w:sz w:val="20"/>
          <w:szCs w:val="20"/>
          <w:color w:val="auto"/>
        </w:rPr>
      </w:pPr>
      <w:r>
        <w:rPr>
          <w:rFonts w:ascii="Times New Roman" w:cs="Times New Roman" w:eastAsia="Times New Roman" w:hAnsi="Times New Roman"/>
          <w:sz w:val="14"/>
          <w:szCs w:val="14"/>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90" w:lineRule="exact"/>
        <w:rPr>
          <w:sz w:val="20"/>
          <w:szCs w:val="20"/>
          <w:color w:val="auto"/>
        </w:rPr>
      </w:pPr>
    </w:p>
    <w:p>
      <w:pPr>
        <w:ind w:left="1420" w:right="519" w:firstLine="338"/>
        <w:spacing w:after="0" w:line="262"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90" w:lineRule="exact"/>
        <w:rPr>
          <w:sz w:val="20"/>
          <w:szCs w:val="20"/>
          <w:color w:val="auto"/>
        </w:rPr>
      </w:pPr>
    </w:p>
    <w:p>
      <w:pPr>
        <w:ind w:left="1420" w:right="319" w:firstLine="338"/>
        <w:spacing w:after="0" w:line="273" w:lineRule="auto"/>
        <w:rPr>
          <w:sz w:val="20"/>
          <w:szCs w:val="20"/>
          <w:color w:val="auto"/>
        </w:rPr>
      </w:pPr>
      <w:r>
        <w:rPr>
          <w:rFonts w:ascii="Times New Roman" w:cs="Times New Roman" w:eastAsia="Times New Roman" w:hAnsi="Times New Roman"/>
          <w:sz w:val="13"/>
          <w:szCs w:val="13"/>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33" w:lineRule="exact"/>
        <w:rPr>
          <w:sz w:val="20"/>
          <w:szCs w:val="20"/>
          <w:color w:val="auto"/>
        </w:rPr>
      </w:pPr>
    </w:p>
    <w:p>
      <w:pPr>
        <w:ind w:left="1420" w:right="299" w:firstLine="338"/>
        <w:spacing w:after="0" w:line="251"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90" w:lineRule="exact"/>
        <w:rPr>
          <w:sz w:val="20"/>
          <w:szCs w:val="20"/>
          <w:color w:val="auto"/>
        </w:rPr>
      </w:pPr>
    </w:p>
    <w:p>
      <w:pPr>
        <w:ind w:left="1420" w:right="359" w:firstLine="338"/>
        <w:spacing w:after="0" w:line="257"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90" w:lineRule="exact"/>
        <w:rPr>
          <w:sz w:val="20"/>
          <w:szCs w:val="20"/>
          <w:color w:val="auto"/>
        </w:rPr>
      </w:pPr>
    </w:p>
    <w:p>
      <w:pPr>
        <w:ind w:left="1420" w:right="299" w:firstLine="338"/>
        <w:spacing w:after="0" w:line="250"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Our charter and bylaws provide that the board of directors will have the exclusive power to adopt, alter or repeal any provision of our bylaws and to make new bylaws.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90" w:lineRule="exact"/>
        <w:rPr>
          <w:sz w:val="20"/>
          <w:szCs w:val="20"/>
          <w:color w:val="auto"/>
        </w:rPr>
      </w:pPr>
    </w:p>
    <w:p>
      <w:pPr>
        <w:ind w:left="1420" w:right="839" w:firstLine="338"/>
        <w:spacing w:after="0" w:line="277"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Our bylaws contain a provision exempting from the Control Share Acquisition Act any and all acquisitions by any person of shares of our stock.</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There can be no assurance that such provision will not be amended or eliminated at any time in the future to the extent permitted by the 1940 Act.</w:t>
      </w:r>
    </w:p>
    <w:p>
      <w:pPr>
        <w:spacing w:after="0" w:line="182" w:lineRule="exact"/>
        <w:rPr>
          <w:sz w:val="20"/>
          <w:szCs w:val="20"/>
          <w:color w:val="auto"/>
        </w:rPr>
      </w:pPr>
    </w:p>
    <w:p>
      <w:pPr>
        <w:ind w:left="1420" w:right="359" w:firstLine="338"/>
        <w:spacing w:after="0" w:line="253" w:lineRule="auto"/>
        <w:rPr>
          <w:sz w:val="20"/>
          <w:szCs w:val="20"/>
          <w:color w:val="auto"/>
        </w:rPr>
      </w:pPr>
      <w:r>
        <w:rPr>
          <w:rFonts w:ascii="Times New Roman" w:cs="Times New Roman" w:eastAsia="Times New Roman" w:hAnsi="Times New Roman"/>
          <w:sz w:val="14"/>
          <w:szCs w:val="14"/>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71" w:lineRule="exact"/>
        <w:rPr>
          <w:sz w:val="20"/>
          <w:szCs w:val="20"/>
          <w:color w:val="auto"/>
        </w:rPr>
      </w:pPr>
    </w:p>
    <w:p>
      <w:pPr>
        <w:ind w:left="2160" w:hanging="33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71" w:lineRule="exact"/>
        <w:rPr>
          <w:sz w:val="20"/>
          <w:szCs w:val="20"/>
          <w:color w:val="auto"/>
        </w:rPr>
      </w:pPr>
    </w:p>
    <w:p>
      <w:pPr>
        <w:ind w:left="1420" w:right="399" w:firstLine="338"/>
        <w:spacing w:after="0" w:line="262"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36" w:lineRule="exact"/>
        <w:rPr>
          <w:sz w:val="20"/>
          <w:szCs w:val="20"/>
          <w:color w:val="auto"/>
        </w:rPr>
      </w:pPr>
    </w:p>
    <w:p>
      <w:pPr>
        <w:ind w:left="1420" w:right="499" w:firstLine="338"/>
        <w:spacing w:after="0" w:line="257"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0" w:lineRule="exact"/>
        <w:rPr>
          <w:sz w:val="20"/>
          <w:szCs w:val="20"/>
          <w:color w:val="auto"/>
        </w:rPr>
      </w:pPr>
    </w:p>
    <w:p>
      <w:pPr>
        <w:ind w:left="1420" w:right="319" w:firstLine="338"/>
        <w:spacing w:after="0" w:line="251"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0" w:lineRule="exact"/>
        <w:rPr>
          <w:sz w:val="20"/>
          <w:szCs w:val="20"/>
          <w:color w:val="auto"/>
        </w:rPr>
      </w:pPr>
    </w:p>
    <w:p>
      <w:pPr>
        <w:ind w:left="1420" w:right="639" w:firstLine="338"/>
        <w:spacing w:after="0" w:line="257"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7" w:lineRule="exact"/>
        <w:rPr>
          <w:sz w:val="20"/>
          <w:szCs w:val="20"/>
          <w:color w:val="auto"/>
        </w:rPr>
      </w:pPr>
    </w:p>
    <w:p>
      <w:pPr>
        <w:ind w:left="2160" w:hanging="33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directly or indirectly, 10% or more of the voting power of the corporation’s shares; or</w:t>
      </w:r>
    </w:p>
    <w:p>
      <w:pPr>
        <w:spacing w:after="0" w:line="98" w:lineRule="exact"/>
        <w:rPr>
          <w:rFonts w:ascii="Times New Roman" w:cs="Times New Roman" w:eastAsia="Times New Roman" w:hAnsi="Times New Roman"/>
          <w:sz w:val="14"/>
          <w:szCs w:val="14"/>
          <w:color w:val="auto"/>
        </w:rPr>
      </w:pPr>
    </w:p>
    <w:p>
      <w:pPr>
        <w:ind w:left="2160" w:right="619" w:hanging="332"/>
        <w:spacing w:after="0" w:line="277"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6" w:lineRule="exact"/>
        <w:rPr>
          <w:sz w:val="20"/>
          <w:szCs w:val="20"/>
          <w:color w:val="auto"/>
        </w:rPr>
      </w:pPr>
    </w:p>
    <w:p>
      <w:pPr>
        <w:jc w:val="both"/>
        <w:ind w:left="1420" w:right="519" w:firstLine="338"/>
        <w:spacing w:after="0" w:line="262"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36"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4" w:lineRule="exact"/>
        <w:rPr>
          <w:sz w:val="20"/>
          <w:szCs w:val="20"/>
          <w:color w:val="auto"/>
        </w:rPr>
      </w:pPr>
    </w:p>
    <w:p>
      <w:pPr>
        <w:ind w:left="2160" w:hanging="33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98" w:lineRule="exact"/>
        <w:rPr>
          <w:rFonts w:ascii="Times New Roman" w:cs="Times New Roman" w:eastAsia="Times New Roman" w:hAnsi="Times New Roman"/>
          <w:sz w:val="14"/>
          <w:szCs w:val="14"/>
          <w:color w:val="auto"/>
        </w:rPr>
      </w:pPr>
    </w:p>
    <w:p>
      <w:pPr>
        <w:ind w:left="2160" w:right="379" w:hanging="332"/>
        <w:spacing w:after="0" w:line="262"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36" w:lineRule="exact"/>
        <w:rPr>
          <w:sz w:val="20"/>
          <w:szCs w:val="20"/>
          <w:color w:val="auto"/>
        </w:rPr>
      </w:pPr>
    </w:p>
    <w:p>
      <w:pPr>
        <w:ind w:left="1420" w:right="359" w:firstLine="338"/>
        <w:spacing w:after="0" w:line="317" w:lineRule="auto"/>
        <w:rPr>
          <w:sz w:val="20"/>
          <w:szCs w:val="20"/>
          <w:color w:val="auto"/>
        </w:rPr>
      </w:pPr>
      <w:r>
        <w:rPr>
          <w:rFonts w:ascii="Times New Roman" w:cs="Times New Roman" w:eastAsia="Times New Roman" w:hAnsi="Times New Roman"/>
          <w:sz w:val="13"/>
          <w:szCs w:val="13"/>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03" w:lineRule="exact"/>
        <w:rPr>
          <w:sz w:val="20"/>
          <w:szCs w:val="20"/>
          <w:color w:val="auto"/>
        </w:rPr>
      </w:pPr>
    </w:p>
    <w:p>
      <w:pPr>
        <w:ind w:left="1420" w:right="299" w:firstLine="338"/>
        <w:spacing w:after="0" w:line="276" w:lineRule="auto"/>
        <w:rPr>
          <w:sz w:val="20"/>
          <w:szCs w:val="20"/>
          <w:color w:val="auto"/>
        </w:rPr>
      </w:pPr>
      <w:r>
        <w:rPr>
          <w:rFonts w:ascii="Times New Roman" w:cs="Times New Roman" w:eastAsia="Times New Roman" w:hAnsi="Times New Roman"/>
          <w:sz w:val="13"/>
          <w:szCs w:val="13"/>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Conflict with 1940 Act</w:t>
      </w:r>
    </w:p>
    <w:p>
      <w:pPr>
        <w:spacing w:after="0" w:line="173" w:lineRule="exact"/>
        <w:rPr>
          <w:sz w:val="20"/>
          <w:szCs w:val="20"/>
          <w:color w:val="auto"/>
        </w:rPr>
      </w:pPr>
    </w:p>
    <w:p>
      <w:pPr>
        <w:ind w:left="1420" w:right="379" w:firstLine="338"/>
        <w:spacing w:after="0" w:line="262" w:lineRule="auto"/>
        <w:rPr>
          <w:sz w:val="20"/>
          <w:szCs w:val="20"/>
          <w:color w:val="auto"/>
        </w:rPr>
      </w:pPr>
      <w:r>
        <w:rPr>
          <w:rFonts w:ascii="Times New Roman" w:cs="Times New Roman" w:eastAsia="Times New Roman" w:hAnsi="Times New Roman"/>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90" w:lineRule="exact"/>
        <w:rPr>
          <w:sz w:val="20"/>
          <w:szCs w:val="20"/>
          <w:color w:val="auto"/>
        </w:rPr>
      </w:pPr>
    </w:p>
    <w:p>
      <w:pPr>
        <w:ind w:left="1420" w:right="379" w:firstLine="338"/>
        <w:spacing w:after="0" w:line="272" w:lineRule="auto"/>
        <w:rPr>
          <w:sz w:val="20"/>
          <w:szCs w:val="20"/>
          <w:color w:val="auto"/>
        </w:rPr>
      </w:pPr>
      <w:r>
        <w:rPr>
          <w:rFonts w:ascii="Times New Roman" w:cs="Times New Roman" w:eastAsia="Times New Roman" w:hAnsi="Times New Roman"/>
          <w:sz w:val="13"/>
          <w:szCs w:val="13"/>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w:t>
      </w:r>
    </w:p>
    <w:p>
      <w:pPr>
        <w:spacing w:after="0" w:line="1" w:lineRule="exact"/>
        <w:rPr>
          <w:sz w:val="20"/>
          <w:szCs w:val="20"/>
          <w:color w:val="auto"/>
        </w:rPr>
      </w:pPr>
    </w:p>
    <w:p>
      <w:pPr>
        <w:ind w:left="1420" w:right="319" w:hanging="7"/>
        <w:spacing w:after="0" w:line="249" w:lineRule="auto"/>
        <w:tabs>
          <w:tab w:leader="none" w:pos="160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PREFERRED STOCK</w:t>
      </w:r>
    </w:p>
    <w:p>
      <w:pPr>
        <w:spacing w:after="0" w:line="173" w:lineRule="exact"/>
        <w:rPr>
          <w:sz w:val="20"/>
          <w:szCs w:val="20"/>
          <w:color w:val="auto"/>
        </w:rPr>
      </w:pPr>
    </w:p>
    <w:p>
      <w:pPr>
        <w:ind w:left="1420" w:right="339" w:firstLine="338"/>
        <w:spacing w:after="0" w:line="252" w:lineRule="auto"/>
        <w:rPr>
          <w:sz w:val="20"/>
          <w:szCs w:val="20"/>
          <w:color w:val="auto"/>
        </w:rPr>
      </w:pPr>
      <w:r>
        <w:rPr>
          <w:rFonts w:ascii="Times New Roman" w:cs="Times New Roman" w:eastAsia="Times New Roman" w:hAnsi="Times New Roman"/>
          <w:sz w:val="14"/>
          <w:szCs w:val="14"/>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44" w:lineRule="exact"/>
        <w:rPr>
          <w:sz w:val="20"/>
          <w:szCs w:val="20"/>
          <w:color w:val="auto"/>
        </w:rPr>
      </w:pPr>
    </w:p>
    <w:p>
      <w:pPr>
        <w:ind w:left="1420" w:right="439" w:firstLine="338"/>
        <w:spacing w:after="0" w:line="274" w:lineRule="auto"/>
        <w:rPr>
          <w:sz w:val="20"/>
          <w:szCs w:val="20"/>
          <w:color w:val="auto"/>
        </w:rPr>
      </w:pPr>
      <w:r>
        <w:rPr>
          <w:rFonts w:ascii="Times New Roman" w:cs="Times New Roman" w:eastAsia="Times New Roman" w:hAnsi="Times New Roman"/>
          <w:sz w:val="13"/>
          <w:szCs w:val="13"/>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33" w:lineRule="exact"/>
        <w:rPr>
          <w:sz w:val="20"/>
          <w:szCs w:val="20"/>
          <w:color w:val="auto"/>
        </w:rPr>
      </w:pPr>
    </w:p>
    <w:p>
      <w:pPr>
        <w:ind w:left="1420" w:right="519" w:firstLine="338"/>
        <w:spacing w:after="0" w:line="277"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of directors will determine and the prospectus supplement relating to such series will describe:</w:t>
      </w:r>
    </w:p>
    <w:p>
      <w:pPr>
        <w:spacing w:after="0" w:line="54" w:lineRule="exact"/>
        <w:rPr>
          <w:sz w:val="20"/>
          <w:szCs w:val="20"/>
          <w:color w:val="auto"/>
        </w:rPr>
      </w:pPr>
    </w:p>
    <w:p>
      <w:pPr>
        <w:ind w:left="2160" w:hanging="33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98" w:lineRule="exact"/>
        <w:rPr>
          <w:rFonts w:ascii="Times New Roman" w:cs="Times New Roman" w:eastAsia="Times New Roman" w:hAnsi="Times New Roman"/>
          <w:sz w:val="14"/>
          <w:szCs w:val="14"/>
          <w:color w:val="auto"/>
        </w:rPr>
      </w:pPr>
    </w:p>
    <w:p>
      <w:pPr>
        <w:ind w:left="2160" w:right="379" w:hanging="332"/>
        <w:spacing w:after="0" w:line="277"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hanging="33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the redemption of the shares of such series;</w:t>
      </w:r>
    </w:p>
    <w:p>
      <w:pPr>
        <w:spacing w:after="0" w:line="98"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dividends or make distributions on, or acquire or redeem, other securities while shares of such series are outstanding;</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or restrictions on our ability to issue additional shares of such series or other securities;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8" w:lineRule="exact"/>
        <w:rPr>
          <w:rFonts w:ascii="Times New Roman" w:cs="Times New Roman" w:eastAsia="Times New Roman" w:hAnsi="Times New Roman"/>
          <w:sz w:val="14"/>
          <w:szCs w:val="14"/>
          <w:color w:val="auto"/>
        </w:rPr>
      </w:pPr>
    </w:p>
    <w:p>
      <w:pPr>
        <w:ind w:left="2160" w:right="319" w:hanging="332"/>
        <w:spacing w:after="0" w:line="277"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 preferences and participating, optional or special rights of shares of such series, and the qualifications, limitations or restrictions thereof.</w:t>
      </w:r>
    </w:p>
    <w:p>
      <w:pPr>
        <w:spacing w:after="0" w:line="126" w:lineRule="exact"/>
        <w:rPr>
          <w:sz w:val="20"/>
          <w:szCs w:val="20"/>
          <w:color w:val="auto"/>
        </w:rPr>
      </w:pPr>
    </w:p>
    <w:p>
      <w:pPr>
        <w:ind w:left="1420" w:right="359" w:firstLine="338"/>
        <w:spacing w:after="0" w:line="253" w:lineRule="auto"/>
        <w:rPr>
          <w:sz w:val="20"/>
          <w:szCs w:val="20"/>
          <w:color w:val="auto"/>
        </w:rPr>
      </w:pPr>
      <w:r>
        <w:rPr>
          <w:rFonts w:ascii="Times New Roman" w:cs="Times New Roman" w:eastAsia="Times New Roman" w:hAnsi="Times New Roman"/>
          <w:sz w:val="14"/>
          <w:szCs w:val="14"/>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WARRANTS</w:t>
      </w:r>
    </w:p>
    <w:p>
      <w:pPr>
        <w:spacing w:after="0" w:line="173"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26" w:lineRule="exact"/>
        <w:rPr>
          <w:sz w:val="20"/>
          <w:szCs w:val="20"/>
          <w:color w:val="auto"/>
        </w:rPr>
      </w:pPr>
    </w:p>
    <w:p>
      <w:pPr>
        <w:ind w:left="1420" w:right="359" w:firstLine="338"/>
        <w:spacing w:after="0" w:line="257" w:lineRule="auto"/>
        <w:rPr>
          <w:sz w:val="20"/>
          <w:szCs w:val="20"/>
          <w:color w:val="auto"/>
        </w:rPr>
      </w:pPr>
      <w:r>
        <w:rPr>
          <w:rFonts w:ascii="Times New Roman" w:cs="Times New Roman" w:eastAsia="Times New Roman" w:hAnsi="Times New Roman"/>
          <w:sz w:val="14"/>
          <w:szCs w:val="14"/>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A prospectus supplement will describe the particular terms of any series of warrants we may issue, including the following:</w:t>
      </w:r>
    </w:p>
    <w:p>
      <w:pPr>
        <w:spacing w:after="0" w:line="98" w:lineRule="exact"/>
        <w:rPr>
          <w:sz w:val="20"/>
          <w:szCs w:val="20"/>
          <w:color w:val="auto"/>
        </w:rPr>
      </w:pPr>
    </w:p>
    <w:p>
      <w:pPr>
        <w:ind w:left="2160" w:hanging="33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price of such warrants may be payable;</w:t>
      </w:r>
    </w:p>
    <w:p>
      <w:pPr>
        <w:spacing w:after="0" w:line="98" w:lineRule="exact"/>
        <w:rPr>
          <w:rFonts w:ascii="Times New Roman" w:cs="Times New Roman" w:eastAsia="Times New Roman" w:hAnsi="Times New Roman"/>
          <w:sz w:val="14"/>
          <w:szCs w:val="14"/>
          <w:color w:val="auto"/>
        </w:rPr>
      </w:pPr>
    </w:p>
    <w:p>
      <w:pPr>
        <w:ind w:left="2160" w:right="459" w:hanging="332"/>
        <w:spacing w:after="0" w:line="277"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2160" w:right="299" w:hanging="332"/>
        <w:spacing w:after="0" w:line="262"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63" w:lineRule="exact"/>
        <w:rPr>
          <w:rFonts w:ascii="Times New Roman" w:cs="Times New Roman" w:eastAsia="Times New Roman" w:hAnsi="Times New Roman"/>
          <w:sz w:val="14"/>
          <w:szCs w:val="14"/>
          <w:color w:val="auto"/>
        </w:rPr>
      </w:pPr>
    </w:p>
    <w:p>
      <w:pPr>
        <w:jc w:val="both"/>
        <w:ind w:left="2160" w:right="299" w:hanging="332"/>
        <w:spacing w:after="0" w:line="262"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will commence and the date on which such right will expire;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warrants will be issued in registered form or bearer form;</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left="1420" w:right="379" w:firstLine="338"/>
        <w:spacing w:after="0" w:line="262" w:lineRule="auto"/>
        <w:rPr>
          <w:sz w:val="20"/>
          <w:szCs w:val="20"/>
          <w:color w:val="auto"/>
        </w:rPr>
      </w:pPr>
      <w:r>
        <w:rPr>
          <w:rFonts w:ascii="Times New Roman" w:cs="Times New Roman" w:eastAsia="Times New Roman" w:hAnsi="Times New Roman"/>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6" w:lineRule="exact"/>
        <w:rPr>
          <w:sz w:val="20"/>
          <w:szCs w:val="20"/>
          <w:color w:val="auto"/>
        </w:rPr>
      </w:pPr>
    </w:p>
    <w:p>
      <w:pPr>
        <w:jc w:val="both"/>
        <w:ind w:left="1420" w:right="399" w:firstLine="338"/>
        <w:spacing w:after="0" w:line="283" w:lineRule="auto"/>
        <w:rPr>
          <w:sz w:val="20"/>
          <w:szCs w:val="20"/>
          <w:color w:val="auto"/>
        </w:rPr>
      </w:pPr>
      <w:r>
        <w:rPr>
          <w:rFonts w:ascii="Times New Roman" w:cs="Times New Roman" w:eastAsia="Times New Roman" w:hAnsi="Times New Roman"/>
          <w:sz w:val="13"/>
          <w:szCs w:val="13"/>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24" w:lineRule="exact"/>
        <w:rPr>
          <w:sz w:val="20"/>
          <w:szCs w:val="20"/>
          <w:color w:val="auto"/>
        </w:rPr>
      </w:pPr>
    </w:p>
    <w:p>
      <w:pPr>
        <w:ind w:left="1420" w:right="299" w:firstLine="338"/>
        <w:spacing w:after="0" w:line="251" w:lineRule="auto"/>
        <w:rPr>
          <w:sz w:val="20"/>
          <w:szCs w:val="20"/>
          <w:color w:val="auto"/>
        </w:rPr>
      </w:pPr>
      <w:r>
        <w:rPr>
          <w:rFonts w:ascii="Times New Roman" w:cs="Times New Roman" w:eastAsia="Times New Roman" w:hAnsi="Times New Roman"/>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SUBSCRIPTION RIGHTS</w:t>
      </w:r>
    </w:p>
    <w:p>
      <w:pPr>
        <w:spacing w:after="0" w:line="173" w:lineRule="exact"/>
        <w:rPr>
          <w:sz w:val="20"/>
          <w:szCs w:val="20"/>
          <w:color w:val="auto"/>
        </w:rPr>
      </w:pPr>
    </w:p>
    <w:p>
      <w:pPr>
        <w:ind w:left="1420" w:right="359" w:firstLine="338"/>
        <w:spacing w:after="0" w:line="252" w:lineRule="auto"/>
        <w:rPr>
          <w:sz w:val="20"/>
          <w:szCs w:val="20"/>
          <w:color w:val="auto"/>
        </w:rPr>
      </w:pPr>
      <w:r>
        <w:rPr>
          <w:rFonts w:ascii="Times New Roman" w:cs="Times New Roman" w:eastAsia="Times New Roman" w:hAnsi="Times New Roman"/>
          <w:sz w:val="14"/>
          <w:szCs w:val="14"/>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419"/>
        <w:spacing w:after="0" w:line="262" w:lineRule="auto"/>
        <w:rPr>
          <w:sz w:val="20"/>
          <w:szCs w:val="20"/>
          <w:color w:val="auto"/>
        </w:rPr>
      </w:pPr>
      <w:r>
        <w:rPr>
          <w:rFonts w:ascii="Times New Roman" w:cs="Times New Roman" w:eastAsia="Times New Roman" w:hAnsi="Times New Roman"/>
          <w:sz w:val="14"/>
          <w:szCs w:val="14"/>
          <w:color w:val="auto"/>
        </w:rPr>
        <w:t>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36" w:lineRule="exact"/>
        <w:rPr>
          <w:sz w:val="20"/>
          <w:szCs w:val="20"/>
          <w:color w:val="auto"/>
        </w:rPr>
      </w:pPr>
    </w:p>
    <w:p>
      <w:pPr>
        <w:ind w:left="1420" w:right="679" w:firstLine="338"/>
        <w:spacing w:after="0" w:line="277" w:lineRule="auto"/>
        <w:rPr>
          <w:sz w:val="20"/>
          <w:szCs w:val="20"/>
          <w:color w:val="auto"/>
        </w:rPr>
      </w:pPr>
      <w:r>
        <w:rPr>
          <w:rFonts w:ascii="Times New Roman" w:cs="Times New Roman" w:eastAsia="Times New Roman" w:hAnsi="Times New Roman"/>
          <w:sz w:val="14"/>
          <w:szCs w:val="14"/>
          <w:color w:val="auto"/>
        </w:rPr>
        <w:t>The applicable prospectus supplement would describe the following terms of subscription rights in respect of which this prospectus is being delivered:</w:t>
      </w:r>
    </w:p>
    <w:p>
      <w:pPr>
        <w:spacing w:after="0" w:line="54" w:lineRule="exact"/>
        <w:rPr>
          <w:sz w:val="20"/>
          <w:szCs w:val="20"/>
          <w:color w:val="auto"/>
        </w:rPr>
      </w:pPr>
    </w:p>
    <w:p>
      <w:pPr>
        <w:ind w:left="2160" w:hanging="33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subscription rights;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or a formula for the determination of the exercise price for such subscription rights;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or a formula for the determination of the number of such subscription rights issued to each stockholder;</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are transferable;</w:t>
      </w:r>
    </w:p>
    <w:p>
      <w:pPr>
        <w:spacing w:after="0" w:line="98" w:lineRule="exact"/>
        <w:rPr>
          <w:rFonts w:ascii="Times New Roman" w:cs="Times New Roman" w:eastAsia="Times New Roman" w:hAnsi="Times New Roman"/>
          <w:sz w:val="14"/>
          <w:szCs w:val="14"/>
          <w:color w:val="auto"/>
        </w:rPr>
      </w:pPr>
    </w:p>
    <w:p>
      <w:pPr>
        <w:ind w:left="2160" w:right="319" w:hanging="332"/>
        <w:spacing w:after="0" w:line="277"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the material U.S. federal income tax considerations applicable to the issuance or exercise of such subscription rights;</w:t>
      </w:r>
    </w:p>
    <w:p>
      <w:pPr>
        <w:spacing w:after="0" w:line="53" w:lineRule="exact"/>
        <w:rPr>
          <w:rFonts w:ascii="Times New Roman" w:cs="Times New Roman" w:eastAsia="Times New Roman" w:hAnsi="Times New Roman"/>
          <w:sz w:val="14"/>
          <w:szCs w:val="14"/>
          <w:color w:val="auto"/>
        </w:rPr>
      </w:pPr>
    </w:p>
    <w:p>
      <w:pPr>
        <w:ind w:left="2160" w:right="359" w:hanging="332"/>
        <w:spacing w:after="0" w:line="277"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subscription rights would commence, and the date on which such rights will expire (subject to any extension);</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include an over-subscription privilege with respect to unsubscribed securities;</w:t>
      </w:r>
    </w:p>
    <w:p>
      <w:pPr>
        <w:spacing w:after="0" w:line="98"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other purchase arrangement that we may enter into in connection with the subscription rights offering; and</w:t>
      </w:r>
    </w:p>
    <w:p>
      <w:pPr>
        <w:spacing w:after="0" w:line="53" w:lineRule="exact"/>
        <w:rPr>
          <w:rFonts w:ascii="Times New Roman" w:cs="Times New Roman" w:eastAsia="Times New Roman" w:hAnsi="Times New Roman"/>
          <w:sz w:val="14"/>
          <w:szCs w:val="14"/>
          <w:color w:val="auto"/>
        </w:rPr>
      </w:pPr>
    </w:p>
    <w:p>
      <w:pPr>
        <w:ind w:left="2160" w:right="659" w:hanging="332"/>
        <w:spacing w:after="0" w:line="277"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subscription rights, including terms, procedures and limitations relating to the exchange and exercise of such subscription rights.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Exercise of Subscription Rights</w:t>
      </w:r>
    </w:p>
    <w:p>
      <w:pPr>
        <w:spacing w:after="0" w:line="173" w:lineRule="exact"/>
        <w:rPr>
          <w:sz w:val="20"/>
          <w:szCs w:val="20"/>
          <w:color w:val="auto"/>
        </w:rPr>
      </w:pPr>
    </w:p>
    <w:p>
      <w:pPr>
        <w:ind w:left="1420" w:right="399" w:firstLine="338"/>
        <w:spacing w:after="0" w:line="254" w:lineRule="auto"/>
        <w:rPr>
          <w:sz w:val="20"/>
          <w:szCs w:val="20"/>
          <w:color w:val="auto"/>
        </w:rPr>
      </w:pPr>
      <w:r>
        <w:rPr>
          <w:rFonts w:ascii="Times New Roman" w:cs="Times New Roman" w:eastAsia="Times New Roman" w:hAnsi="Times New Roman"/>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4" w:lineRule="exact"/>
        <w:rPr>
          <w:sz w:val="20"/>
          <w:szCs w:val="20"/>
          <w:color w:val="auto"/>
        </w:rPr>
      </w:pPr>
    </w:p>
    <w:p>
      <w:pPr>
        <w:ind w:left="1420" w:right="319" w:firstLine="338"/>
        <w:spacing w:after="0" w:line="253" w:lineRule="auto"/>
        <w:rPr>
          <w:sz w:val="20"/>
          <w:szCs w:val="20"/>
          <w:color w:val="auto"/>
        </w:rPr>
      </w:pPr>
      <w:r>
        <w:rPr>
          <w:rFonts w:ascii="Times New Roman" w:cs="Times New Roman" w:eastAsia="Times New Roman" w:hAnsi="Times New Roman"/>
          <w:sz w:val="14"/>
          <w:szCs w:val="14"/>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73" w:lineRule="exact"/>
        <w:rPr>
          <w:sz w:val="20"/>
          <w:szCs w:val="20"/>
          <w:color w:val="auto"/>
        </w:rPr>
      </w:pPr>
    </w:p>
    <w:p>
      <w:pPr>
        <w:ind w:left="1420" w:right="359" w:firstLine="338"/>
        <w:spacing w:after="0" w:line="277" w:lineRule="auto"/>
        <w:rPr>
          <w:sz w:val="20"/>
          <w:szCs w:val="20"/>
          <w:color w:val="auto"/>
        </w:rPr>
      </w:pPr>
      <w:r>
        <w:rPr>
          <w:rFonts w:ascii="Times New Roman" w:cs="Times New Roman" w:eastAsia="Times New Roman" w:hAnsi="Times New Roman"/>
          <w:sz w:val="14"/>
          <w:szCs w:val="14"/>
          <w:color w:val="auto"/>
        </w:rPr>
        <w:t>In November 2017, we issued $138.6 million in aggregate principal amount of our 2023 Notes. The 2023 Notes were issued pursuant to a deed of trust between the Company and Mishmeret Trust Company, Ltd. as trustee.</w:t>
      </w:r>
    </w:p>
    <w:p>
      <w:pPr>
        <w:spacing w:after="0" w:line="126"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40" w:lineRule="exact"/>
        <w:rPr>
          <w:sz w:val="20"/>
          <w:szCs w:val="20"/>
          <w:color w:val="auto"/>
        </w:rPr>
      </w:pPr>
    </w:p>
    <w:p>
      <w:pPr>
        <w:ind w:left="1420" w:right="319" w:firstLine="338"/>
        <w:spacing w:after="0" w:line="257"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40" w:lineRule="exact"/>
        <w:rPr>
          <w:sz w:val="20"/>
          <w:szCs w:val="20"/>
          <w:color w:val="auto"/>
        </w:rPr>
      </w:pPr>
    </w:p>
    <w:p>
      <w:pPr>
        <w:ind w:left="1420" w:right="679" w:firstLine="338"/>
        <w:spacing w:after="0" w:line="277"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26" w:lineRule="exact"/>
        <w:rPr>
          <w:sz w:val="20"/>
          <w:szCs w:val="20"/>
          <w:color w:val="auto"/>
        </w:rPr>
      </w:pPr>
    </w:p>
    <w:p>
      <w:pPr>
        <w:ind w:left="1420" w:right="299" w:firstLine="338"/>
        <w:spacing w:after="0" w:line="254"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American Stock Transfer &amp; Trust Company, LLC, or AST, as trustee, as supplemented by the First Supplemental Indenture, dated March 23, 2021, between the Company and AST. The 2026 Notes are due on April 1, 2026 and may be redeemed in whole or in part at the Company’s option.</w:t>
      </w:r>
    </w:p>
    <w:p>
      <w:pPr>
        <w:spacing w:after="0" w:line="144" w:lineRule="exact"/>
        <w:rPr>
          <w:sz w:val="20"/>
          <w:szCs w:val="20"/>
          <w:color w:val="auto"/>
        </w:rPr>
      </w:pPr>
    </w:p>
    <w:p>
      <w:pPr>
        <w:ind w:left="1420" w:right="379" w:firstLine="338"/>
        <w:spacing w:after="0" w:line="252" w:lineRule="auto"/>
        <w:rPr>
          <w:sz w:val="20"/>
          <w:szCs w:val="20"/>
          <w:color w:val="auto"/>
        </w:rPr>
      </w:pPr>
      <w:r>
        <w:rPr>
          <w:rFonts w:ascii="Times New Roman" w:cs="Times New Roman" w:eastAsia="Times New Roman" w:hAnsi="Times New Roman"/>
          <w:sz w:val="14"/>
          <w:szCs w:val="14"/>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44" w:lineRule="exact"/>
        <w:rPr>
          <w:sz w:val="20"/>
          <w:szCs w:val="20"/>
          <w:color w:val="auto"/>
        </w:rPr>
      </w:pPr>
    </w:p>
    <w:p>
      <w:pPr>
        <w:ind w:left="1420" w:right="479" w:firstLine="338"/>
        <w:spacing w:after="0" w:line="257" w:lineRule="auto"/>
        <w:rPr>
          <w:sz w:val="20"/>
          <w:szCs w:val="20"/>
          <w:color w:val="auto"/>
        </w:rPr>
      </w:pPr>
      <w:r>
        <w:rPr>
          <w:rFonts w:ascii="Times New Roman" w:cs="Times New Roman" w:eastAsia="Times New Roman" w:hAnsi="Times New Roman"/>
          <w:sz w:val="14"/>
          <w:szCs w:val="14"/>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0" w:lineRule="exact"/>
        <w:rPr>
          <w:sz w:val="20"/>
          <w:szCs w:val="20"/>
          <w:color w:val="auto"/>
        </w:rPr>
      </w:pPr>
    </w:p>
    <w:p>
      <w:pPr>
        <w:ind w:left="1420" w:right="299" w:firstLine="338"/>
        <w:spacing w:after="0" w:line="279" w:lineRule="auto"/>
        <w:rPr>
          <w:sz w:val="20"/>
          <w:szCs w:val="20"/>
          <w:color w:val="auto"/>
        </w:rPr>
      </w:pPr>
      <w:r>
        <w:rPr>
          <w:rFonts w:ascii="Times New Roman" w:cs="Times New Roman" w:eastAsia="Times New Roman" w:hAnsi="Times New Roman"/>
          <w:sz w:val="13"/>
          <w:szCs w:val="13"/>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firstLine="338"/>
        <w:spacing w:after="0" w:line="254" w:lineRule="auto"/>
        <w:rPr>
          <w:sz w:val="20"/>
          <w:szCs w:val="20"/>
          <w:color w:val="auto"/>
        </w:rPr>
      </w:pPr>
      <w:r>
        <w:rPr>
          <w:rFonts w:ascii="Times New Roman" w:cs="Times New Roman" w:eastAsia="Times New Roman" w:hAnsi="Times New Roman"/>
          <w:sz w:val="14"/>
          <w:szCs w:val="14"/>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44" w:lineRule="exact"/>
        <w:rPr>
          <w:sz w:val="20"/>
          <w:szCs w:val="20"/>
          <w:color w:val="auto"/>
        </w:rPr>
      </w:pPr>
    </w:p>
    <w:p>
      <w:pPr>
        <w:ind w:left="1420" w:right="319" w:firstLine="338"/>
        <w:spacing w:after="0" w:line="277" w:lineRule="auto"/>
        <w:rPr>
          <w:sz w:val="20"/>
          <w:szCs w:val="20"/>
          <w:color w:val="auto"/>
        </w:rPr>
      </w:pPr>
      <w:r>
        <w:rPr>
          <w:rFonts w:ascii="Times New Roman" w:cs="Times New Roman" w:eastAsia="Times New Roman" w:hAnsi="Times New Roman"/>
          <w:sz w:val="14"/>
          <w:szCs w:val="14"/>
          <w:color w:val="auto"/>
        </w:rPr>
        <w:t>A prospectus supplement, which will accompany this prospectus with respect to a particular offering of debt securities, will describe the particular series of debt securities being offered by including:</w:t>
      </w:r>
    </w:p>
    <w:p>
      <w:pPr>
        <w:spacing w:after="0" w:line="54" w:lineRule="exact"/>
        <w:rPr>
          <w:sz w:val="20"/>
          <w:szCs w:val="20"/>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or title of the series of debt securities;</w:t>
      </w:r>
    </w:p>
    <w:p>
      <w:pPr>
        <w:spacing w:after="0" w:line="98"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series of debt securities and whether or not the offering may be reopened for additional securities of that series and on what terms;</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series of debt securities will be offered;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will be payable;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either fixed or variable) and/or the method of determining such rate or rates of interest, if any;</w:t>
      </w:r>
    </w:p>
    <w:p>
      <w:pPr>
        <w:spacing w:after="0" w:line="98"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of determining such date or dates, and the date or dates on which any interest will be payable;</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redemption, extension or early repayment, if any;</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series of debt securities are issued and payable;</w:t>
      </w:r>
    </w:p>
    <w:p>
      <w:pPr>
        <w:spacing w:after="0" w:line="98" w:lineRule="exact"/>
        <w:rPr>
          <w:rFonts w:ascii="Times New Roman" w:cs="Times New Roman" w:eastAsia="Times New Roman" w:hAnsi="Times New Roman"/>
          <w:sz w:val="14"/>
          <w:szCs w:val="14"/>
          <w:color w:val="auto"/>
        </w:rPr>
      </w:pPr>
    </w:p>
    <w:p>
      <w:pPr>
        <w:ind w:left="2160" w:right="299" w:hanging="332"/>
        <w:spacing w:after="0" w:line="262"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63" w:lineRule="exact"/>
        <w:rPr>
          <w:rFonts w:ascii="Times New Roman" w:cs="Times New Roman" w:eastAsia="Times New Roman" w:hAnsi="Times New Roman"/>
          <w:sz w:val="14"/>
          <w:szCs w:val="14"/>
          <w:color w:val="auto"/>
        </w:rPr>
      </w:pPr>
    </w:p>
    <w:p>
      <w:pPr>
        <w:ind w:left="2160" w:right="359" w:hanging="332"/>
        <w:spacing w:after="0" w:line="27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City of New York, of payment, transfer, conversion and/or exchange of the debt securities;</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offered debt securities will be issued;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any sinking fund;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series of debt securities are issuable in certificated form;</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defeasance or covenant defeasance;</w:t>
      </w:r>
    </w:p>
    <w:p>
      <w:pPr>
        <w:spacing w:after="0" w:line="98" w:lineRule="exact"/>
        <w:rPr>
          <w:rFonts w:ascii="Times New Roman" w:cs="Times New Roman" w:eastAsia="Times New Roman" w:hAnsi="Times New Roman"/>
          <w:sz w:val="14"/>
          <w:szCs w:val="14"/>
          <w:color w:val="auto"/>
        </w:rPr>
      </w:pPr>
    </w:p>
    <w:p>
      <w:pPr>
        <w:ind w:left="2160" w:right="419" w:hanging="332"/>
        <w:spacing w:after="0" w:line="27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federal income tax implications, including, if applicable, federal income tax considerations relating to original issue discount, or OID;</w:t>
      </w:r>
    </w:p>
    <w:p>
      <w:pPr>
        <w:spacing w:after="0" w:line="53" w:lineRule="exact"/>
        <w:rPr>
          <w:rFonts w:ascii="Times New Roman" w:cs="Times New Roman" w:eastAsia="Times New Roman" w:hAnsi="Times New Roman"/>
          <w:sz w:val="14"/>
          <w:szCs w:val="14"/>
          <w:color w:val="auto"/>
        </w:rPr>
      </w:pPr>
    </w:p>
    <w:p>
      <w:pPr>
        <w:ind w:left="2160" w:right="319" w:hanging="332"/>
        <w:spacing w:after="0" w:line="27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convertibility or exchangeability of the debt securities into or for any other securities;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subject to subordination and the terms of such subordination;</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listing, if any, on a securities exchange;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2"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20" w:right="399" w:firstLine="338"/>
        <w:spacing w:after="0" w:line="262" w:lineRule="auto"/>
        <w:rPr>
          <w:sz w:val="20"/>
          <w:szCs w:val="20"/>
          <w:color w:val="auto"/>
        </w:rPr>
      </w:pPr>
      <w:r>
        <w:rPr>
          <w:rFonts w:ascii="Times New Roman" w:cs="Times New Roman" w:eastAsia="Times New Roman" w:hAnsi="Times New Roman"/>
          <w:sz w:val="14"/>
          <w:szCs w:val="14"/>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36" w:lineRule="exact"/>
        <w:rPr>
          <w:sz w:val="20"/>
          <w:szCs w:val="20"/>
          <w:color w:val="auto"/>
        </w:rPr>
      </w:pPr>
    </w:p>
    <w:p>
      <w:pPr>
        <w:ind w:left="1420" w:right="739" w:firstLine="338"/>
        <w:spacing w:after="0" w:line="277" w:lineRule="auto"/>
        <w:rPr>
          <w:sz w:val="20"/>
          <w:szCs w:val="20"/>
          <w:color w:val="auto"/>
        </w:rPr>
      </w:pPr>
      <w:r>
        <w:rPr>
          <w:rFonts w:ascii="Times New Roman" w:cs="Times New Roman" w:eastAsia="Times New Roman" w:hAnsi="Times New Roman"/>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26" w:lineRule="exact"/>
        <w:rPr>
          <w:sz w:val="20"/>
          <w:szCs w:val="20"/>
          <w:color w:val="auto"/>
        </w:rPr>
      </w:pPr>
    </w:p>
    <w:p>
      <w:pPr>
        <w:ind w:left="1420" w:right="379" w:firstLine="338"/>
        <w:spacing w:after="0" w:line="251" w:lineRule="auto"/>
        <w:rPr>
          <w:sz w:val="20"/>
          <w:szCs w:val="20"/>
          <w:color w:val="auto"/>
        </w:rPr>
      </w:pPr>
      <w:r>
        <w:rPr>
          <w:rFonts w:ascii="Times New Roman" w:cs="Times New Roman" w:eastAsia="Times New Roman" w:hAnsi="Times New Roman"/>
          <w:sz w:val="14"/>
          <w:szCs w:val="14"/>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46" w:lineRule="exact"/>
        <w:rPr>
          <w:sz w:val="20"/>
          <w:szCs w:val="20"/>
          <w:color w:val="auto"/>
        </w:rPr>
      </w:pPr>
    </w:p>
    <w:p>
      <w:pPr>
        <w:ind w:left="1420" w:right="359" w:firstLine="338"/>
        <w:spacing w:after="0" w:line="277" w:lineRule="auto"/>
        <w:rPr>
          <w:sz w:val="20"/>
          <w:szCs w:val="20"/>
          <w:color w:val="auto"/>
        </w:rPr>
      </w:pPr>
      <w:r>
        <w:rPr>
          <w:rFonts w:ascii="Times New Roman" w:cs="Times New Roman" w:eastAsia="Times New Roman" w:hAnsi="Times New Roman"/>
          <w:sz w:val="14"/>
          <w:szCs w:val="14"/>
          <w:color w:val="auto"/>
        </w:rPr>
        <w:t>The indenture does not contain any provisions that give you protection in the event we issue a large amount of debt or we are acquired by another entity.</w:t>
      </w:r>
    </w:p>
    <w:p>
      <w:pPr>
        <w:spacing w:after="0" w:line="126" w:lineRule="exact"/>
        <w:rPr>
          <w:sz w:val="20"/>
          <w:szCs w:val="20"/>
          <w:color w:val="auto"/>
        </w:rPr>
      </w:pPr>
    </w:p>
    <w:p>
      <w:pPr>
        <w:ind w:left="1420" w:right="319" w:firstLine="338"/>
        <w:spacing w:after="0" w:line="277" w:lineRule="auto"/>
        <w:rPr>
          <w:sz w:val="20"/>
          <w:szCs w:val="20"/>
          <w:color w:val="auto"/>
        </w:rPr>
      </w:pPr>
      <w:r>
        <w:rPr>
          <w:rFonts w:ascii="Times New Roman" w:cs="Times New Roman" w:eastAsia="Times New Roman" w:hAnsi="Times New Roman"/>
          <w:sz w:val="14"/>
          <w:szCs w:val="14"/>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6" w:lineRule="exact"/>
        <w:rPr>
          <w:sz w:val="20"/>
          <w:szCs w:val="20"/>
          <w:color w:val="auto"/>
        </w:rPr>
      </w:pPr>
    </w:p>
    <w:p>
      <w:pPr>
        <w:ind w:left="1420" w:right="359" w:firstLine="338"/>
        <w:spacing w:after="0" w:line="262"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36" w:lineRule="exact"/>
        <w:rPr>
          <w:sz w:val="20"/>
          <w:szCs w:val="20"/>
          <w:color w:val="auto"/>
        </w:rPr>
      </w:pPr>
    </w:p>
    <w:p>
      <w:pPr>
        <w:ind w:left="1420" w:right="479" w:firstLine="338"/>
        <w:spacing w:after="0" w:line="254" w:lineRule="auto"/>
        <w:rPr>
          <w:sz w:val="20"/>
          <w:szCs w:val="20"/>
          <w:color w:val="auto"/>
        </w:rPr>
      </w:pPr>
      <w:r>
        <w:rPr>
          <w:rFonts w:ascii="Times New Roman" w:cs="Times New Roman" w:eastAsia="Times New Roman" w:hAnsi="Times New Roman"/>
          <w:sz w:val="14"/>
          <w:szCs w:val="14"/>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90" w:lineRule="exact"/>
        <w:rPr>
          <w:sz w:val="20"/>
          <w:szCs w:val="20"/>
          <w:color w:val="auto"/>
        </w:rPr>
      </w:pPr>
    </w:p>
    <w:p>
      <w:pPr>
        <w:jc w:val="both"/>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459"/>
        <w:spacing w:after="0" w:line="257" w:lineRule="auto"/>
        <w:rPr>
          <w:sz w:val="20"/>
          <w:szCs w:val="20"/>
          <w:color w:val="auto"/>
        </w:rPr>
      </w:pPr>
      <w:r>
        <w:rPr>
          <w:rFonts w:ascii="Times New Roman" w:cs="Times New Roman" w:eastAsia="Times New Roman" w:hAnsi="Times New Roman"/>
          <w:sz w:val="14"/>
          <w:szCs w:val="14"/>
          <w:color w:val="auto"/>
        </w:rPr>
        <w:t>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Issuance of Securities in Registered Form</w:t>
      </w:r>
    </w:p>
    <w:p>
      <w:pPr>
        <w:spacing w:after="0" w:line="90" w:lineRule="exact"/>
        <w:rPr>
          <w:sz w:val="20"/>
          <w:szCs w:val="20"/>
          <w:color w:val="auto"/>
        </w:rPr>
      </w:pPr>
    </w:p>
    <w:p>
      <w:pPr>
        <w:ind w:left="1420" w:right="419" w:firstLine="338"/>
        <w:spacing w:after="0" w:line="262" w:lineRule="auto"/>
        <w:rPr>
          <w:sz w:val="20"/>
          <w:szCs w:val="20"/>
          <w:color w:val="auto"/>
        </w:rPr>
      </w:pPr>
      <w:r>
        <w:rPr>
          <w:rFonts w:ascii="Times New Roman" w:cs="Times New Roman" w:eastAsia="Times New Roman" w:hAnsi="Times New Roman"/>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6" w:lineRule="exact"/>
        <w:rPr>
          <w:sz w:val="20"/>
          <w:szCs w:val="20"/>
          <w:color w:val="auto"/>
        </w:rPr>
      </w:pPr>
    </w:p>
    <w:p>
      <w:pPr>
        <w:ind w:left="1420" w:right="559" w:firstLine="338"/>
        <w:spacing w:after="0" w:line="279" w:lineRule="auto"/>
        <w:rPr>
          <w:sz w:val="20"/>
          <w:szCs w:val="20"/>
          <w:color w:val="auto"/>
        </w:rPr>
      </w:pPr>
      <w:r>
        <w:rPr>
          <w:rFonts w:ascii="Times New Roman" w:cs="Times New Roman" w:eastAsia="Times New Roman" w:hAnsi="Times New Roman"/>
          <w:sz w:val="13"/>
          <w:szCs w:val="13"/>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Book-Entry Holders</w:t>
      </w:r>
    </w:p>
    <w:p>
      <w:pPr>
        <w:spacing w:after="0" w:line="90"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40" w:lineRule="exact"/>
        <w:rPr>
          <w:sz w:val="20"/>
          <w:szCs w:val="20"/>
          <w:color w:val="auto"/>
        </w:rPr>
      </w:pPr>
    </w:p>
    <w:p>
      <w:pPr>
        <w:ind w:left="1420" w:right="279" w:firstLine="338"/>
        <w:spacing w:after="0" w:line="254" w:lineRule="auto"/>
        <w:rPr>
          <w:sz w:val="20"/>
          <w:szCs w:val="20"/>
          <w:color w:val="auto"/>
        </w:rPr>
      </w:pPr>
      <w:r>
        <w:rPr>
          <w:rFonts w:ascii="Times New Roman" w:cs="Times New Roman" w:eastAsia="Times New Roman" w:hAnsi="Times New Roman"/>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44" w:lineRule="exact"/>
        <w:rPr>
          <w:sz w:val="20"/>
          <w:szCs w:val="20"/>
          <w:color w:val="auto"/>
        </w:rPr>
      </w:pPr>
    </w:p>
    <w:p>
      <w:pPr>
        <w:jc w:val="both"/>
        <w:ind w:left="1420" w:right="299" w:firstLine="338"/>
        <w:spacing w:after="0" w:line="262" w:lineRule="auto"/>
        <w:rPr>
          <w:sz w:val="20"/>
          <w:szCs w:val="20"/>
          <w:color w:val="auto"/>
        </w:rPr>
      </w:pPr>
      <w:r>
        <w:rPr>
          <w:rFonts w:ascii="Times New Roman" w:cs="Times New Roman" w:eastAsia="Times New Roman" w:hAnsi="Times New Roman"/>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Street Name Holders</w:t>
      </w:r>
    </w:p>
    <w:p>
      <w:pPr>
        <w:spacing w:after="0" w:line="90" w:lineRule="exact"/>
        <w:rPr>
          <w:sz w:val="20"/>
          <w:szCs w:val="20"/>
          <w:color w:val="auto"/>
        </w:rPr>
      </w:pPr>
    </w:p>
    <w:p>
      <w:pPr>
        <w:ind w:left="1420" w:right="379" w:firstLine="338"/>
        <w:spacing w:after="0" w:line="257" w:lineRule="auto"/>
        <w:rPr>
          <w:sz w:val="20"/>
          <w:szCs w:val="20"/>
          <w:color w:val="auto"/>
        </w:rPr>
      </w:pPr>
      <w:r>
        <w:rPr>
          <w:rFonts w:ascii="Times New Roman" w:cs="Times New Roman" w:eastAsia="Times New Roman" w:hAnsi="Times New Roman"/>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Legal Holders</w:t>
      </w:r>
    </w:p>
    <w:p>
      <w:pPr>
        <w:spacing w:after="0" w:line="90"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0"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4" w:lineRule="exact"/>
        <w:rPr>
          <w:sz w:val="20"/>
          <w:szCs w:val="20"/>
          <w:color w:val="auto"/>
        </w:rPr>
      </w:pPr>
    </w:p>
    <w:p>
      <w:pPr>
        <w:ind w:left="1420" w:right="639" w:firstLine="338"/>
        <w:spacing w:after="0" w:line="262" w:lineRule="auto"/>
        <w:rPr>
          <w:sz w:val="20"/>
          <w:szCs w:val="20"/>
          <w:color w:val="auto"/>
        </w:rPr>
      </w:pPr>
      <w:r>
        <w:rPr>
          <w:rFonts w:ascii="Times New Roman" w:cs="Times New Roman" w:eastAsia="Times New Roman" w:hAnsi="Times New Roman"/>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Special Considerations for Indirect Holders</w:t>
      </w:r>
    </w:p>
    <w:p>
      <w:pPr>
        <w:spacing w:after="0" w:line="90" w:lineRule="exact"/>
        <w:rPr>
          <w:sz w:val="20"/>
          <w:szCs w:val="20"/>
          <w:color w:val="auto"/>
        </w:rPr>
      </w:pPr>
    </w:p>
    <w:p>
      <w:pPr>
        <w:ind w:left="1420" w:right="419" w:firstLine="338"/>
        <w:spacing w:after="0" w:line="277" w:lineRule="auto"/>
        <w:rPr>
          <w:sz w:val="20"/>
          <w:szCs w:val="20"/>
          <w:color w:val="auto"/>
        </w:rPr>
      </w:pPr>
      <w:r>
        <w:rPr>
          <w:rFonts w:ascii="Times New Roman" w:cs="Times New Roman" w:eastAsia="Times New Roman" w:hAnsi="Times New Roman"/>
          <w:sz w:val="14"/>
          <w:szCs w:val="14"/>
          <w:color w:val="auto"/>
        </w:rPr>
        <w:t>If you hold debt securities through a bank, broker or other financial institution, either in book-entry form or in street name, we urge you to check with that institution to find out:</w:t>
      </w:r>
    </w:p>
    <w:p>
      <w:pPr>
        <w:spacing w:after="0" w:line="54" w:lineRule="exact"/>
        <w:rPr>
          <w:sz w:val="20"/>
          <w:szCs w:val="20"/>
          <w:color w:val="auto"/>
        </w:rPr>
      </w:pPr>
    </w:p>
    <w:p>
      <w:pPr>
        <w:ind w:left="2160" w:hanging="33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8"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debt securities registered in your own name so you can be a holder, if that is permitted in the future for a particular series of debt securities;</w:t>
      </w:r>
    </w:p>
    <w:p>
      <w:pPr>
        <w:spacing w:after="0" w:line="53" w:lineRule="exact"/>
        <w:rPr>
          <w:rFonts w:ascii="Times New Roman" w:cs="Times New Roman" w:eastAsia="Times New Roman" w:hAnsi="Times New Roman"/>
          <w:sz w:val="14"/>
          <w:szCs w:val="14"/>
          <w:color w:val="auto"/>
        </w:rPr>
      </w:pPr>
    </w:p>
    <w:p>
      <w:pPr>
        <w:ind w:left="2160" w:right="379" w:hanging="332"/>
        <w:spacing w:after="0" w:line="277"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debt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in book-entry form, how the depositary’s rules and procedures will affect these matters.</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0" w:lineRule="exact"/>
        <w:rPr>
          <w:sz w:val="20"/>
          <w:szCs w:val="20"/>
          <w:color w:val="auto"/>
        </w:rPr>
      </w:pPr>
    </w:p>
    <w:p>
      <w:pPr>
        <w:ind w:left="1420" w:right="459" w:firstLine="338"/>
        <w:spacing w:after="0" w:line="277" w:lineRule="auto"/>
        <w:rPr>
          <w:sz w:val="20"/>
          <w:szCs w:val="20"/>
          <w:color w:val="auto"/>
        </w:rPr>
      </w:pPr>
      <w:r>
        <w:rPr>
          <w:rFonts w:ascii="Times New Roman" w:cs="Times New Roman" w:eastAsia="Times New Roman" w:hAnsi="Times New Roman"/>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99" w:firstLine="338"/>
        <w:spacing w:after="0" w:line="257" w:lineRule="auto"/>
        <w:rPr>
          <w:sz w:val="20"/>
          <w:szCs w:val="20"/>
          <w:color w:val="auto"/>
        </w:rPr>
      </w:pPr>
      <w:r>
        <w:rPr>
          <w:rFonts w:ascii="Times New Roman" w:cs="Times New Roman" w:eastAsia="Times New Roman" w:hAnsi="Times New Roman"/>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0" w:lineRule="exact"/>
        <w:rPr>
          <w:sz w:val="20"/>
          <w:szCs w:val="20"/>
          <w:color w:val="auto"/>
        </w:rPr>
      </w:pPr>
    </w:p>
    <w:p>
      <w:pPr>
        <w:ind w:left="1420" w:right="299" w:firstLine="338"/>
        <w:spacing w:after="0" w:line="252"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Special Considerations for Global Securities</w:t>
      </w:r>
    </w:p>
    <w:p>
      <w:pPr>
        <w:spacing w:after="0" w:line="173" w:lineRule="exact"/>
        <w:rPr>
          <w:sz w:val="20"/>
          <w:szCs w:val="20"/>
          <w:color w:val="auto"/>
        </w:rPr>
      </w:pPr>
    </w:p>
    <w:p>
      <w:pPr>
        <w:jc w:val="both"/>
        <w:ind w:left="1420" w:right="419" w:firstLine="338"/>
        <w:spacing w:after="0" w:line="262"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If debt securities are issued only in the form of a global security, an investor should be aware of the following:</w:t>
      </w:r>
    </w:p>
    <w:p>
      <w:pPr>
        <w:spacing w:after="0" w:line="98" w:lineRule="exact"/>
        <w:rPr>
          <w:sz w:val="20"/>
          <w:szCs w:val="20"/>
          <w:color w:val="auto"/>
        </w:rPr>
      </w:pPr>
    </w:p>
    <w:p>
      <w:pPr>
        <w:ind w:left="2160" w:right="499" w:hanging="332"/>
        <w:spacing w:after="0" w:line="277"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2160" w:right="379" w:hanging="332"/>
        <w:spacing w:after="0" w:line="262"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63" w:lineRule="exact"/>
        <w:rPr>
          <w:rFonts w:ascii="Times New Roman" w:cs="Times New Roman" w:eastAsia="Times New Roman" w:hAnsi="Times New Roman"/>
          <w:sz w:val="14"/>
          <w:szCs w:val="14"/>
          <w:color w:val="auto"/>
        </w:rPr>
      </w:pPr>
    </w:p>
    <w:p>
      <w:pPr>
        <w:ind w:left="2160" w:right="459" w:hanging="332"/>
        <w:spacing w:after="0" w:line="277"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debt securities to some insurance companies and other institutions that are required by law to own their securities in non-book-entry form;</w:t>
      </w:r>
    </w:p>
    <w:p>
      <w:pPr>
        <w:spacing w:after="0" w:line="53" w:lineRule="exact"/>
        <w:rPr>
          <w:rFonts w:ascii="Times New Roman" w:cs="Times New Roman" w:eastAsia="Times New Roman" w:hAnsi="Times New Roman"/>
          <w:sz w:val="14"/>
          <w:szCs w:val="14"/>
          <w:color w:val="auto"/>
        </w:rPr>
      </w:pPr>
    </w:p>
    <w:p>
      <w:pPr>
        <w:ind w:left="2160" w:right="679" w:hanging="332"/>
        <w:spacing w:after="0" w:line="277"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3" w:lineRule="exact"/>
        <w:rPr>
          <w:rFonts w:ascii="Times New Roman" w:cs="Times New Roman" w:eastAsia="Times New Roman" w:hAnsi="Times New Roman"/>
          <w:sz w:val="14"/>
          <w:szCs w:val="14"/>
          <w:color w:val="auto"/>
        </w:rPr>
      </w:pPr>
    </w:p>
    <w:p>
      <w:pPr>
        <w:jc w:val="both"/>
        <w:ind w:left="2160" w:right="339" w:hanging="332"/>
        <w:spacing w:after="0" w:line="262"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63"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redeem less than all the debt securities of a particular series being redeemed, DTC’s practice is to determine by lot the amount to be redeemed from each of its participants holding that series;</w:t>
      </w:r>
    </w:p>
    <w:p>
      <w:pPr>
        <w:spacing w:after="0" w:line="53" w:lineRule="exact"/>
        <w:rPr>
          <w:rFonts w:ascii="Times New Roman" w:cs="Times New Roman" w:eastAsia="Times New Roman" w:hAnsi="Times New Roman"/>
          <w:sz w:val="14"/>
          <w:szCs w:val="14"/>
          <w:color w:val="auto"/>
        </w:rPr>
      </w:pPr>
    </w:p>
    <w:p>
      <w:pPr>
        <w:jc w:val="both"/>
        <w:ind w:left="2160" w:right="659" w:hanging="332"/>
        <w:spacing w:after="0" w:line="262"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63" w:lineRule="exact"/>
        <w:rPr>
          <w:rFonts w:ascii="Times New Roman" w:cs="Times New Roman" w:eastAsia="Times New Roman" w:hAnsi="Times New Roman"/>
          <w:sz w:val="14"/>
          <w:szCs w:val="14"/>
          <w:color w:val="auto"/>
        </w:rPr>
      </w:pPr>
    </w:p>
    <w:p>
      <w:pPr>
        <w:ind w:left="2160" w:right="419" w:hanging="332"/>
        <w:spacing w:after="0" w:line="262"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right="359" w:hanging="332"/>
        <w:spacing w:after="0" w:line="257"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Special Situations when a Global Security Will Be Terminated</w:t>
      </w:r>
    </w:p>
    <w:p>
      <w:pPr>
        <w:spacing w:after="0" w:line="90"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special situations for termination of a global security are as follows:</w:t>
      </w:r>
    </w:p>
    <w:p>
      <w:pPr>
        <w:spacing w:after="0" w:line="98" w:lineRule="exact"/>
        <w:rPr>
          <w:sz w:val="20"/>
          <w:szCs w:val="20"/>
          <w:color w:val="auto"/>
        </w:rPr>
      </w:pPr>
    </w:p>
    <w:p>
      <w:pPr>
        <w:ind w:left="2160" w:right="419" w:hanging="332"/>
        <w:spacing w:after="0" w:line="277"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are unable to appoint another institution to act as depositary;</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the trustee that we wish to terminate that global security; or</w:t>
      </w:r>
    </w:p>
    <w:p>
      <w:pPr>
        <w:spacing w:after="0" w:line="98" w:lineRule="exact"/>
        <w:rPr>
          <w:rFonts w:ascii="Times New Roman" w:cs="Times New Roman" w:eastAsia="Times New Roman" w:hAnsi="Times New Roman"/>
          <w:sz w:val="14"/>
          <w:szCs w:val="14"/>
          <w:color w:val="auto"/>
        </w:rPr>
      </w:pPr>
    </w:p>
    <w:p>
      <w:pPr>
        <w:ind w:left="2160" w:right="399" w:hanging="332"/>
        <w:spacing w:after="0" w:line="277"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26" w:lineRule="exact"/>
        <w:rPr>
          <w:sz w:val="20"/>
          <w:szCs w:val="20"/>
          <w:color w:val="auto"/>
        </w:rPr>
      </w:pPr>
    </w:p>
    <w:p>
      <w:pPr>
        <w:ind w:left="1420" w:right="319" w:firstLine="338"/>
        <w:spacing w:after="0" w:line="257" w:lineRule="auto"/>
        <w:rPr>
          <w:sz w:val="20"/>
          <w:szCs w:val="20"/>
          <w:color w:val="auto"/>
        </w:rPr>
      </w:pPr>
      <w:r>
        <w:rPr>
          <w:rFonts w:ascii="Times New Roman" w:cs="Times New Roman" w:eastAsia="Times New Roman" w:hAnsi="Times New Roman"/>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0" w:lineRule="exact"/>
        <w:rPr>
          <w:sz w:val="20"/>
          <w:szCs w:val="20"/>
          <w:color w:val="auto"/>
        </w:rPr>
      </w:pPr>
    </w:p>
    <w:p>
      <w:pPr>
        <w:ind w:left="1420" w:right="359" w:firstLine="338"/>
        <w:spacing w:after="0" w:line="253" w:lineRule="auto"/>
        <w:rPr>
          <w:sz w:val="20"/>
          <w:szCs w:val="20"/>
          <w:color w:val="auto"/>
        </w:rPr>
      </w:pPr>
      <w:r>
        <w:rPr>
          <w:rFonts w:ascii="Times New Roman" w:cs="Times New Roman" w:eastAsia="Times New Roman" w:hAnsi="Times New Roman"/>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Payments on Global Securities</w:t>
      </w:r>
    </w:p>
    <w:p>
      <w:pPr>
        <w:spacing w:after="0" w:line="90" w:lineRule="exact"/>
        <w:rPr>
          <w:sz w:val="20"/>
          <w:szCs w:val="20"/>
          <w:color w:val="auto"/>
        </w:rPr>
      </w:pPr>
    </w:p>
    <w:p>
      <w:pPr>
        <w:ind w:left="1420" w:right="579" w:firstLine="338"/>
        <w:spacing w:after="0" w:line="257" w:lineRule="auto"/>
        <w:rPr>
          <w:sz w:val="20"/>
          <w:szCs w:val="20"/>
          <w:color w:val="auto"/>
        </w:rPr>
      </w:pPr>
      <w:r>
        <w:rPr>
          <w:rFonts w:ascii="Times New Roman" w:cs="Times New Roman" w:eastAsia="Times New Roman" w:hAnsi="Times New Roman"/>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2"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Payments on Certificated Securities</w:t>
      </w:r>
    </w:p>
    <w:p>
      <w:pPr>
        <w:spacing w:after="0" w:line="90" w:lineRule="exact"/>
        <w:rPr>
          <w:sz w:val="20"/>
          <w:szCs w:val="20"/>
          <w:color w:val="auto"/>
        </w:rPr>
      </w:pPr>
    </w:p>
    <w:p>
      <w:pPr>
        <w:jc w:val="both"/>
        <w:ind w:left="1420" w:right="359" w:firstLine="338"/>
        <w:spacing w:after="0" w:line="257" w:lineRule="auto"/>
        <w:rPr>
          <w:sz w:val="20"/>
          <w:szCs w:val="20"/>
          <w:color w:val="auto"/>
        </w:rPr>
      </w:pPr>
      <w:r>
        <w:rPr>
          <w:rFonts w:ascii="Times New Roman" w:cs="Times New Roman" w:eastAsia="Times New Roman" w:hAnsi="Times New Roman"/>
          <w:sz w:val="14"/>
          <w:szCs w:val="14"/>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40" w:lineRule="exact"/>
        <w:rPr>
          <w:sz w:val="20"/>
          <w:szCs w:val="20"/>
          <w:color w:val="auto"/>
        </w:rPr>
      </w:pPr>
    </w:p>
    <w:p>
      <w:pPr>
        <w:ind w:left="1420" w:right="299" w:firstLine="338"/>
        <w:spacing w:after="0" w:line="254" w:lineRule="auto"/>
        <w:rPr>
          <w:sz w:val="20"/>
          <w:szCs w:val="20"/>
          <w:color w:val="auto"/>
        </w:rPr>
      </w:pPr>
      <w:r>
        <w:rPr>
          <w:rFonts w:ascii="Times New Roman" w:cs="Times New Roman" w:eastAsia="Times New Roman" w:hAnsi="Times New Roman"/>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Payment When Offices Are Closed</w:t>
      </w:r>
    </w:p>
    <w:p>
      <w:pPr>
        <w:spacing w:after="0" w:line="90" w:lineRule="exact"/>
        <w:rPr>
          <w:sz w:val="20"/>
          <w:szCs w:val="20"/>
          <w:color w:val="auto"/>
        </w:rPr>
      </w:pPr>
    </w:p>
    <w:p>
      <w:pPr>
        <w:ind w:left="1420" w:right="539" w:firstLine="338"/>
        <w:spacing w:after="0" w:line="257" w:lineRule="auto"/>
        <w:rPr>
          <w:sz w:val="20"/>
          <w:szCs w:val="20"/>
          <w:color w:val="auto"/>
        </w:rPr>
      </w:pPr>
      <w:r>
        <w:rPr>
          <w:rFonts w:ascii="Times New Roman" w:cs="Times New Roman" w:eastAsia="Times New Roman" w:hAnsi="Times New Roman"/>
          <w:sz w:val="14"/>
          <w:szCs w:val="14"/>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0" w:lineRule="exact"/>
        <w:rPr>
          <w:sz w:val="20"/>
          <w:szCs w:val="20"/>
          <w:color w:val="auto"/>
        </w:rPr>
      </w:pPr>
    </w:p>
    <w:p>
      <w:pPr>
        <w:ind w:left="1420" w:right="659" w:firstLine="338"/>
        <w:spacing w:after="0" w:line="277"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they will receive payments on their debt securities.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1420" w:right="799" w:firstLine="338"/>
        <w:spacing w:after="0" w:line="277"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debt securities of your series and is not cured, as described later in this subsection.</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term “Event of Default” in respect of the debt securities of your series means any of the following:</w:t>
      </w:r>
    </w:p>
    <w:p>
      <w:pPr>
        <w:spacing w:after="0" w:line="98" w:lineRule="exact"/>
        <w:rPr>
          <w:sz w:val="20"/>
          <w:szCs w:val="20"/>
          <w:color w:val="auto"/>
        </w:rPr>
      </w:pPr>
    </w:p>
    <w:p>
      <w:pPr>
        <w:ind w:left="2160" w:hanging="33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any premium on, a debt security of the series on its due date;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 debt security of the series within 30 days of its due date;</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deposit any sinking fund payment in respect of debt securities of the series on its due date;</w:t>
      </w:r>
    </w:p>
    <w:p>
      <w:pPr>
        <w:spacing w:after="0" w:line="98" w:lineRule="exact"/>
        <w:rPr>
          <w:rFonts w:ascii="Times New Roman" w:cs="Times New Roman" w:eastAsia="Times New Roman" w:hAnsi="Times New Roman"/>
          <w:sz w:val="14"/>
          <w:szCs w:val="14"/>
          <w:color w:val="auto"/>
        </w:rPr>
      </w:pPr>
    </w:p>
    <w:p>
      <w:pPr>
        <w:ind w:left="2160" w:right="399" w:hanging="332"/>
        <w:spacing w:after="0" w:line="262"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in respect of debt securities of the series described in the prospectus supplement occurs.</w:t>
      </w:r>
    </w:p>
    <w:p>
      <w:pPr>
        <w:spacing w:after="0" w:line="171" w:lineRule="exact"/>
        <w:rPr>
          <w:sz w:val="20"/>
          <w:szCs w:val="20"/>
          <w:color w:val="auto"/>
        </w:rPr>
      </w:pPr>
    </w:p>
    <w:p>
      <w:pPr>
        <w:ind w:left="1420" w:right="519" w:firstLine="338"/>
        <w:spacing w:after="0" w:line="262"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2"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Remedies if an Event of Default Occurs</w:t>
      </w:r>
    </w:p>
    <w:p>
      <w:pPr>
        <w:spacing w:after="0" w:line="90" w:lineRule="exact"/>
        <w:rPr>
          <w:sz w:val="20"/>
          <w:szCs w:val="20"/>
          <w:color w:val="auto"/>
        </w:rPr>
      </w:pPr>
    </w:p>
    <w:p>
      <w:pPr>
        <w:ind w:left="1420" w:right="439" w:firstLine="338"/>
        <w:spacing w:after="0" w:line="257" w:lineRule="auto"/>
        <w:rPr>
          <w:sz w:val="20"/>
          <w:szCs w:val="20"/>
          <w:color w:val="auto"/>
        </w:rPr>
      </w:pPr>
      <w:r>
        <w:rPr>
          <w:rFonts w:ascii="Times New Roman" w:cs="Times New Roman" w:eastAsia="Times New Roman" w:hAnsi="Times New Roman"/>
          <w:sz w:val="14"/>
          <w:szCs w:val="14"/>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0" w:lineRule="exact"/>
        <w:rPr>
          <w:sz w:val="20"/>
          <w:szCs w:val="20"/>
          <w:color w:val="auto"/>
        </w:rPr>
      </w:pPr>
    </w:p>
    <w:p>
      <w:pPr>
        <w:ind w:left="1420" w:right="359" w:firstLine="338"/>
        <w:spacing w:after="0" w:line="253" w:lineRule="auto"/>
        <w:rPr>
          <w:sz w:val="20"/>
          <w:szCs w:val="20"/>
          <w:color w:val="auto"/>
        </w:rPr>
      </w:pPr>
      <w:r>
        <w:rPr>
          <w:rFonts w:ascii="Times New Roman" w:cs="Times New Roman" w:eastAsia="Times New Roman" w:hAnsi="Times New Roman"/>
          <w:sz w:val="14"/>
          <w:szCs w:val="14"/>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43" w:lineRule="exact"/>
        <w:rPr>
          <w:sz w:val="20"/>
          <w:szCs w:val="20"/>
          <w:color w:val="auto"/>
        </w:rPr>
      </w:pPr>
    </w:p>
    <w:p>
      <w:pPr>
        <w:ind w:left="1420" w:right="339" w:firstLine="338"/>
        <w:spacing w:after="0" w:line="277" w:lineRule="auto"/>
        <w:rPr>
          <w:sz w:val="20"/>
          <w:szCs w:val="20"/>
          <w:color w:val="auto"/>
        </w:rPr>
      </w:pPr>
      <w:r>
        <w:rPr>
          <w:rFonts w:ascii="Times New Roman" w:cs="Times New Roman" w:eastAsia="Times New Roman" w:hAnsi="Times New Roman"/>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4" w:lineRule="exact"/>
        <w:rPr>
          <w:sz w:val="20"/>
          <w:szCs w:val="20"/>
          <w:color w:val="auto"/>
        </w:rPr>
      </w:pPr>
    </w:p>
    <w:p>
      <w:pPr>
        <w:ind w:left="2160" w:hanging="33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give the trustee written notice that an Event of Default has occurred and remains uncured;</w:t>
      </w:r>
    </w:p>
    <w:p>
      <w:pPr>
        <w:spacing w:after="0" w:line="98" w:lineRule="exact"/>
        <w:rPr>
          <w:rFonts w:ascii="Times New Roman" w:cs="Times New Roman" w:eastAsia="Times New Roman" w:hAnsi="Times New Roman"/>
          <w:sz w:val="14"/>
          <w:szCs w:val="14"/>
          <w:color w:val="auto"/>
        </w:rPr>
      </w:pPr>
    </w:p>
    <w:p>
      <w:pPr>
        <w:ind w:left="2160" w:right="359" w:hanging="332"/>
        <w:spacing w:after="0" w:line="262"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w:t>
      </w:r>
    </w:p>
    <w:p>
      <w:pPr>
        <w:spacing w:after="0" w:line="98" w:lineRule="exact"/>
        <w:rPr>
          <w:rFonts w:ascii="Times New Roman" w:cs="Times New Roman" w:eastAsia="Times New Roman" w:hAnsi="Times New Roman"/>
          <w:sz w:val="14"/>
          <w:szCs w:val="14"/>
          <w:color w:val="auto"/>
        </w:rPr>
      </w:pPr>
    </w:p>
    <w:p>
      <w:pPr>
        <w:ind w:left="2160" w:right="419" w:hanging="332"/>
        <w:spacing w:after="0" w:line="277"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debt securities must not have given the trustee a direction inconsistent with the above notice during that 60-day period.</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However, you are entitled at any time to bring a lawsuit for the payment of money due on your debt securities on or after the due date.</w:t>
      </w:r>
    </w:p>
    <w:p>
      <w:pPr>
        <w:spacing w:after="0" w:line="169" w:lineRule="exact"/>
        <w:rPr>
          <w:sz w:val="20"/>
          <w:szCs w:val="20"/>
          <w:color w:val="auto"/>
        </w:rPr>
      </w:pPr>
    </w:p>
    <w:p>
      <w:pPr>
        <w:ind w:left="1420" w:right="29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4" w:lineRule="exact"/>
        <w:rPr>
          <w:sz w:val="20"/>
          <w:szCs w:val="20"/>
          <w:color w:val="auto"/>
        </w:rPr>
      </w:pPr>
    </w:p>
    <w:p>
      <w:pPr>
        <w:ind w:left="1420" w:right="559" w:firstLine="338"/>
        <w:spacing w:after="0" w:line="277" w:lineRule="auto"/>
        <w:rPr>
          <w:sz w:val="20"/>
          <w:szCs w:val="20"/>
          <w:color w:val="auto"/>
        </w:rPr>
      </w:pPr>
      <w:r>
        <w:rPr>
          <w:rFonts w:ascii="Times New Roman" w:cs="Times New Roman" w:eastAsia="Times New Roman" w:hAnsi="Times New Roman"/>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Waiver of Default</w:t>
      </w:r>
    </w:p>
    <w:p>
      <w:pPr>
        <w:spacing w:after="0" w:line="90" w:lineRule="exact"/>
        <w:rPr>
          <w:sz w:val="20"/>
          <w:szCs w:val="20"/>
          <w:color w:val="auto"/>
        </w:rPr>
      </w:pPr>
    </w:p>
    <w:p>
      <w:pPr>
        <w:ind w:left="1420" w:right="359" w:firstLine="338"/>
        <w:spacing w:after="0" w:line="262" w:lineRule="auto"/>
        <w:rPr>
          <w:sz w:val="20"/>
          <w:szCs w:val="20"/>
          <w:color w:val="auto"/>
        </w:rPr>
      </w:pPr>
      <w:r>
        <w:rPr>
          <w:rFonts w:ascii="Times New Roman" w:cs="Times New Roman" w:eastAsia="Times New Roman" w:hAnsi="Times New Roman"/>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90" w:lineRule="exact"/>
        <w:rPr>
          <w:sz w:val="20"/>
          <w:szCs w:val="20"/>
          <w:color w:val="auto"/>
        </w:rPr>
      </w:pPr>
    </w:p>
    <w:p>
      <w:pPr>
        <w:ind w:left="1420" w:right="699" w:firstLine="338"/>
        <w:spacing w:after="0" w:line="277" w:lineRule="auto"/>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47" w:lineRule="exact"/>
        <w:rPr>
          <w:sz w:val="20"/>
          <w:szCs w:val="20"/>
          <w:color w:val="auto"/>
        </w:rPr>
      </w:pPr>
    </w:p>
    <w:p>
      <w:pPr>
        <w:ind w:left="2160" w:right="479" w:hanging="332"/>
        <w:spacing w:after="0" w:line="277"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sell our assets, the resulting entity must agree to be legally responsible for our obligations under the debt securities;</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alternatively, we must be the surviving company;</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hanging="33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transaction no event of default will exist;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satisfy any other requirements specified in the prospectus supplement relating to a particular series of debt securities.</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debt securities issued thereunder.</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Changes Requiring Your Approval</w:t>
      </w:r>
    </w:p>
    <w:p>
      <w:pPr>
        <w:spacing w:after="0" w:line="90" w:lineRule="exact"/>
        <w:rPr>
          <w:sz w:val="20"/>
          <w:szCs w:val="20"/>
          <w:color w:val="auto"/>
        </w:rPr>
      </w:pPr>
    </w:p>
    <w:p>
      <w:pPr>
        <w:ind w:left="1420" w:right="739" w:firstLine="338"/>
        <w:spacing w:after="0" w:line="277" w:lineRule="auto"/>
        <w:rPr>
          <w:sz w:val="20"/>
          <w:szCs w:val="20"/>
          <w:color w:val="auto"/>
        </w:rPr>
      </w:pPr>
      <w:r>
        <w:rPr>
          <w:rFonts w:ascii="Times New Roman" w:cs="Times New Roman" w:eastAsia="Times New Roman" w:hAnsi="Times New Roman"/>
          <w:sz w:val="14"/>
          <w:szCs w:val="14"/>
          <w:color w:val="auto"/>
        </w:rPr>
        <w:t>First, there are changes that we cannot make to your debt securities without your specific approval. The following is a list of those types of changes:</w:t>
      </w:r>
    </w:p>
    <w:p>
      <w:pPr>
        <w:spacing w:after="0" w:line="54" w:lineRule="exact"/>
        <w:rPr>
          <w:sz w:val="20"/>
          <w:szCs w:val="20"/>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a debt security;</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a debt security;</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security following a default;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holder’s option;</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debt security (except as otherwise described in the prospectus or prospectus supplement);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to convert or exchange a debt security in accordance with its terms;</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modify or amend the indenture;</w:t>
      </w:r>
    </w:p>
    <w:p>
      <w:pPr>
        <w:spacing w:after="0" w:line="98" w:lineRule="exact"/>
        <w:rPr>
          <w:rFonts w:ascii="Times New Roman" w:cs="Times New Roman" w:eastAsia="Times New Roman" w:hAnsi="Times New Roman"/>
          <w:sz w:val="14"/>
          <w:szCs w:val="14"/>
          <w:color w:val="auto"/>
        </w:rPr>
      </w:pPr>
    </w:p>
    <w:p>
      <w:pPr>
        <w:ind w:left="2160" w:right="299" w:hanging="332"/>
        <w:spacing w:after="0" w:line="277"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waive compliance with certain provisions of the indenture or to waive certain defaults;</w:t>
      </w:r>
    </w:p>
    <w:p>
      <w:pPr>
        <w:spacing w:after="0" w:line="53" w:lineRule="exact"/>
        <w:rPr>
          <w:rFonts w:ascii="Times New Roman" w:cs="Times New Roman" w:eastAsia="Times New Roman" w:hAnsi="Times New Roman"/>
          <w:sz w:val="14"/>
          <w:szCs w:val="14"/>
          <w:color w:val="auto"/>
        </w:rPr>
      </w:pPr>
    </w:p>
    <w:p>
      <w:pPr>
        <w:ind w:left="2160" w:right="359" w:hanging="332"/>
        <w:spacing w:after="0" w:line="277"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we have to pay additional amounts.</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90" w:lineRule="exact"/>
        <w:rPr>
          <w:sz w:val="20"/>
          <w:szCs w:val="20"/>
          <w:color w:val="auto"/>
        </w:rPr>
      </w:pPr>
    </w:p>
    <w:p>
      <w:pPr>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Any other change to the indenture and the debt securities would require the following approval:</w:t>
      </w:r>
    </w:p>
    <w:p>
      <w:pPr>
        <w:spacing w:after="0" w:line="98" w:lineRule="exact"/>
        <w:rPr>
          <w:sz w:val="20"/>
          <w:szCs w:val="20"/>
          <w:color w:val="auto"/>
        </w:rPr>
      </w:pPr>
    </w:p>
    <w:p>
      <w:pPr>
        <w:ind w:left="2160" w:right="419" w:hanging="332"/>
        <w:spacing w:after="0" w:line="277"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one series of debt securities, it must be approved by the holders of a majority in principal amount of that series; and</w:t>
      </w:r>
    </w:p>
    <w:p>
      <w:pPr>
        <w:spacing w:after="0" w:line="53" w:lineRule="exact"/>
        <w:rPr>
          <w:rFonts w:ascii="Times New Roman" w:cs="Times New Roman" w:eastAsia="Times New Roman" w:hAnsi="Times New Roman"/>
          <w:sz w:val="14"/>
          <w:szCs w:val="14"/>
          <w:color w:val="auto"/>
        </w:rPr>
      </w:pPr>
    </w:p>
    <w:p>
      <w:pPr>
        <w:ind w:left="2160" w:right="299" w:hanging="332"/>
        <w:spacing w:after="0" w:line="317" w:lineRule="auto"/>
        <w:tabs>
          <w:tab w:leader="none" w:pos="21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71"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Further Details Concerning Voting</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a debt security:</w:t>
      </w:r>
    </w:p>
    <w:p>
      <w:pPr>
        <w:spacing w:after="0" w:line="98" w:lineRule="exact"/>
        <w:rPr>
          <w:sz w:val="20"/>
          <w:szCs w:val="20"/>
          <w:color w:val="auto"/>
        </w:rPr>
      </w:pPr>
    </w:p>
    <w:p>
      <w:pPr>
        <w:ind w:left="2160" w:right="819" w:hanging="332"/>
        <w:spacing w:after="0" w:line="277"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OID securities, we will use the principal amount that would be due and payable on the voting date if the maturity of these debt securities were accelerated to that date because of a default;</w:t>
      </w:r>
    </w:p>
    <w:p>
      <w:pPr>
        <w:spacing w:after="0" w:line="53"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whose principal amount is not known (for example, because it is based on an index), we will use a special rule for that debt security described in the prospectus supplement; and</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denominated in one or more foreign currencies, we will use the U.S. dollar equivalent.</w:t>
      </w:r>
    </w:p>
    <w:p>
      <w:pPr>
        <w:spacing w:after="0" w:line="171" w:lineRule="exact"/>
        <w:rPr>
          <w:sz w:val="20"/>
          <w:szCs w:val="20"/>
          <w:color w:val="auto"/>
        </w:rPr>
      </w:pPr>
    </w:p>
    <w:p>
      <w:pPr>
        <w:ind w:left="1420" w:right="299" w:firstLine="338"/>
        <w:spacing w:after="0" w:line="253" w:lineRule="auto"/>
        <w:rPr>
          <w:sz w:val="20"/>
          <w:szCs w:val="20"/>
          <w:color w:val="auto"/>
        </w:rPr>
      </w:pPr>
      <w:r>
        <w:rPr>
          <w:rFonts w:ascii="Times New Roman" w:cs="Times New Roman" w:eastAsia="Times New Roman" w:hAnsi="Times New Roman"/>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41" w:lineRule="exact"/>
        <w:rPr>
          <w:sz w:val="20"/>
          <w:szCs w:val="20"/>
          <w:color w:val="auto"/>
        </w:rPr>
      </w:pPr>
    </w:p>
    <w:p>
      <w:pPr>
        <w:ind w:left="1420" w:right="39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0" w:lineRule="exact"/>
        <w:rPr>
          <w:sz w:val="20"/>
          <w:szCs w:val="20"/>
          <w:color w:val="auto"/>
        </w:rPr>
      </w:pPr>
    </w:p>
    <w:p>
      <w:pPr>
        <w:ind w:left="1420" w:right="679" w:firstLine="338"/>
        <w:spacing w:after="0" w:line="277" w:lineRule="auto"/>
        <w:rPr>
          <w:sz w:val="20"/>
          <w:szCs w:val="20"/>
          <w:color w:val="auto"/>
        </w:rPr>
      </w:pPr>
      <w:r>
        <w:rPr>
          <w:rFonts w:ascii="Times New Roman" w:cs="Times New Roman" w:eastAsia="Times New Roman" w:hAnsi="Times New Roman"/>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90" w:lineRule="exact"/>
        <w:rPr>
          <w:sz w:val="20"/>
          <w:szCs w:val="20"/>
          <w:color w:val="auto"/>
        </w:rPr>
      </w:pPr>
    </w:p>
    <w:p>
      <w:pPr>
        <w:ind w:left="1420" w:right="379" w:firstLine="338"/>
        <w:spacing w:after="0" w:line="254" w:lineRule="auto"/>
        <w:rPr>
          <w:sz w:val="20"/>
          <w:szCs w:val="20"/>
          <w:color w:val="auto"/>
        </w:rPr>
      </w:pPr>
      <w:r>
        <w:rPr>
          <w:rFonts w:ascii="Times New Roman" w:cs="Times New Roman" w:eastAsia="Times New Roman" w:hAnsi="Times New Roman"/>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1" w:lineRule="exact"/>
        <w:rPr>
          <w:sz w:val="20"/>
          <w:szCs w:val="20"/>
          <w:color w:val="auto"/>
        </w:rPr>
      </w:pPr>
    </w:p>
    <w:p>
      <w:pPr>
        <w:ind w:left="2160" w:right="359" w:hanging="332"/>
        <w:spacing w:after="0" w:line="262"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2"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2160" w:right="359" w:hanging="332"/>
        <w:spacing w:after="0" w:line="262" w:lineRule="auto"/>
        <w:tabs>
          <w:tab w:leader="none" w:pos="2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6" w:lineRule="exact"/>
        <w:rPr>
          <w:sz w:val="20"/>
          <w:szCs w:val="20"/>
          <w:color w:val="auto"/>
        </w:rPr>
      </w:pPr>
    </w:p>
    <w:p>
      <w:pPr>
        <w:ind w:left="1420" w:right="379" w:firstLine="338"/>
        <w:spacing w:after="0" w:line="277" w:lineRule="auto"/>
        <w:rPr>
          <w:sz w:val="20"/>
          <w:szCs w:val="20"/>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6" w:lineRule="exact"/>
        <w:rPr>
          <w:sz w:val="20"/>
          <w:szCs w:val="20"/>
          <w:color w:val="auto"/>
        </w:rPr>
      </w:pPr>
    </w:p>
    <w:p>
      <w:pPr>
        <w:ind w:left="1420" w:right="419" w:firstLine="338"/>
        <w:spacing w:after="0" w:line="257" w:lineRule="auto"/>
        <w:rPr>
          <w:sz w:val="20"/>
          <w:szCs w:val="20"/>
          <w:color w:val="auto"/>
        </w:rPr>
      </w:pPr>
      <w:r>
        <w:rPr>
          <w:rFonts w:ascii="Times New Roman" w:cs="Times New Roman" w:eastAsia="Times New Roman" w:hAnsi="Times New Roman"/>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Full Defeasance</w:t>
      </w:r>
    </w:p>
    <w:p>
      <w:pPr>
        <w:spacing w:after="0" w:line="90" w:lineRule="exact"/>
        <w:rPr>
          <w:sz w:val="20"/>
          <w:szCs w:val="20"/>
          <w:color w:val="auto"/>
        </w:rPr>
      </w:pPr>
    </w:p>
    <w:p>
      <w:pPr>
        <w:ind w:left="1420" w:right="299" w:firstLine="338"/>
        <w:spacing w:after="0" w:line="277" w:lineRule="auto"/>
        <w:rPr>
          <w:sz w:val="20"/>
          <w:szCs w:val="20"/>
          <w:color w:val="auto"/>
        </w:rPr>
      </w:pPr>
      <w:r>
        <w:rPr>
          <w:rFonts w:ascii="Times New Roman" w:cs="Times New Roman" w:eastAsia="Times New Roman" w:hAnsi="Times New Roman"/>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4" w:lineRule="exact"/>
        <w:rPr>
          <w:sz w:val="20"/>
          <w:szCs w:val="20"/>
          <w:color w:val="auto"/>
        </w:rPr>
      </w:pPr>
    </w:p>
    <w:p>
      <w:pPr>
        <w:ind w:left="2160" w:right="359" w:hanging="332"/>
        <w:spacing w:after="0" w:line="262"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3" w:lineRule="exact"/>
        <w:rPr>
          <w:rFonts w:ascii="Times New Roman" w:cs="Times New Roman" w:eastAsia="Times New Roman" w:hAnsi="Times New Roman"/>
          <w:sz w:val="14"/>
          <w:szCs w:val="14"/>
          <w:color w:val="auto"/>
        </w:rPr>
      </w:pPr>
    </w:p>
    <w:p>
      <w:pPr>
        <w:ind w:left="2160" w:right="339" w:hanging="332"/>
        <w:spacing w:after="0" w:line="253"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70" w:lineRule="exact"/>
        <w:rPr>
          <w:rFonts w:ascii="Times New Roman" w:cs="Times New Roman" w:eastAsia="Times New Roman" w:hAnsi="Times New Roman"/>
          <w:sz w:val="14"/>
          <w:szCs w:val="14"/>
          <w:color w:val="auto"/>
        </w:rPr>
      </w:pPr>
    </w:p>
    <w:p>
      <w:pPr>
        <w:ind w:left="2160" w:right="559" w:hanging="332"/>
        <w:spacing w:after="0" w:line="277"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26" w:lineRule="exact"/>
        <w:rPr>
          <w:sz w:val="20"/>
          <w:szCs w:val="20"/>
          <w:color w:val="auto"/>
        </w:rPr>
      </w:pPr>
    </w:p>
    <w:p>
      <w:pPr>
        <w:ind w:left="1420" w:right="319" w:firstLine="338"/>
        <w:spacing w:after="0" w:line="257"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If registered debt securities cease to be issued in book-entry form, they will be issued:</w:t>
      </w:r>
    </w:p>
    <w:p>
      <w:pPr>
        <w:spacing w:after="0" w:line="98" w:lineRule="exact"/>
        <w:rPr>
          <w:sz w:val="20"/>
          <w:szCs w:val="20"/>
          <w:color w:val="auto"/>
        </w:rPr>
      </w:pPr>
    </w:p>
    <w:p>
      <w:pPr>
        <w:ind w:left="2160" w:hanging="33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 fully registered certificated form;</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interest coupons; and</w:t>
      </w:r>
    </w:p>
    <w:p>
      <w:pPr>
        <w:spacing w:after="0" w:line="98"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prospectus supplement, in denominations of $1,000 and amounts that are multiples of $1,000.</w:t>
      </w:r>
    </w:p>
    <w:p>
      <w:pPr>
        <w:spacing w:after="0" w:line="118"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2"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519" w:firstLine="338"/>
        <w:spacing w:after="0" w:line="277" w:lineRule="auto"/>
        <w:rPr>
          <w:sz w:val="20"/>
          <w:szCs w:val="20"/>
          <w:color w:val="auto"/>
        </w:rPr>
      </w:pPr>
      <w:r>
        <w:rPr>
          <w:rFonts w:ascii="Times New Roman" w:cs="Times New Roman" w:eastAsia="Times New Roman" w:hAnsi="Times New Roman"/>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26" w:lineRule="exact"/>
        <w:rPr>
          <w:sz w:val="20"/>
          <w:szCs w:val="20"/>
          <w:color w:val="auto"/>
        </w:rPr>
      </w:pPr>
    </w:p>
    <w:p>
      <w:pPr>
        <w:ind w:left="1420" w:right="299" w:firstLine="338"/>
        <w:spacing w:after="0" w:line="262"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6" w:lineRule="exact"/>
        <w:rPr>
          <w:sz w:val="20"/>
          <w:szCs w:val="20"/>
          <w:color w:val="auto"/>
        </w:rPr>
      </w:pPr>
    </w:p>
    <w:p>
      <w:pPr>
        <w:jc w:val="both"/>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6" w:lineRule="exact"/>
        <w:rPr>
          <w:sz w:val="20"/>
          <w:szCs w:val="20"/>
          <w:color w:val="auto"/>
        </w:rPr>
      </w:pPr>
    </w:p>
    <w:p>
      <w:pPr>
        <w:ind w:left="1420" w:right="599" w:firstLine="338"/>
        <w:spacing w:after="0" w:line="262" w:lineRule="auto"/>
        <w:rPr>
          <w:sz w:val="20"/>
          <w:szCs w:val="20"/>
          <w:color w:val="auto"/>
        </w:rPr>
      </w:pPr>
      <w:r>
        <w:rPr>
          <w:rFonts w:ascii="Times New Roman" w:cs="Times New Roman" w:eastAsia="Times New Roman" w:hAnsi="Times New Roman"/>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6"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44" w:lineRule="exact"/>
        <w:rPr>
          <w:sz w:val="20"/>
          <w:szCs w:val="20"/>
          <w:color w:val="auto"/>
        </w:rPr>
      </w:pPr>
    </w:p>
    <w:p>
      <w:pPr>
        <w:ind w:left="1420" w:right="819" w:firstLine="338"/>
        <w:spacing w:after="0" w:line="277" w:lineRule="auto"/>
        <w:rPr>
          <w:sz w:val="20"/>
          <w:szCs w:val="20"/>
          <w:color w:val="auto"/>
        </w:rPr>
      </w:pPr>
      <w:r>
        <w:rPr>
          <w:rFonts w:ascii="Times New Roman" w:cs="Times New Roman" w:eastAsia="Times New Roman" w:hAnsi="Times New Roman"/>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173" w:lineRule="exact"/>
        <w:rPr>
          <w:sz w:val="20"/>
          <w:szCs w:val="20"/>
          <w:color w:val="auto"/>
        </w:rPr>
      </w:pPr>
    </w:p>
    <w:p>
      <w:pPr>
        <w:ind w:left="1420" w:right="299" w:firstLine="338"/>
        <w:spacing w:after="0" w:line="262" w:lineRule="auto"/>
        <w:rPr>
          <w:sz w:val="20"/>
          <w:szCs w:val="20"/>
          <w:color w:val="auto"/>
        </w:rPr>
      </w:pPr>
      <w:r>
        <w:rPr>
          <w:rFonts w:ascii="Times New Roman" w:cs="Times New Roman" w:eastAsia="Times New Roman" w:hAnsi="Times New Roman"/>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Indenture Provisions—Subordination</w:t>
      </w:r>
    </w:p>
    <w:p>
      <w:pPr>
        <w:spacing w:after="0" w:line="173" w:lineRule="exact"/>
        <w:rPr>
          <w:sz w:val="20"/>
          <w:szCs w:val="20"/>
          <w:color w:val="auto"/>
        </w:rPr>
      </w:pPr>
    </w:p>
    <w:p>
      <w:pPr>
        <w:ind w:left="1420" w:right="319" w:firstLine="338"/>
        <w:spacing w:after="0" w:line="252" w:lineRule="auto"/>
        <w:rPr>
          <w:sz w:val="20"/>
          <w:szCs w:val="20"/>
          <w:color w:val="auto"/>
        </w:rPr>
      </w:pPr>
      <w:r>
        <w:rPr>
          <w:rFonts w:ascii="Times New Roman" w:cs="Times New Roman" w:eastAsia="Times New Roman" w:hAnsi="Times New Roman"/>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44"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2"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spacing w:after="0" w:line="277" w:lineRule="auto"/>
        <w:rPr>
          <w:sz w:val="20"/>
          <w:szCs w:val="20"/>
          <w:color w:val="auto"/>
        </w:rPr>
      </w:pPr>
      <w:r>
        <w:rPr>
          <w:rFonts w:ascii="Times New Roman" w:cs="Times New Roman" w:eastAsia="Times New Roman" w:hAnsi="Times New Roman"/>
          <w:sz w:val="14"/>
          <w:szCs w:val="14"/>
          <w:color w:val="auto"/>
        </w:rPr>
        <w:t>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6" w:lineRule="exact"/>
        <w:rPr>
          <w:sz w:val="20"/>
          <w:szCs w:val="20"/>
          <w:color w:val="auto"/>
        </w:rPr>
      </w:pPr>
    </w:p>
    <w:p>
      <w:pPr>
        <w:ind w:left="1420" w:right="379" w:firstLine="338"/>
        <w:spacing w:after="0" w:line="262" w:lineRule="auto"/>
        <w:rPr>
          <w:sz w:val="20"/>
          <w:szCs w:val="20"/>
          <w:color w:val="auto"/>
        </w:rPr>
      </w:pPr>
      <w:r>
        <w:rPr>
          <w:rFonts w:ascii="Times New Roman" w:cs="Times New Roman" w:eastAsia="Times New Roman" w:hAnsi="Times New Roman"/>
          <w:sz w:val="14"/>
          <w:szCs w:val="14"/>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Senior Indebtedness is defined in the indenture as the principal of (and premium, if any) and unpaid interest on:</w:t>
      </w:r>
    </w:p>
    <w:p>
      <w:pPr>
        <w:spacing w:after="0" w:line="98" w:lineRule="exact"/>
        <w:rPr>
          <w:sz w:val="20"/>
          <w:szCs w:val="20"/>
          <w:color w:val="auto"/>
        </w:rPr>
      </w:pPr>
    </w:p>
    <w:p>
      <w:pPr>
        <w:ind w:left="2160" w:right="559" w:hanging="332"/>
        <w:spacing w:after="0" w:line="257"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7"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71" w:lineRule="exact"/>
        <w:rPr>
          <w:sz w:val="20"/>
          <w:szCs w:val="20"/>
          <w:color w:val="auto"/>
        </w:rPr>
      </w:pPr>
    </w:p>
    <w:p>
      <w:pPr>
        <w:ind w:left="1420" w:right="319" w:firstLine="338"/>
        <w:spacing w:after="0" w:line="277" w:lineRule="auto"/>
        <w:rPr>
          <w:sz w:val="20"/>
          <w:szCs w:val="20"/>
          <w:color w:val="auto"/>
        </w:rPr>
      </w:pPr>
      <w:r>
        <w:rPr>
          <w:rFonts w:ascii="Times New Roman" w:cs="Times New Roman" w:eastAsia="Times New Roman" w:hAnsi="Times New Roman"/>
          <w:sz w:val="14"/>
          <w:szCs w:val="14"/>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The Trustee under the Indenture</w:t>
      </w:r>
    </w:p>
    <w:p>
      <w:pPr>
        <w:spacing w:after="0" w:line="90" w:lineRule="exact"/>
        <w:rPr>
          <w:sz w:val="20"/>
          <w:szCs w:val="20"/>
          <w:color w:val="auto"/>
        </w:rPr>
      </w:pPr>
    </w:p>
    <w:p>
      <w:pPr>
        <w:ind w:left="1420" w:right="339" w:firstLine="338"/>
        <w:spacing w:after="0" w:line="277" w:lineRule="auto"/>
        <w:rPr>
          <w:sz w:val="20"/>
          <w:szCs w:val="20"/>
          <w:color w:val="auto"/>
        </w:rPr>
      </w:pPr>
      <w:r>
        <w:rPr>
          <w:rFonts w:ascii="Times New Roman" w:cs="Times New Roman" w:eastAsia="Times New Roman" w:hAnsi="Times New Roman"/>
          <w:sz w:val="14"/>
          <w:szCs w:val="14"/>
          <w:color w:val="auto"/>
        </w:rPr>
        <w:t>American Stock Transfer &amp; Trust Company, LLC is the trustee under the indenture and the 2026 Notes. Mishmeret Trust Company, Ltd. serves as trustee for our 2023 Notes.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Certain Considerations Relating to Foreign Currencies</w:t>
      </w:r>
    </w:p>
    <w:p>
      <w:pPr>
        <w:spacing w:after="0" w:line="90" w:lineRule="exact"/>
        <w:rPr>
          <w:sz w:val="20"/>
          <w:szCs w:val="20"/>
          <w:color w:val="auto"/>
        </w:rPr>
      </w:pPr>
    </w:p>
    <w:p>
      <w:pPr>
        <w:ind w:left="1420" w:right="679" w:firstLine="338"/>
        <w:spacing w:after="0" w:line="257" w:lineRule="auto"/>
        <w:rPr>
          <w:sz w:val="20"/>
          <w:szCs w:val="20"/>
          <w:color w:val="auto"/>
        </w:rPr>
      </w:pPr>
      <w:r>
        <w:rPr>
          <w:rFonts w:ascii="Times New Roman" w:cs="Times New Roman" w:eastAsia="Times New Roman" w:hAnsi="Times New Roman"/>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BROKERAGE ALLOCATIONS AND OTHER PRACTICES</w:t>
      </w:r>
    </w:p>
    <w:p>
      <w:pPr>
        <w:spacing w:after="0" w:line="173" w:lineRule="exact"/>
        <w:rPr>
          <w:sz w:val="20"/>
          <w:szCs w:val="20"/>
          <w:color w:val="auto"/>
        </w:rPr>
      </w:pPr>
    </w:p>
    <w:p>
      <w:pPr>
        <w:ind w:left="1420" w:right="379" w:firstLine="338"/>
        <w:spacing w:after="0" w:line="250" w:lineRule="auto"/>
        <w:rPr>
          <w:sz w:val="20"/>
          <w:szCs w:val="20"/>
          <w:color w:val="auto"/>
        </w:rPr>
      </w:pPr>
      <w:r>
        <w:rPr>
          <w:rFonts w:ascii="Times New Roman" w:cs="Times New Roman" w:eastAsia="Times New Roman" w:hAnsi="Times New Roman"/>
          <w:sz w:val="14"/>
          <w:szCs w:val="14"/>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2"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3" w:lineRule="exact"/>
        <w:rPr>
          <w:sz w:val="20"/>
          <w:szCs w:val="20"/>
          <w:color w:val="auto"/>
        </w:rPr>
      </w:pPr>
    </w:p>
    <w:p>
      <w:pPr>
        <w:ind w:left="1420" w:right="279" w:firstLine="338"/>
        <w:spacing w:after="0" w:line="250" w:lineRule="auto"/>
        <w:rPr>
          <w:sz w:val="20"/>
          <w:szCs w:val="20"/>
          <w:color w:val="auto"/>
        </w:rPr>
      </w:pPr>
      <w:r>
        <w:rPr>
          <w:rFonts w:ascii="Times New Roman" w:cs="Times New Roman" w:eastAsia="Times New Roman" w:hAnsi="Times New Roman"/>
          <w:sz w:val="14"/>
          <w:szCs w:val="14"/>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 “U.S. stockholder” generally is a beneficial owner of shares of our common stock that is for U.S. federal income tax purposes:</w:t>
      </w:r>
    </w:p>
    <w:p>
      <w:pPr>
        <w:spacing w:after="0" w:line="98" w:lineRule="exact"/>
        <w:rPr>
          <w:sz w:val="20"/>
          <w:szCs w:val="20"/>
          <w:color w:val="auto"/>
        </w:rPr>
      </w:pPr>
    </w:p>
    <w:p>
      <w:pPr>
        <w:ind w:left="2160" w:hanging="33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8" w:lineRule="exact"/>
        <w:rPr>
          <w:rFonts w:ascii="Times New Roman" w:cs="Times New Roman" w:eastAsia="Times New Roman" w:hAnsi="Times New Roman"/>
          <w:sz w:val="14"/>
          <w:szCs w:val="14"/>
          <w:color w:val="auto"/>
        </w:rPr>
      </w:pPr>
    </w:p>
    <w:p>
      <w:pPr>
        <w:ind w:left="2160" w:right="339" w:hanging="332"/>
        <w:spacing w:after="0" w:line="277"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53" w:lineRule="exact"/>
        <w:rPr>
          <w:rFonts w:ascii="Times New Roman" w:cs="Times New Roman" w:eastAsia="Times New Roman" w:hAnsi="Times New Roman"/>
          <w:sz w:val="14"/>
          <w:szCs w:val="14"/>
          <w:color w:val="auto"/>
        </w:rPr>
      </w:pPr>
    </w:p>
    <w:p>
      <w:pPr>
        <w:ind w:left="2160" w:right="479" w:hanging="332"/>
        <w:spacing w:after="0" w:line="262"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w:t>
      </w:r>
    </w:p>
    <w:p>
      <w:pPr>
        <w:spacing w:after="0" w:line="171" w:lineRule="exact"/>
        <w:rPr>
          <w:sz w:val="20"/>
          <w:szCs w:val="20"/>
          <w:color w:val="auto"/>
        </w:rPr>
      </w:pPr>
    </w:p>
    <w:p>
      <w:pPr>
        <w:ind w:left="1420" w:right="319" w:firstLine="338"/>
        <w:spacing w:after="0" w:line="277" w:lineRule="auto"/>
        <w:rPr>
          <w:sz w:val="20"/>
          <w:szCs w:val="20"/>
          <w:color w:val="auto"/>
        </w:rPr>
      </w:pPr>
      <w:r>
        <w:rPr>
          <w:rFonts w:ascii="Times New Roman" w:cs="Times New Roman" w:eastAsia="Times New Roman" w:hAnsi="Times New Roman"/>
          <w:sz w:val="14"/>
          <w:szCs w:val="14"/>
          <w:color w:val="auto"/>
        </w:rPr>
        <w:t>A “Non-U.S. stockholder” is a beneficial owner of shares of our common stock that is neither a U.S. stockholder nor a partnership for U.S. federal income tax purposes.</w:t>
      </w:r>
    </w:p>
    <w:p>
      <w:pPr>
        <w:spacing w:after="0" w:line="126" w:lineRule="exact"/>
        <w:rPr>
          <w:sz w:val="20"/>
          <w:szCs w:val="20"/>
          <w:color w:val="auto"/>
        </w:rPr>
      </w:pPr>
    </w:p>
    <w:p>
      <w:pPr>
        <w:ind w:left="1420" w:right="339" w:firstLine="338"/>
        <w:spacing w:after="0" w:line="257" w:lineRule="auto"/>
        <w:rPr>
          <w:sz w:val="20"/>
          <w:szCs w:val="20"/>
          <w:color w:val="auto"/>
        </w:rPr>
      </w:pPr>
      <w:r>
        <w:rPr>
          <w:rFonts w:ascii="Times New Roman" w:cs="Times New Roman" w:eastAsia="Times New Roman" w:hAnsi="Times New Roman"/>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0" w:lineRule="exact"/>
        <w:rPr>
          <w:sz w:val="20"/>
          <w:szCs w:val="20"/>
          <w:color w:val="auto"/>
        </w:rPr>
      </w:pPr>
    </w:p>
    <w:p>
      <w:pPr>
        <w:jc w:val="both"/>
        <w:ind w:left="1420" w:right="379" w:firstLine="338"/>
        <w:spacing w:after="0" w:line="257" w:lineRule="auto"/>
        <w:rPr>
          <w:sz w:val="20"/>
          <w:szCs w:val="20"/>
          <w:color w:val="auto"/>
        </w:rPr>
      </w:pPr>
      <w:r>
        <w:rPr>
          <w:rFonts w:ascii="Times New Roman" w:cs="Times New Roman" w:eastAsia="Times New Roman" w:hAnsi="Times New Roman"/>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Taxation in Connection with Holding Securities other than our Common Stock</w:t>
      </w:r>
    </w:p>
    <w:p>
      <w:pPr>
        <w:spacing w:after="0" w:line="90" w:lineRule="exact"/>
        <w:rPr>
          <w:sz w:val="20"/>
          <w:szCs w:val="20"/>
          <w:color w:val="auto"/>
        </w:rPr>
      </w:pPr>
    </w:p>
    <w:p>
      <w:pPr>
        <w:ind w:left="1420" w:right="419" w:firstLine="338"/>
        <w:spacing w:after="0" w:line="291" w:lineRule="auto"/>
        <w:rPr>
          <w:sz w:val="20"/>
          <w:szCs w:val="20"/>
          <w:color w:val="auto"/>
        </w:rPr>
      </w:pPr>
      <w:r>
        <w:rPr>
          <w:rFonts w:ascii="Times New Roman" w:cs="Times New Roman" w:eastAsia="Times New Roman" w:hAnsi="Times New Roman"/>
          <w:sz w:val="13"/>
          <w:szCs w:val="13"/>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2"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spacing w:after="0" w:line="277" w:lineRule="auto"/>
        <w:rPr>
          <w:sz w:val="20"/>
          <w:szCs w:val="20"/>
          <w:color w:val="auto"/>
        </w:rPr>
      </w:pPr>
      <w:r>
        <w:rPr>
          <w:rFonts w:ascii="Times New Roman" w:cs="Times New Roman" w:eastAsia="Times New Roman" w:hAnsi="Times New Roman"/>
          <w:sz w:val="14"/>
          <w:szCs w:val="14"/>
          <w:color w:val="auto"/>
        </w:rPr>
        <w:t>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Election to be Taxed as a RIC</w:t>
      </w:r>
    </w:p>
    <w:p>
      <w:pPr>
        <w:spacing w:after="0" w:line="90" w:lineRule="exact"/>
        <w:rPr>
          <w:sz w:val="20"/>
          <w:szCs w:val="20"/>
          <w:color w:val="auto"/>
        </w:rPr>
      </w:pPr>
    </w:p>
    <w:p>
      <w:pPr>
        <w:ind w:left="1420" w:right="399" w:firstLine="338"/>
        <w:spacing w:after="0" w:line="253"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In order to qualify as a RIC for federal income tax purposes, we must:</w:t>
      </w:r>
    </w:p>
    <w:p>
      <w:pPr>
        <w:spacing w:after="0" w:line="98" w:lineRule="exact"/>
        <w:rPr>
          <w:sz w:val="20"/>
          <w:szCs w:val="20"/>
          <w:color w:val="auto"/>
        </w:rPr>
      </w:pPr>
    </w:p>
    <w:p>
      <w:pPr>
        <w:ind w:left="2160" w:hanging="33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 election to be treated as a BDC under the 1940 Act at all times during each taxable year;</w:t>
      </w:r>
    </w:p>
    <w:p>
      <w:pPr>
        <w:spacing w:after="0" w:line="98" w:lineRule="exact"/>
        <w:rPr>
          <w:rFonts w:ascii="Times New Roman" w:cs="Times New Roman" w:eastAsia="Times New Roman" w:hAnsi="Times New Roman"/>
          <w:sz w:val="14"/>
          <w:szCs w:val="14"/>
          <w:color w:val="auto"/>
        </w:rPr>
      </w:pPr>
    </w:p>
    <w:p>
      <w:pPr>
        <w:ind w:left="2160" w:right="319" w:hanging="332"/>
        <w:spacing w:after="0" w:line="262"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6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or the Diversification Tests, so that at the end of each quarter of the taxable year:</w:t>
      </w:r>
    </w:p>
    <w:p>
      <w:pPr>
        <w:spacing w:after="0" w:line="98" w:lineRule="exact"/>
        <w:rPr>
          <w:rFonts w:ascii="Times New Roman" w:cs="Times New Roman" w:eastAsia="Times New Roman" w:hAnsi="Times New Roman"/>
          <w:sz w:val="14"/>
          <w:szCs w:val="14"/>
          <w:color w:val="auto"/>
        </w:rPr>
      </w:pPr>
    </w:p>
    <w:p>
      <w:pPr>
        <w:ind w:left="2500" w:right="439" w:hanging="330"/>
        <w:spacing w:after="0" w:line="262" w:lineRule="auto"/>
        <w:tabs>
          <w:tab w:leader="none" w:pos="2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63" w:lineRule="exact"/>
        <w:rPr>
          <w:rFonts w:ascii="Times New Roman" w:cs="Times New Roman" w:eastAsia="Times New Roman" w:hAnsi="Times New Roman"/>
          <w:sz w:val="14"/>
          <w:szCs w:val="14"/>
          <w:color w:val="auto"/>
        </w:rPr>
      </w:pPr>
    </w:p>
    <w:p>
      <w:pPr>
        <w:jc w:val="both"/>
        <w:ind w:left="2500" w:right="299" w:hanging="330"/>
        <w:spacing w:after="0" w:line="262" w:lineRule="auto"/>
        <w:tabs>
          <w:tab w:leader="none" w:pos="2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6" w:lineRule="exact"/>
        <w:rPr>
          <w:sz w:val="20"/>
          <w:szCs w:val="20"/>
          <w:color w:val="auto"/>
        </w:rPr>
      </w:pPr>
    </w:p>
    <w:p>
      <w:pPr>
        <w:ind w:left="1420" w:right="299" w:firstLine="338"/>
        <w:spacing w:after="0" w:line="251"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44" w:lineRule="exact"/>
        <w:rPr>
          <w:sz w:val="20"/>
          <w:szCs w:val="20"/>
          <w:color w:val="auto"/>
        </w:rPr>
      </w:pPr>
    </w:p>
    <w:p>
      <w:pPr>
        <w:jc w:val="both"/>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2"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699"/>
        <w:spacing w:after="0" w:line="277" w:lineRule="auto"/>
        <w:rPr>
          <w:sz w:val="20"/>
          <w:szCs w:val="20"/>
          <w:color w:val="auto"/>
        </w:rPr>
      </w:pPr>
      <w:r>
        <w:rPr>
          <w:rFonts w:ascii="Times New Roman" w:cs="Times New Roman" w:eastAsia="Times New Roman" w:hAnsi="Times New Roman"/>
          <w:sz w:val="14"/>
          <w:szCs w:val="14"/>
          <w:color w:val="auto"/>
        </w:rPr>
        <w:t>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26"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Taxation as a RIC</w:t>
      </w:r>
    </w:p>
    <w:p>
      <w:pPr>
        <w:spacing w:after="0" w:line="90" w:lineRule="exact"/>
        <w:rPr>
          <w:sz w:val="20"/>
          <w:szCs w:val="20"/>
          <w:color w:val="auto"/>
        </w:rPr>
      </w:pPr>
    </w:p>
    <w:p>
      <w:pPr>
        <w:ind w:left="1420" w:right="299" w:firstLine="338"/>
        <w:spacing w:after="0" w:line="253" w:lineRule="auto"/>
        <w:rPr>
          <w:sz w:val="20"/>
          <w:szCs w:val="20"/>
          <w:color w:val="auto"/>
        </w:rPr>
      </w:pPr>
      <w:r>
        <w:rPr>
          <w:rFonts w:ascii="Times New Roman" w:cs="Times New Roman" w:eastAsia="Times New Roman" w:hAnsi="Times New Roman"/>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43" w:lineRule="exact"/>
        <w:rPr>
          <w:sz w:val="20"/>
          <w:szCs w:val="20"/>
          <w:color w:val="auto"/>
        </w:rPr>
      </w:pPr>
    </w:p>
    <w:p>
      <w:pPr>
        <w:ind w:left="1420" w:right="279" w:firstLine="338"/>
        <w:spacing w:after="0" w:line="253" w:lineRule="auto"/>
        <w:rPr>
          <w:sz w:val="20"/>
          <w:szCs w:val="20"/>
          <w:color w:val="auto"/>
        </w:rPr>
      </w:pPr>
      <w:r>
        <w:rPr>
          <w:rFonts w:ascii="Times New Roman" w:cs="Times New Roman" w:eastAsia="Times New Roman" w:hAnsi="Times New Roman"/>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3"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44" w:lineRule="exact"/>
        <w:rPr>
          <w:sz w:val="20"/>
          <w:szCs w:val="20"/>
          <w:color w:val="auto"/>
        </w:rPr>
      </w:pPr>
    </w:p>
    <w:p>
      <w:pPr>
        <w:ind w:left="1420" w:right="339" w:firstLine="338"/>
        <w:spacing w:after="0" w:line="251" w:lineRule="auto"/>
        <w:rPr>
          <w:sz w:val="20"/>
          <w:szCs w:val="20"/>
          <w:color w:val="auto"/>
        </w:rPr>
      </w:pPr>
      <w:r>
        <w:rPr>
          <w:rFonts w:ascii="Times New Roman" w:cs="Times New Roman" w:eastAsia="Times New Roman" w:hAnsi="Times New Roman"/>
          <w:sz w:val="14"/>
          <w:szCs w:val="14"/>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2"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Certain of our investment practices may be subject to special and complex U.S. federal income tax provisions that may, among other things,</w:t>
      </w:r>
    </w:p>
    <w:p>
      <w:pPr>
        <w:spacing w:after="0" w:line="20" w:lineRule="exact"/>
        <w:rPr>
          <w:sz w:val="20"/>
          <w:szCs w:val="20"/>
          <w:color w:val="auto"/>
        </w:rPr>
      </w:pPr>
    </w:p>
    <w:p>
      <w:pPr>
        <w:ind w:left="1420" w:right="339" w:hanging="7"/>
        <w:spacing w:after="0" w:line="248" w:lineRule="auto"/>
        <w:tabs>
          <w:tab w:leader="none" w:pos="160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47" w:lineRule="exact"/>
        <w:rPr>
          <w:sz w:val="20"/>
          <w:szCs w:val="20"/>
          <w:color w:val="auto"/>
        </w:rPr>
      </w:pPr>
    </w:p>
    <w:p>
      <w:pPr>
        <w:ind w:left="1420" w:right="739" w:firstLine="338"/>
        <w:spacing w:after="0" w:line="262" w:lineRule="auto"/>
        <w:rPr>
          <w:sz w:val="20"/>
          <w:szCs w:val="20"/>
          <w:color w:val="auto"/>
        </w:rPr>
      </w:pPr>
      <w:r>
        <w:rPr>
          <w:rFonts w:ascii="Times New Roman" w:cs="Times New Roman" w:eastAsia="Times New Roman" w:hAnsi="Times New Roman"/>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36" w:lineRule="exact"/>
        <w:rPr>
          <w:sz w:val="20"/>
          <w:szCs w:val="20"/>
          <w:color w:val="auto"/>
        </w:rPr>
      </w:pPr>
    </w:p>
    <w:p>
      <w:pPr>
        <w:ind w:left="1420" w:right="379" w:firstLine="338"/>
        <w:spacing w:after="0" w:line="253" w:lineRule="auto"/>
        <w:rPr>
          <w:sz w:val="20"/>
          <w:szCs w:val="20"/>
          <w:color w:val="auto"/>
        </w:rPr>
      </w:pPr>
      <w:r>
        <w:rPr>
          <w:rFonts w:ascii="Times New Roman" w:cs="Times New Roman" w:eastAsia="Times New Roman" w:hAnsi="Times New Roman"/>
          <w:sz w:val="14"/>
          <w:szCs w:val="14"/>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3"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44" w:lineRule="exact"/>
        <w:rPr>
          <w:sz w:val="20"/>
          <w:szCs w:val="20"/>
          <w:color w:val="auto"/>
        </w:rPr>
      </w:pPr>
    </w:p>
    <w:p>
      <w:pPr>
        <w:ind w:left="1420" w:right="319" w:firstLine="338"/>
        <w:spacing w:after="0" w:line="251" w:lineRule="auto"/>
        <w:rPr>
          <w:sz w:val="20"/>
          <w:szCs w:val="20"/>
          <w:color w:val="auto"/>
        </w:rPr>
      </w:pPr>
      <w:r>
        <w:rPr>
          <w:rFonts w:ascii="Times New Roman" w:cs="Times New Roman" w:eastAsia="Times New Roman" w:hAnsi="Times New Roman"/>
          <w:sz w:val="14"/>
          <w:szCs w:val="14"/>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2"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43" w:lineRule="exact"/>
        <w:rPr>
          <w:sz w:val="20"/>
          <w:szCs w:val="20"/>
          <w:color w:val="auto"/>
        </w:rPr>
      </w:pPr>
    </w:p>
    <w:p>
      <w:pPr>
        <w:ind w:left="1420" w:right="299" w:firstLine="338"/>
        <w:spacing w:after="0" w:line="272" w:lineRule="auto"/>
        <w:rPr>
          <w:sz w:val="20"/>
          <w:szCs w:val="20"/>
          <w:color w:val="auto"/>
        </w:rPr>
      </w:pPr>
      <w:r>
        <w:rPr>
          <w:rFonts w:ascii="Times New Roman" w:cs="Times New Roman" w:eastAsia="Times New Roman" w:hAnsi="Times New Roman"/>
          <w:sz w:val="13"/>
          <w:szCs w:val="13"/>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34"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44" w:lineRule="exact"/>
        <w:rPr>
          <w:sz w:val="20"/>
          <w:szCs w:val="20"/>
          <w:color w:val="auto"/>
        </w:rPr>
      </w:pPr>
    </w:p>
    <w:p>
      <w:pPr>
        <w:ind w:left="1420" w:right="359" w:firstLine="338"/>
        <w:spacing w:after="0" w:line="270" w:lineRule="auto"/>
        <w:rPr>
          <w:sz w:val="20"/>
          <w:szCs w:val="20"/>
          <w:color w:val="auto"/>
        </w:rPr>
      </w:pPr>
      <w:r>
        <w:rPr>
          <w:rFonts w:ascii="Times New Roman" w:cs="Times New Roman" w:eastAsia="Times New Roman" w:hAnsi="Times New Roman"/>
          <w:sz w:val="13"/>
          <w:szCs w:val="13"/>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39" w:lineRule="exact"/>
        <w:rPr>
          <w:sz w:val="20"/>
          <w:szCs w:val="20"/>
          <w:color w:val="auto"/>
        </w:rPr>
      </w:pPr>
    </w:p>
    <w:p>
      <w:pPr>
        <w:jc w:val="both"/>
        <w:ind w:left="1420" w:right="399" w:firstLine="338"/>
        <w:spacing w:after="0" w:line="262" w:lineRule="auto"/>
        <w:rPr>
          <w:sz w:val="20"/>
          <w:szCs w:val="20"/>
          <w:color w:val="auto"/>
        </w:rPr>
      </w:pPr>
      <w:r>
        <w:rPr>
          <w:rFonts w:ascii="Times New Roman" w:cs="Times New Roman" w:eastAsia="Times New Roman" w:hAnsi="Times New Roman"/>
          <w:sz w:val="14"/>
          <w:szCs w:val="14"/>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59"/>
        <w:spacing w:after="0" w:line="254" w:lineRule="auto"/>
        <w:rPr>
          <w:sz w:val="20"/>
          <w:szCs w:val="20"/>
          <w:color w:val="auto"/>
        </w:rPr>
      </w:pPr>
      <w:r>
        <w:rPr>
          <w:rFonts w:ascii="Times New Roman" w:cs="Times New Roman" w:eastAsia="Times New Roman" w:hAnsi="Times New Roman"/>
          <w:sz w:val="14"/>
          <w:szCs w:val="14"/>
          <w:color w:val="auto"/>
        </w:rPr>
        <w:t>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Failure to Qualify as a RIC</w:t>
      </w:r>
    </w:p>
    <w:p>
      <w:pPr>
        <w:spacing w:after="0" w:line="90" w:lineRule="exact"/>
        <w:rPr>
          <w:sz w:val="20"/>
          <w:szCs w:val="20"/>
          <w:color w:val="auto"/>
        </w:rPr>
      </w:pPr>
    </w:p>
    <w:p>
      <w:pPr>
        <w:ind w:left="1420" w:right="359" w:firstLine="338"/>
        <w:spacing w:after="0" w:line="254" w:lineRule="auto"/>
        <w:rPr>
          <w:sz w:val="20"/>
          <w:szCs w:val="20"/>
          <w:color w:val="auto"/>
        </w:rPr>
      </w:pPr>
      <w:r>
        <w:rPr>
          <w:rFonts w:ascii="Times New Roman" w:cs="Times New Roman" w:eastAsia="Times New Roman" w:hAnsi="Times New Roman"/>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44" w:lineRule="exact"/>
        <w:rPr>
          <w:sz w:val="20"/>
          <w:szCs w:val="20"/>
          <w:color w:val="auto"/>
        </w:rPr>
      </w:pPr>
    </w:p>
    <w:p>
      <w:pPr>
        <w:ind w:left="1420" w:right="319" w:firstLine="338"/>
        <w:spacing w:after="0" w:line="249" w:lineRule="auto"/>
        <w:rPr>
          <w:sz w:val="20"/>
          <w:szCs w:val="20"/>
          <w:color w:val="auto"/>
        </w:rPr>
      </w:pPr>
      <w:r>
        <w:rPr>
          <w:rFonts w:ascii="Times New Roman" w:cs="Times New Roman" w:eastAsia="Times New Roman" w:hAnsi="Times New Roman"/>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remainder of this discussion assumes that we qualify as a RIC and have satisfied the Annual Distribution Requirement.</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Taxation of U.S. Stockholders</w:t>
      </w:r>
    </w:p>
    <w:p>
      <w:pPr>
        <w:spacing w:after="0" w:line="90" w:lineRule="exact"/>
        <w:rPr>
          <w:sz w:val="20"/>
          <w:szCs w:val="20"/>
          <w:color w:val="auto"/>
        </w:rPr>
      </w:pPr>
    </w:p>
    <w:p>
      <w:pPr>
        <w:ind w:left="1420" w:right="419" w:firstLine="338"/>
        <w:spacing w:after="0" w:line="251" w:lineRule="auto"/>
        <w:rPr>
          <w:sz w:val="20"/>
          <w:szCs w:val="20"/>
          <w:color w:val="auto"/>
        </w:rPr>
      </w:pPr>
      <w:r>
        <w:rPr>
          <w:rFonts w:ascii="Times New Roman" w:cs="Times New Roman" w:eastAsia="Times New Roman" w:hAnsi="Times New Roman"/>
          <w:sz w:val="14"/>
          <w:szCs w:val="14"/>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firstLine="338"/>
        <w:spacing w:after="0" w:line="252" w:lineRule="auto"/>
        <w:rPr>
          <w:sz w:val="20"/>
          <w:szCs w:val="20"/>
          <w:color w:val="auto"/>
        </w:rPr>
      </w:pPr>
      <w:r>
        <w:rPr>
          <w:rFonts w:ascii="Times New Roman" w:cs="Times New Roman" w:eastAsia="Times New Roman" w:hAnsi="Times New Roman"/>
          <w:sz w:val="14"/>
          <w:szCs w:val="14"/>
          <w:color w:val="auto"/>
        </w:rPr>
        <w:t>To the extent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44"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4" w:lineRule="exact"/>
        <w:rPr>
          <w:sz w:val="20"/>
          <w:szCs w:val="20"/>
          <w:color w:val="auto"/>
        </w:rPr>
      </w:pPr>
    </w:p>
    <w:p>
      <w:pPr>
        <w:ind w:left="1420" w:right="359" w:firstLine="338"/>
        <w:spacing w:after="0" w:line="277" w:lineRule="auto"/>
        <w:rPr>
          <w:sz w:val="20"/>
          <w:szCs w:val="20"/>
          <w:color w:val="auto"/>
        </w:rPr>
      </w:pPr>
      <w:r>
        <w:rPr>
          <w:rFonts w:ascii="Times New Roman" w:cs="Times New Roman" w:eastAsia="Times New Roman" w:hAnsi="Times New Roman"/>
          <w:sz w:val="14"/>
          <w:szCs w:val="14"/>
          <w:color w:val="auto"/>
        </w:rPr>
        <w:t>Distributions out of our current and accumulated earnings and profits will not be eligible for the 20% pass through deduction under Section 199A of the Code.</w:t>
      </w:r>
    </w:p>
    <w:p>
      <w:pPr>
        <w:spacing w:after="0" w:line="126" w:lineRule="exact"/>
        <w:rPr>
          <w:sz w:val="20"/>
          <w:szCs w:val="20"/>
          <w:color w:val="auto"/>
        </w:rPr>
      </w:pPr>
    </w:p>
    <w:p>
      <w:pPr>
        <w:ind w:left="1420" w:right="319" w:firstLine="338"/>
        <w:spacing w:after="0" w:line="253" w:lineRule="auto"/>
        <w:rPr>
          <w:sz w:val="20"/>
          <w:szCs w:val="20"/>
          <w:color w:val="auto"/>
        </w:rPr>
      </w:pPr>
      <w:r>
        <w:rPr>
          <w:rFonts w:ascii="Times New Roman" w:cs="Times New Roman" w:eastAsia="Times New Roman" w:hAnsi="Times New Roman"/>
          <w:sz w:val="14"/>
          <w:szCs w:val="14"/>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43" w:lineRule="exact"/>
        <w:rPr>
          <w:sz w:val="20"/>
          <w:szCs w:val="20"/>
          <w:color w:val="auto"/>
        </w:rPr>
      </w:pPr>
    </w:p>
    <w:p>
      <w:pPr>
        <w:ind w:left="1420" w:right="339" w:firstLine="338"/>
        <w:spacing w:after="0" w:line="249" w:lineRule="auto"/>
        <w:rPr>
          <w:sz w:val="20"/>
          <w:szCs w:val="20"/>
          <w:color w:val="auto"/>
        </w:rPr>
      </w:pPr>
      <w:r>
        <w:rPr>
          <w:rFonts w:ascii="Times New Roman" w:cs="Times New Roman" w:eastAsia="Times New Roman" w:hAnsi="Times New Roman"/>
          <w:sz w:val="14"/>
          <w:szCs w:val="14"/>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51" w:lineRule="exact"/>
        <w:rPr>
          <w:sz w:val="20"/>
          <w:szCs w:val="20"/>
          <w:color w:val="auto"/>
        </w:rPr>
      </w:pPr>
    </w:p>
    <w:p>
      <w:pPr>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2"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79"/>
        <w:spacing w:after="0" w:line="257" w:lineRule="auto"/>
        <w:rPr>
          <w:sz w:val="20"/>
          <w:szCs w:val="20"/>
          <w:color w:val="auto"/>
        </w:rPr>
      </w:pPr>
      <w:r>
        <w:rPr>
          <w:rFonts w:ascii="Times New Roman" w:cs="Times New Roman" w:eastAsia="Times New Roman" w:hAnsi="Times New Roman"/>
          <w:sz w:val="14"/>
          <w:szCs w:val="14"/>
          <w:color w:val="auto"/>
        </w:rPr>
        <w:t>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40" w:lineRule="exact"/>
        <w:rPr>
          <w:sz w:val="20"/>
          <w:szCs w:val="20"/>
          <w:color w:val="auto"/>
        </w:rPr>
      </w:pPr>
    </w:p>
    <w:p>
      <w:pPr>
        <w:jc w:val="both"/>
        <w:ind w:left="1420" w:right="359" w:firstLine="338"/>
        <w:spacing w:after="0" w:line="317" w:lineRule="auto"/>
        <w:rPr>
          <w:sz w:val="20"/>
          <w:szCs w:val="20"/>
          <w:color w:val="auto"/>
        </w:rPr>
      </w:pPr>
      <w:r>
        <w:rPr>
          <w:rFonts w:ascii="Times New Roman" w:cs="Times New Roman" w:eastAsia="Times New Roman" w:hAnsi="Times New Roman"/>
          <w:sz w:val="13"/>
          <w:szCs w:val="13"/>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3"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40" w:lineRule="exact"/>
        <w:rPr>
          <w:sz w:val="20"/>
          <w:szCs w:val="20"/>
          <w:color w:val="auto"/>
        </w:rPr>
      </w:pPr>
    </w:p>
    <w:p>
      <w:pPr>
        <w:ind w:left="1420" w:right="319" w:firstLine="338"/>
        <w:spacing w:after="0" w:line="252" w:lineRule="auto"/>
        <w:rPr>
          <w:sz w:val="20"/>
          <w:szCs w:val="20"/>
          <w:color w:val="auto"/>
        </w:rPr>
      </w:pPr>
      <w:r>
        <w:rPr>
          <w:rFonts w:ascii="Times New Roman" w:cs="Times New Roman" w:eastAsia="Times New Roman" w:hAnsi="Times New Roman"/>
          <w:sz w:val="14"/>
          <w:szCs w:val="14"/>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4" w:lineRule="exact"/>
        <w:rPr>
          <w:sz w:val="20"/>
          <w:szCs w:val="20"/>
          <w:color w:val="auto"/>
        </w:rPr>
      </w:pPr>
    </w:p>
    <w:p>
      <w:pPr>
        <w:ind w:left="1420" w:right="299" w:firstLine="338"/>
        <w:spacing w:after="0" w:line="251" w:lineRule="auto"/>
        <w:rPr>
          <w:sz w:val="20"/>
          <w:szCs w:val="20"/>
          <w:color w:val="auto"/>
        </w:rPr>
      </w:pPr>
      <w:r>
        <w:rPr>
          <w:rFonts w:ascii="Times New Roman" w:cs="Times New Roman" w:eastAsia="Times New Roman" w:hAnsi="Times New Roman"/>
          <w:sz w:val="14"/>
          <w:szCs w:val="14"/>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44" w:lineRule="exact"/>
        <w:rPr>
          <w:sz w:val="20"/>
          <w:szCs w:val="20"/>
          <w:color w:val="auto"/>
        </w:rPr>
      </w:pPr>
    </w:p>
    <w:p>
      <w:pPr>
        <w:ind w:left="1420" w:right="299" w:firstLine="338"/>
        <w:spacing w:after="0" w:line="257" w:lineRule="auto"/>
        <w:rPr>
          <w:sz w:val="20"/>
          <w:szCs w:val="20"/>
          <w:color w:val="auto"/>
        </w:rPr>
      </w:pPr>
      <w:r>
        <w:rPr>
          <w:rFonts w:ascii="Times New Roman" w:cs="Times New Roman" w:eastAsia="Times New Roman" w:hAnsi="Times New Roman"/>
          <w:sz w:val="14"/>
          <w:szCs w:val="14"/>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0" w:lineRule="exact"/>
        <w:rPr>
          <w:sz w:val="20"/>
          <w:szCs w:val="20"/>
          <w:color w:val="auto"/>
        </w:rPr>
      </w:pPr>
    </w:p>
    <w:p>
      <w:pPr>
        <w:ind w:left="1420" w:right="299" w:firstLine="338"/>
        <w:spacing w:after="0" w:line="254" w:lineRule="auto"/>
        <w:rPr>
          <w:sz w:val="20"/>
          <w:szCs w:val="20"/>
          <w:color w:val="auto"/>
        </w:rPr>
      </w:pPr>
      <w:r>
        <w:rPr>
          <w:rFonts w:ascii="Times New Roman" w:cs="Times New Roman" w:eastAsia="Times New Roman" w:hAnsi="Times New Roman"/>
          <w:sz w:val="14"/>
          <w:szCs w:val="14"/>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339"/>
        <w:spacing w:after="0" w:line="262" w:lineRule="auto"/>
        <w:rPr>
          <w:sz w:val="20"/>
          <w:szCs w:val="20"/>
          <w:color w:val="auto"/>
        </w:rPr>
      </w:pPr>
      <w:r>
        <w:rPr>
          <w:rFonts w:ascii="Times New Roman" w:cs="Times New Roman" w:eastAsia="Times New Roman" w:hAnsi="Times New Roman"/>
          <w:sz w:val="14"/>
          <w:szCs w:val="14"/>
          <w:color w:val="auto"/>
        </w:rPr>
        <w:t>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36"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44" w:lineRule="exact"/>
        <w:rPr>
          <w:sz w:val="20"/>
          <w:szCs w:val="20"/>
          <w:color w:val="auto"/>
        </w:rPr>
      </w:pPr>
    </w:p>
    <w:p>
      <w:pPr>
        <w:jc w:val="both"/>
        <w:ind w:left="1420" w:right="639" w:firstLine="338"/>
        <w:spacing w:after="0" w:line="262" w:lineRule="auto"/>
        <w:rPr>
          <w:sz w:val="20"/>
          <w:szCs w:val="20"/>
          <w:color w:val="auto"/>
        </w:rPr>
      </w:pPr>
      <w:r>
        <w:rPr>
          <w:rFonts w:ascii="Times New Roman" w:cs="Times New Roman" w:eastAsia="Times New Roman" w:hAnsi="Times New Roman"/>
          <w:sz w:val="14"/>
          <w:szCs w:val="14"/>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36" w:lineRule="exact"/>
        <w:rPr>
          <w:sz w:val="20"/>
          <w:szCs w:val="20"/>
          <w:color w:val="auto"/>
        </w:rPr>
      </w:pPr>
    </w:p>
    <w:p>
      <w:pPr>
        <w:ind w:left="1420" w:right="339" w:firstLine="338"/>
        <w:spacing w:after="0" w:line="274" w:lineRule="auto"/>
        <w:rPr>
          <w:sz w:val="20"/>
          <w:szCs w:val="20"/>
          <w:color w:val="auto"/>
        </w:rPr>
      </w:pPr>
      <w:r>
        <w:rPr>
          <w:rFonts w:ascii="Times New Roman" w:cs="Times New Roman" w:eastAsia="Times New Roman" w:hAnsi="Times New Roman"/>
          <w:sz w:val="13"/>
          <w:szCs w:val="13"/>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Taxation of Tax-Exempt U.S. Stockholders</w:t>
      </w:r>
    </w:p>
    <w:p>
      <w:pPr>
        <w:spacing w:after="0" w:line="90" w:lineRule="exact"/>
        <w:rPr>
          <w:sz w:val="20"/>
          <w:szCs w:val="20"/>
          <w:color w:val="auto"/>
        </w:rPr>
      </w:pPr>
    </w:p>
    <w:p>
      <w:pPr>
        <w:ind w:left="1420" w:right="339" w:firstLine="338"/>
        <w:spacing w:after="0" w:line="270" w:lineRule="auto"/>
        <w:rPr>
          <w:sz w:val="20"/>
          <w:szCs w:val="20"/>
          <w:color w:val="auto"/>
        </w:rPr>
      </w:pPr>
      <w:r>
        <w:rPr>
          <w:rFonts w:ascii="Times New Roman" w:cs="Times New Roman" w:eastAsia="Times New Roman" w:hAnsi="Times New Roman"/>
          <w:sz w:val="13"/>
          <w:szCs w:val="13"/>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2"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Taxation of Non-U.S. Stockholders</w:t>
      </w:r>
    </w:p>
    <w:p>
      <w:pPr>
        <w:spacing w:after="0" w:line="90" w:lineRule="exact"/>
        <w:rPr>
          <w:sz w:val="20"/>
          <w:szCs w:val="20"/>
          <w:color w:val="auto"/>
        </w:rPr>
      </w:pPr>
    </w:p>
    <w:p>
      <w:pPr>
        <w:ind w:left="1420" w:right="339" w:firstLine="338"/>
        <w:spacing w:after="0" w:line="262" w:lineRule="auto"/>
        <w:rPr>
          <w:sz w:val="20"/>
          <w:szCs w:val="20"/>
          <w:color w:val="auto"/>
        </w:rPr>
      </w:pPr>
      <w:r>
        <w:rPr>
          <w:rFonts w:ascii="Times New Roman" w:cs="Times New Roman" w:eastAsia="Times New Roman" w:hAnsi="Times New Roman"/>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6" w:lineRule="exact"/>
        <w:rPr>
          <w:sz w:val="20"/>
          <w:szCs w:val="20"/>
          <w:color w:val="auto"/>
        </w:rPr>
      </w:pPr>
    </w:p>
    <w:p>
      <w:pPr>
        <w:ind w:left="1420" w:right="379" w:firstLine="338"/>
        <w:spacing w:after="0" w:line="251" w:lineRule="auto"/>
        <w:rPr>
          <w:sz w:val="20"/>
          <w:szCs w:val="20"/>
          <w:color w:val="auto"/>
        </w:rPr>
      </w:pPr>
      <w:r>
        <w:rPr>
          <w:rFonts w:ascii="Times New Roman" w:cs="Times New Roman" w:eastAsia="Times New Roman" w:hAnsi="Times New Roman"/>
          <w:sz w:val="14"/>
          <w:szCs w:val="14"/>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46" w:lineRule="exact"/>
        <w:rPr>
          <w:sz w:val="20"/>
          <w:szCs w:val="20"/>
          <w:color w:val="auto"/>
        </w:rPr>
      </w:pPr>
    </w:p>
    <w:p>
      <w:pPr>
        <w:ind w:left="1420" w:right="319" w:firstLine="338"/>
        <w:spacing w:after="0" w:line="252" w:lineRule="auto"/>
        <w:rPr>
          <w:sz w:val="20"/>
          <w:szCs w:val="20"/>
          <w:color w:val="auto"/>
        </w:rPr>
      </w:pPr>
      <w:r>
        <w:rPr>
          <w:rFonts w:ascii="Times New Roman" w:cs="Times New Roman" w:eastAsia="Times New Roman" w:hAnsi="Times New Roman"/>
          <w:sz w:val="14"/>
          <w:szCs w:val="14"/>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44" w:lineRule="exact"/>
        <w:rPr>
          <w:sz w:val="20"/>
          <w:szCs w:val="20"/>
          <w:color w:val="auto"/>
        </w:rPr>
      </w:pPr>
    </w:p>
    <w:p>
      <w:pPr>
        <w:ind w:left="1420" w:right="339" w:firstLine="338"/>
        <w:spacing w:after="0" w:line="253" w:lineRule="auto"/>
        <w:rPr>
          <w:sz w:val="20"/>
          <w:szCs w:val="20"/>
          <w:color w:val="auto"/>
        </w:rPr>
      </w:pPr>
      <w:r>
        <w:rPr>
          <w:rFonts w:ascii="Times New Roman" w:cs="Times New Roman" w:eastAsia="Times New Roman" w:hAnsi="Times New Roman"/>
          <w:sz w:val="14"/>
          <w:szCs w:val="14"/>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3" w:lineRule="exact"/>
        <w:rPr>
          <w:sz w:val="20"/>
          <w:szCs w:val="20"/>
          <w:color w:val="auto"/>
        </w:rPr>
      </w:pPr>
    </w:p>
    <w:p>
      <w:pPr>
        <w:ind w:left="1420" w:right="339" w:firstLine="338"/>
        <w:spacing w:after="0" w:line="253" w:lineRule="auto"/>
        <w:rPr>
          <w:sz w:val="20"/>
          <w:szCs w:val="20"/>
          <w:color w:val="auto"/>
        </w:rPr>
      </w:pPr>
      <w:r>
        <w:rPr>
          <w:rFonts w:ascii="Times New Roman" w:cs="Times New Roman" w:eastAsia="Times New Roman" w:hAnsi="Times New Roman"/>
          <w:sz w:val="14"/>
          <w:szCs w:val="14"/>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43" w:lineRule="exact"/>
        <w:rPr>
          <w:sz w:val="20"/>
          <w:szCs w:val="20"/>
          <w:color w:val="auto"/>
        </w:rPr>
      </w:pPr>
    </w:p>
    <w:p>
      <w:pPr>
        <w:ind w:left="1420" w:right="479" w:firstLine="338"/>
        <w:spacing w:after="0" w:line="253" w:lineRule="auto"/>
        <w:rPr>
          <w:sz w:val="20"/>
          <w:szCs w:val="20"/>
          <w:color w:val="auto"/>
        </w:rPr>
      </w:pPr>
      <w:r>
        <w:rPr>
          <w:rFonts w:ascii="Times New Roman" w:cs="Times New Roman" w:eastAsia="Times New Roman" w:hAnsi="Times New Roman"/>
          <w:sz w:val="14"/>
          <w:szCs w:val="14"/>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2"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jc w:val="both"/>
        <w:ind w:left="1420" w:right="379"/>
        <w:spacing w:after="0" w:line="262" w:lineRule="auto"/>
        <w:rPr>
          <w:sz w:val="20"/>
          <w:szCs w:val="20"/>
          <w:color w:val="auto"/>
        </w:rPr>
      </w:pPr>
      <w:r>
        <w:rPr>
          <w:rFonts w:ascii="Times New Roman" w:cs="Times New Roman" w:eastAsia="Times New Roman" w:hAnsi="Times New Roman"/>
          <w:sz w:val="14"/>
          <w:szCs w:val="14"/>
          <w:color w:val="auto"/>
        </w:rPr>
        <w:t>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36" w:lineRule="exact"/>
        <w:rPr>
          <w:sz w:val="20"/>
          <w:szCs w:val="20"/>
          <w:color w:val="auto"/>
        </w:rPr>
      </w:pPr>
    </w:p>
    <w:p>
      <w:pPr>
        <w:ind w:left="1420" w:right="299" w:firstLine="338"/>
        <w:spacing w:after="0" w:line="276" w:lineRule="auto"/>
        <w:rPr>
          <w:sz w:val="20"/>
          <w:szCs w:val="20"/>
          <w:color w:val="auto"/>
        </w:rPr>
      </w:pPr>
      <w:r>
        <w:rPr>
          <w:rFonts w:ascii="Times New Roman" w:cs="Times New Roman" w:eastAsia="Times New Roman" w:hAnsi="Times New Roman"/>
          <w:sz w:val="13"/>
          <w:szCs w:val="13"/>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30" w:lineRule="exact"/>
        <w:rPr>
          <w:sz w:val="20"/>
          <w:szCs w:val="20"/>
          <w:color w:val="auto"/>
        </w:rPr>
      </w:pPr>
    </w:p>
    <w:p>
      <w:pPr>
        <w:ind w:left="1420" w:right="319" w:firstLine="338"/>
        <w:spacing w:after="0" w:line="257" w:lineRule="auto"/>
        <w:rPr>
          <w:sz w:val="20"/>
          <w:szCs w:val="20"/>
          <w:color w:val="auto"/>
        </w:rPr>
      </w:pPr>
      <w:r>
        <w:rPr>
          <w:rFonts w:ascii="Times New Roman" w:cs="Times New Roman" w:eastAsia="Times New Roman" w:hAnsi="Times New Roman"/>
          <w:sz w:val="14"/>
          <w:szCs w:val="14"/>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4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Non-U.S. stockholders may also be subject to U.S. estate tax with respect to their investment in our common shares.</w:t>
      </w:r>
    </w:p>
    <w:p>
      <w:pPr>
        <w:spacing w:after="0" w:line="171" w:lineRule="exact"/>
        <w:rPr>
          <w:sz w:val="20"/>
          <w:szCs w:val="20"/>
          <w:color w:val="auto"/>
        </w:rPr>
      </w:pPr>
    </w:p>
    <w:p>
      <w:pPr>
        <w:ind w:left="1420" w:right="659" w:firstLine="338"/>
        <w:spacing w:after="0" w:line="277" w:lineRule="auto"/>
        <w:rPr>
          <w:sz w:val="20"/>
          <w:szCs w:val="20"/>
          <w:color w:val="auto"/>
        </w:rPr>
      </w:pPr>
      <w:r>
        <w:rPr>
          <w:rFonts w:ascii="Times New Roman" w:cs="Times New Roman" w:eastAsia="Times New Roman" w:hAnsi="Times New Roman"/>
          <w:sz w:val="14"/>
          <w:szCs w:val="14"/>
          <w:color w:val="auto"/>
        </w:rPr>
        <w:t>Non-U.S. persons should consult their own tax advisors with respect to the U.S. federal income tax and withholding tax, and state, local and foreign tax consequences of an investment in the shares.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2"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ind w:left="1420" w:right="499" w:firstLine="338"/>
        <w:spacing w:after="0" w:line="257" w:lineRule="auto"/>
        <w:rPr>
          <w:sz w:val="20"/>
          <w:szCs w:val="20"/>
          <w:color w:val="auto"/>
        </w:rPr>
      </w:pPr>
      <w:r>
        <w:rPr>
          <w:rFonts w:ascii="Times New Roman" w:cs="Times New Roman" w:eastAsia="Times New Roman" w:hAnsi="Times New Roman"/>
          <w:sz w:val="14"/>
          <w:szCs w:val="14"/>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67" w:lineRule="exact"/>
        <w:rPr>
          <w:sz w:val="20"/>
          <w:szCs w:val="20"/>
          <w:color w:val="auto"/>
        </w:rPr>
      </w:pPr>
    </w:p>
    <w:p>
      <w:pPr>
        <w:ind w:left="2160" w:hanging="332"/>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and the amounts of securities underwritten or purchased by each of them;</w:t>
      </w:r>
    </w:p>
    <w:p>
      <w:pPr>
        <w:spacing w:after="0" w:line="98" w:lineRule="exact"/>
        <w:rPr>
          <w:rFonts w:ascii="Times New Roman" w:cs="Times New Roman" w:eastAsia="Times New Roman" w:hAnsi="Times New Roman"/>
          <w:sz w:val="14"/>
          <w:szCs w:val="14"/>
          <w:color w:val="auto"/>
        </w:rPr>
      </w:pPr>
    </w:p>
    <w:p>
      <w:pPr>
        <w:ind w:left="2160" w:right="439" w:hanging="332"/>
        <w:spacing w:after="0" w:line="277"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the securities and the proceeds to us and any discounts, commissions or concessions allowed or reallowed or paid to dealers; and</w:t>
      </w:r>
    </w:p>
    <w:p>
      <w:pPr>
        <w:spacing w:after="0" w:line="53" w:lineRule="exact"/>
        <w:rPr>
          <w:rFonts w:ascii="Times New Roman" w:cs="Times New Roman" w:eastAsia="Times New Roman" w:hAnsi="Times New Roman"/>
          <w:sz w:val="14"/>
          <w:szCs w:val="14"/>
          <w:color w:val="auto"/>
        </w:rPr>
      </w:pPr>
    </w:p>
    <w:p>
      <w:pPr>
        <w:ind w:left="2160" w:hanging="332"/>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Any offering price and any discounts or concessions allowed or reallowed or paid to dealers may be changed from time to time.</w:t>
      </w:r>
    </w:p>
    <w:p>
      <w:pPr>
        <w:spacing w:after="0" w:line="171" w:lineRule="exact"/>
        <w:rPr>
          <w:sz w:val="20"/>
          <w:szCs w:val="20"/>
          <w:color w:val="auto"/>
        </w:rPr>
      </w:pPr>
    </w:p>
    <w:p>
      <w:pPr>
        <w:jc w:val="both"/>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36" w:lineRule="exact"/>
        <w:rPr>
          <w:sz w:val="20"/>
          <w:szCs w:val="20"/>
          <w:color w:val="auto"/>
        </w:rPr>
      </w:pPr>
    </w:p>
    <w:p>
      <w:pPr>
        <w:ind w:left="1420" w:right="339" w:firstLine="338"/>
        <w:spacing w:after="0" w:line="254" w:lineRule="auto"/>
        <w:rPr>
          <w:sz w:val="20"/>
          <w:szCs w:val="20"/>
          <w:color w:val="auto"/>
        </w:rPr>
      </w:pPr>
      <w:r>
        <w:rPr>
          <w:rFonts w:ascii="Times New Roman" w:cs="Times New Roman" w:eastAsia="Times New Roman" w:hAnsi="Times New Roman"/>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4" w:lineRule="exact"/>
        <w:rPr>
          <w:sz w:val="20"/>
          <w:szCs w:val="20"/>
          <w:color w:val="auto"/>
        </w:rPr>
      </w:pPr>
    </w:p>
    <w:p>
      <w:pPr>
        <w:ind w:left="1420" w:right="499" w:firstLine="338"/>
        <w:spacing w:after="0" w:line="262" w:lineRule="auto"/>
        <w:rPr>
          <w:sz w:val="20"/>
          <w:szCs w:val="20"/>
          <w:color w:val="auto"/>
        </w:rPr>
      </w:pPr>
      <w:r>
        <w:rPr>
          <w:rFonts w:ascii="Times New Roman" w:cs="Times New Roman" w:eastAsia="Times New Roman" w:hAnsi="Times New Roman"/>
          <w:sz w:val="14"/>
          <w:szCs w:val="14"/>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36" w:lineRule="exact"/>
        <w:rPr>
          <w:sz w:val="20"/>
          <w:szCs w:val="20"/>
          <w:color w:val="auto"/>
        </w:rPr>
      </w:pPr>
    </w:p>
    <w:p>
      <w:pPr>
        <w:ind w:left="1420" w:right="459" w:firstLine="338"/>
        <w:spacing w:after="0" w:line="277" w:lineRule="auto"/>
        <w:rPr>
          <w:sz w:val="20"/>
          <w:szCs w:val="20"/>
          <w:color w:val="auto"/>
        </w:rPr>
      </w:pPr>
      <w:r>
        <w:rPr>
          <w:rFonts w:ascii="Times New Roman" w:cs="Times New Roman" w:eastAsia="Times New Roman" w:hAnsi="Times New Roman"/>
          <w:sz w:val="14"/>
          <w:szCs w:val="14"/>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6" w:lineRule="exact"/>
        <w:rPr>
          <w:sz w:val="20"/>
          <w:szCs w:val="20"/>
          <w:color w:val="auto"/>
        </w:rPr>
      </w:pPr>
    </w:p>
    <w:p>
      <w:pPr>
        <w:ind w:left="1420" w:right="379" w:firstLine="338"/>
        <w:spacing w:after="0" w:line="257"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0" w:lineRule="exact"/>
        <w:rPr>
          <w:sz w:val="20"/>
          <w:szCs w:val="20"/>
          <w:color w:val="auto"/>
        </w:rPr>
      </w:pPr>
    </w:p>
    <w:p>
      <w:pPr>
        <w:jc w:val="both"/>
        <w:ind w:left="1420" w:right="399" w:firstLine="338"/>
        <w:spacing w:after="0" w:line="257" w:lineRule="auto"/>
        <w:rPr>
          <w:sz w:val="20"/>
          <w:szCs w:val="20"/>
          <w:color w:val="auto"/>
        </w:rPr>
      </w:pPr>
      <w:r>
        <w:rPr>
          <w:rFonts w:ascii="Times New Roman" w:cs="Times New Roman" w:eastAsia="Times New Roman" w:hAnsi="Times New Roman"/>
          <w:sz w:val="14"/>
          <w:szCs w:val="14"/>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2"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5" w:lineRule="exact"/>
        <w:rPr>
          <w:sz w:val="20"/>
          <w:szCs w:val="20"/>
          <w:color w:val="auto"/>
        </w:rPr>
      </w:pPr>
    </w:p>
    <w:p>
      <w:pPr>
        <w:ind w:left="1420" w:right="499"/>
        <w:spacing w:after="0" w:line="277" w:lineRule="auto"/>
        <w:rPr>
          <w:sz w:val="20"/>
          <w:szCs w:val="20"/>
          <w:color w:val="auto"/>
        </w:rPr>
      </w:pPr>
      <w:r>
        <w:rPr>
          <w:rFonts w:ascii="Times New Roman" w:cs="Times New Roman" w:eastAsia="Times New Roman" w:hAnsi="Times New Roman"/>
          <w:sz w:val="14"/>
          <w:szCs w:val="14"/>
          <w:color w:val="auto"/>
        </w:rPr>
        <w:t>pursuant to the foregoing provisions, the Registrant has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ind w:left="1420" w:right="339" w:firstLine="338"/>
        <w:spacing w:after="0" w:line="251"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2"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SUB-ADMINISTRATOR, CUSTODIAN, TRANSFER AGENT AND TRUSTEE</w:t>
      </w:r>
    </w:p>
    <w:p>
      <w:pPr>
        <w:spacing w:after="0" w:line="173" w:lineRule="exact"/>
        <w:rPr>
          <w:sz w:val="20"/>
          <w:szCs w:val="20"/>
          <w:color w:val="auto"/>
        </w:rPr>
      </w:pPr>
    </w:p>
    <w:p>
      <w:pPr>
        <w:ind w:left="1420" w:right="299" w:firstLine="338"/>
        <w:spacing w:after="0" w:line="253" w:lineRule="auto"/>
        <w:rPr>
          <w:sz w:val="20"/>
          <w:szCs w:val="20"/>
          <w:color w:val="auto"/>
        </w:rPr>
      </w:pPr>
      <w:r>
        <w:rPr>
          <w:rFonts w:ascii="Times New Roman" w:cs="Times New Roman" w:eastAsia="Times New Roman" w:hAnsi="Times New Roman"/>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AST acts as our transfer agent, distribution paying agent and registrar. AST also serves as trustee under our 2026 Notes. The principal business address of AST is 6201 15th Avenue, 3rd Floor, Brooklyn, NY 11219, telephone number: (800) 937-5449. Mishmeret Trust Company, Ltd. serves as trustee for our 2023 Notes. The principal business address of Mishmeret Trust Company, Ltd. is 46-48 Menachem Begin Road, Tel Aviv, Israel 66184.</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1420" w:right="339" w:firstLine="338"/>
        <w:spacing w:after="0" w:line="262" w:lineRule="auto"/>
        <w:rPr>
          <w:sz w:val="20"/>
          <w:szCs w:val="20"/>
          <w:color w:val="auto"/>
        </w:rPr>
      </w:pPr>
      <w:r>
        <w:rPr>
          <w:rFonts w:ascii="Times New Roman" w:cs="Times New Roman" w:eastAsia="Times New Roman" w:hAnsi="Times New Roman"/>
          <w:sz w:val="14"/>
          <w:szCs w:val="14"/>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3" w:lineRule="exact"/>
        <w:rPr>
          <w:sz w:val="20"/>
          <w:szCs w:val="20"/>
          <w:color w:val="auto"/>
        </w:rPr>
      </w:pPr>
    </w:p>
    <w:p>
      <w:pPr>
        <w:ind w:left="1420" w:right="319" w:firstLine="338"/>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PennantPark Floating Rate Capital Ltd. and Subsidiaries as of September 30, 2022 and 2021 and for each of the years in the three-year period ended September 30, 2022 incorporated in this Prospectus by reference from the PennantPark Floating Rate Capital Ltd. Annual Report on Form 10-K for the year ended September 30, 2022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spacing w:after="0" w:line="144" w:lineRule="exact"/>
        <w:rPr>
          <w:sz w:val="20"/>
          <w:szCs w:val="20"/>
          <w:color w:val="auto"/>
        </w:rPr>
      </w:pPr>
    </w:p>
    <w:p>
      <w:pPr>
        <w:ind w:left="1420" w:right="339" w:firstLine="338"/>
        <w:spacing w:after="0" w:line="262" w:lineRule="auto"/>
        <w:rPr>
          <w:sz w:val="20"/>
          <w:szCs w:val="20"/>
          <w:color w:val="auto"/>
        </w:rPr>
      </w:pPr>
      <w:r>
        <w:rPr>
          <w:rFonts w:ascii="Times New Roman" w:cs="Times New Roman" w:eastAsia="Times New Roman" w:hAnsi="Times New Roman"/>
          <w:sz w:val="14"/>
          <w:szCs w:val="14"/>
          <w:color w:val="auto"/>
        </w:rPr>
        <w:t>The senior securities table of the Company incorporated by reference under the heading “Senior Securities” has been incorporated by reference herein in reliance upon the report of RSM US LLP, an independent registered public accounting firm, as stated in their report filed as Exhibit 99.2 to the Company’s Annual Report on Form 10-K for the year ended September 30, 2022, which is incorporated herein by reference.</w:t>
      </w:r>
    </w:p>
    <w:p>
      <w:pPr>
        <w:spacing w:after="0" w:line="30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INDEPENDENT AUDITOR</w:t>
      </w:r>
    </w:p>
    <w:p>
      <w:pPr>
        <w:spacing w:after="0" w:line="173" w:lineRule="exact"/>
        <w:rPr>
          <w:sz w:val="20"/>
          <w:szCs w:val="20"/>
          <w:color w:val="auto"/>
        </w:rPr>
      </w:pPr>
    </w:p>
    <w:p>
      <w:pPr>
        <w:ind w:left="1420" w:right="319" w:firstLine="338"/>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2"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3" w:lineRule="exact"/>
        <w:rPr>
          <w:sz w:val="20"/>
          <w:szCs w:val="20"/>
          <w:color w:val="auto"/>
        </w:rPr>
      </w:pPr>
    </w:p>
    <w:p>
      <w:pPr>
        <w:ind w:left="1420" w:right="379" w:firstLine="338"/>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0" w:lineRule="exact"/>
        <w:rPr>
          <w:sz w:val="20"/>
          <w:szCs w:val="20"/>
          <w:color w:val="auto"/>
        </w:rPr>
      </w:pPr>
    </w:p>
    <w:p>
      <w:pPr>
        <w:ind w:left="1420" w:right="419" w:firstLine="338"/>
        <w:spacing w:after="0" w:line="252" w:lineRule="auto"/>
        <w:rPr>
          <w:sz w:val="20"/>
          <w:szCs w:val="20"/>
          <w:color w:val="auto"/>
        </w:rPr>
      </w:pPr>
      <w:r>
        <w:rPr>
          <w:rFonts w:ascii="Times New Roman" w:cs="Times New Roman" w:eastAsia="Times New Roman" w:hAnsi="Times New Roman"/>
          <w:sz w:val="14"/>
          <w:szCs w:val="14"/>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This prospectus and any prospectus supplement incorporates by reference the documents set forth below that have previously been filed with the</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SEC:</w:t>
      </w:r>
    </w:p>
    <w:p>
      <w:pPr>
        <w:spacing w:after="0" w:line="83" w:lineRule="exact"/>
        <w:rPr>
          <w:sz w:val="20"/>
          <w:szCs w:val="20"/>
          <w:color w:val="auto"/>
        </w:rPr>
      </w:pPr>
    </w:p>
    <w:p>
      <w:pPr>
        <w:jc w:val="both"/>
        <w:ind w:left="2160" w:right="399" w:hanging="332"/>
        <w:spacing w:after="0" w:line="262"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September 30, 2022, filed with the SEC on November 17, 2022, including the information specifically incorporated by reference to the Form 10-K from our Definitive Proxy Statement on </w:t>
      </w:r>
      <w:hyperlink r:id="rId4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December 8, 2022; and</w:t>
      </w:r>
    </w:p>
    <w:p>
      <w:pPr>
        <w:spacing w:after="0" w:line="63" w:lineRule="exact"/>
        <w:rPr>
          <w:rFonts w:ascii="Times New Roman" w:cs="Times New Roman" w:eastAsia="Times New Roman" w:hAnsi="Times New Roman"/>
          <w:sz w:val="14"/>
          <w:szCs w:val="14"/>
          <w:color w:val="auto"/>
        </w:rPr>
      </w:pPr>
    </w:p>
    <w:p>
      <w:pPr>
        <w:ind w:left="2160" w:right="319" w:hanging="332"/>
        <w:spacing w:after="0" w:line="257"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41">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3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40" w:lineRule="exact"/>
        <w:rPr>
          <w:rFonts w:ascii="Times New Roman" w:cs="Times New Roman" w:eastAsia="Times New Roman" w:hAnsi="Times New Roman"/>
          <w:sz w:val="14"/>
          <w:szCs w:val="14"/>
          <w:color w:val="auto"/>
        </w:rPr>
      </w:pPr>
    </w:p>
    <w:p>
      <w:pPr>
        <w:ind w:left="1760"/>
        <w:spacing w:after="0"/>
        <w:rPr>
          <w:sz w:val="20"/>
          <w:szCs w:val="20"/>
          <w:color w:val="auto"/>
        </w:rPr>
      </w:pPr>
      <w:r>
        <w:rPr>
          <w:rFonts w:ascii="Times New Roman" w:cs="Times New Roman" w:eastAsia="Times New Roman" w:hAnsi="Times New Roman"/>
          <w:sz w:val="14"/>
          <w:szCs w:val="14"/>
          <w:color w:val="auto"/>
        </w:rPr>
        <w:t>To obtain copies of these filings, see “Available Information.”</w:t>
      </w:r>
    </w:p>
    <w:p>
      <w:pPr>
        <w:spacing w:after="0" w:line="11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3" w:lineRule="exact"/>
        <w:rPr>
          <w:sz w:val="20"/>
          <w:szCs w:val="20"/>
          <w:color w:val="auto"/>
        </w:rPr>
      </w:pPr>
    </w:p>
    <w:p>
      <w:pPr>
        <w:ind w:left="1420" w:right="419" w:firstLine="338"/>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44" w:lineRule="exact"/>
        <w:rPr>
          <w:sz w:val="20"/>
          <w:szCs w:val="20"/>
          <w:color w:val="auto"/>
        </w:rPr>
      </w:pPr>
    </w:p>
    <w:p>
      <w:pPr>
        <w:ind w:left="1420" w:right="299" w:firstLine="338"/>
        <w:spacing w:after="0" w:line="252" w:lineRule="auto"/>
        <w:rPr>
          <w:sz w:val="20"/>
          <w:szCs w:val="20"/>
          <w:color w:val="auto"/>
        </w:rPr>
      </w:pPr>
      <w:r>
        <w:rPr>
          <w:rFonts w:ascii="Times New Roman" w:cs="Times New Roman" w:eastAsia="Times New Roman" w:hAnsi="Times New Roman"/>
          <w:sz w:val="14"/>
          <w:szCs w:val="14"/>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and any accompanying prospectus supplement,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Copies of these reports, proxy and information statements and other information may be obtained, after paying a duplicating fee, by sending a request by email to: publicinfo@sec.gov.</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184785</wp:posOffset>
            </wp:positionV>
            <wp:extent cx="537337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5373370" cy="133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224155</wp:posOffset>
            </wp:positionV>
            <wp:extent cx="537337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487680</wp:posOffset>
            </wp:positionV>
            <wp:extent cx="1560830" cy="375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4,250,000 Shares</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810260</wp:posOffset>
            </wp:positionV>
            <wp:extent cx="113284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7"/>
          <w:szCs w:val="17"/>
          <w:b w:val="1"/>
          <w:bCs w:val="1"/>
          <w:color w:val="auto"/>
        </w:rPr>
        <w:t>PRELIMARY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180975</wp:posOffset>
            </wp:positionV>
            <wp:extent cx="113284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Goldman Sachs &amp;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1272540</wp:posOffset>
            </wp:positionV>
            <wp:extent cx="113284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Keefe, Bruyette &amp; Woods</w:t>
      </w:r>
    </w:p>
    <w:p>
      <w:pPr>
        <w:spacing w:after="0" w:line="1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p>
      <w:pPr>
        <w:spacing w:after="0" w:line="200" w:lineRule="exact"/>
        <w:rPr>
          <w:sz w:val="20"/>
          <w:szCs w:val="20"/>
          <w:color w:val="auto"/>
        </w:rPr>
      </w:pPr>
    </w:p>
    <w:p>
      <w:pPr>
        <w:sectPr>
          <w:pgSz w:w="11900" w:h="16838" w:orient="portrait"/>
          <w:cols w:equalWidth="0" w:num="5">
            <w:col w:w="3040" w:space="720"/>
            <w:col w:w="1040" w:space="720"/>
            <w:col w:w="860" w:space="500"/>
            <w:col w:w="1080" w:space="720"/>
            <w:col w:w="1479"/>
          </w:cols>
          <w:pgMar w:left="300" w:top="3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60"/>
        <w:spacing w:after="0"/>
        <w:tabs>
          <w:tab w:leader="none" w:pos="5760" w:val="left"/>
        </w:tabs>
        <w:rPr>
          <w:sz w:val="20"/>
          <w:szCs w:val="20"/>
          <w:color w:val="auto"/>
        </w:rPr>
      </w:pPr>
      <w:r>
        <w:rPr>
          <w:rFonts w:ascii="Times New Roman" w:cs="Times New Roman" w:eastAsia="Times New Roman" w:hAnsi="Times New Roman"/>
          <w:sz w:val="14"/>
          <w:szCs w:val="14"/>
          <w:b w:val="1"/>
          <w:bCs w:val="1"/>
          <w:color w:val="auto"/>
        </w:rPr>
        <w:t>January</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329565</wp:posOffset>
            </wp:positionV>
            <wp:extent cx="537337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382270</wp:posOffset>
            </wp:positionV>
            <wp:extent cx="537337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5373370" cy="13335"/>
                    </a:xfrm>
                    <a:prstGeom prst="rect">
                      <a:avLst/>
                    </a:prstGeom>
                    <a:noFill/>
                  </pic:spPr>
                </pic:pic>
              </a:graphicData>
            </a:graphic>
          </wp:anchor>
        </w:drawing>
      </w:r>
    </w:p>
    <w:sectPr>
      <w:pgSz w:w="11900" w:h="16838" w:orient="portrait"/>
      <w:cols w:equalWidth="0" w:num="1">
        <w:col w:w="10159"/>
      </w:cols>
      <w:pgMar w:left="300" w:top="38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2"/>
    </w:lvl>
  </w:abstractNum>
  <w:abstractNum w:abstractNumId="2">
    <w:nsid w:val="8138641"/>
    <w:multiLevelType w:val="hybridMultilevel"/>
    <w:lvl w:ilvl="0">
      <w:lvlJc w:val="left"/>
      <w:lvlText w:val="(%1)"/>
      <w:numFmt w:val="lowerRoman"/>
      <w:start w:val="2"/>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2"/>
    </w:lvl>
  </w:abstractNum>
  <w:abstractNum w:abstractNumId="7">
    <w:nsid w:val="22221A70"/>
    <w:multiLevelType w:val="hybridMultilevel"/>
    <w:lvl w:ilvl="0">
      <w:lvlJc w:val="left"/>
      <w:lvlText w:val="(%1)"/>
      <w:numFmt w:val="decimal"/>
      <w:start w:val="6"/>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lvl w:ilvl="1">
      <w:lvlJc w:val="left"/>
      <w:lvlText w:val="%2)"/>
      <w:numFmt w:val="decimal"/>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jpe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jpe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39" Type="http://schemas.openxmlformats.org/officeDocument/2006/relationships/hyperlink" Target="http://www.sec.gov/ix?doc=/Archives/edgar/data/1504619/000095017022025351/pflt-20220930.htm" TargetMode="External"/><Relationship Id="rId40" Type="http://schemas.openxmlformats.org/officeDocument/2006/relationships/hyperlink" Target="http://www.sec.gov/Archives/edgar/data/1504619/000095017022026192/pflt-2023-def_14a.htm" TargetMode="External"/><Relationship Id="rId41" Type="http://schemas.openxmlformats.org/officeDocument/2006/relationships/hyperlink" Target="http://www.sec.gov/Archives/edgar/data/1504619/000156459019043972/pflt-ex44_124.htm" TargetMode="External"/><Relationship Id="rId136"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2023-01-23T15:14:50Z</dcterms:created>
  <dcterms:modified xsi:type="dcterms:W3CDTF">2023-01-23T15:14:50Z</dcterms:modified>
</cp:coreProperties>
</file>