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2)*</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PENNANTPARK FLOATING RATE CAPITAL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70806A106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June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520" w:hanging="4"/>
        <w:spacing w:after="0" w:line="224" w:lineRule="exact"/>
        <w:tabs>
          <w:tab w:leader="none" w:pos="8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860" w:hanging="204"/>
        <w:spacing w:after="0"/>
        <w:tabs>
          <w:tab w:leader="none" w:pos="8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5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color w:val="auto"/>
                <w:w w:val="89"/>
              </w:rPr>
              <w:t>1</w:t>
            </w:r>
          </w:p>
        </w:tc>
        <w:tc>
          <w:tcPr>
            <w:tcW w:w="10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JACK SILVER</w:t>
            </w:r>
          </w:p>
        </w:tc>
        <w:tc>
          <w:tcPr>
            <w:tcW w:w="64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00" w:type="dxa"/>
            <w:vAlign w:val="bottom"/>
            <w:tcBorders>
              <w:lef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500" w:type="dxa"/>
            <w:vAlign w:val="bottom"/>
            <w:tcBorders>
              <w:left w:val="single" w:sz="8" w:color="auto"/>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6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08"/>
        </w:trPr>
        <w:tc>
          <w:tcPr>
            <w:tcW w:w="500" w:type="dxa"/>
            <w:vAlign w:val="bottom"/>
            <w:tcBorders>
              <w:left w:val="single" w:sz="8" w:color="auto"/>
            </w:tcBorders>
          </w:tcPr>
          <w:p>
            <w:pPr>
              <w:jc w:val="center"/>
              <w:spacing w:after="0"/>
              <w:rPr>
                <w:sz w:val="20"/>
                <w:szCs w:val="20"/>
                <w:color w:val="auto"/>
              </w:rPr>
            </w:pPr>
            <w:r>
              <w:rPr>
                <w:rFonts w:ascii="Arial" w:cs="Arial" w:eastAsia="Arial" w:hAnsi="Arial"/>
                <w:sz w:val="32"/>
                <w:szCs w:val="32"/>
                <w:color w:val="auto"/>
                <w:w w:val="89"/>
              </w:rPr>
              <w:t>3</w:t>
            </w:r>
          </w:p>
        </w:tc>
        <w:tc>
          <w:tcPr>
            <w:tcW w:w="100" w:type="dxa"/>
            <w:vAlign w:val="bottom"/>
            <w:tcBorders>
              <w:right w:val="single" w:sz="8" w:color="auto"/>
            </w:tcBorders>
          </w:tcPr>
          <w:p>
            <w:pPr>
              <w:spacing w:after="0"/>
              <w:rPr>
                <w:sz w:val="24"/>
                <w:szCs w:val="24"/>
                <w:color w:val="auto"/>
              </w:rPr>
            </w:pPr>
          </w:p>
        </w:tc>
        <w:tc>
          <w:tcPr>
            <w:tcW w:w="1440" w:type="dxa"/>
            <w:vAlign w:val="bottom"/>
            <w:gridSpan w:val="2"/>
            <w:shd w:val="clear" w:color="auto" w:fill="BFBFBF"/>
          </w:tcPr>
          <w:p>
            <w:pPr>
              <w:ind w:left="10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60" w:type="dxa"/>
            <w:vAlign w:val="bottom"/>
            <w:tcBorders>
              <w:bottom w:val="single" w:sz="8" w:color="auto"/>
            </w:tcBorders>
            <w:shd w:val="clear" w:color="auto" w:fill="BFBFBF"/>
          </w:tcPr>
          <w:p>
            <w:pPr>
              <w:spacing w:after="0"/>
              <w:rPr>
                <w:sz w:val="11"/>
                <w:szCs w:val="11"/>
                <w:color w:val="auto"/>
              </w:rPr>
            </w:pPr>
          </w:p>
        </w:tc>
        <w:tc>
          <w:tcPr>
            <w:tcW w:w="20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5</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541,100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6</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410"/>
              <w:spacing w:after="0" w:line="195" w:lineRule="exact"/>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7</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541,100</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8</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100" w:type="dxa"/>
            <w:vAlign w:val="bottom"/>
            <w:tcBorders>
              <w:right w:val="single" w:sz="8" w:color="auto"/>
            </w:tcBorders>
          </w:tcPr>
          <w:p>
            <w:pPr>
              <w:spacing w:after="0"/>
              <w:rPr>
                <w:sz w:val="16"/>
                <w:szCs w:val="16"/>
                <w:color w:val="auto"/>
              </w:rPr>
            </w:pPr>
          </w:p>
        </w:tc>
        <w:tc>
          <w:tcPr>
            <w:tcW w:w="20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8"/>
              </w:rPr>
              <w:t>AGGREGATE AMOUNT</w:t>
            </w:r>
          </w:p>
        </w:tc>
        <w:tc>
          <w:tcPr>
            <w:tcW w:w="66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541,100</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5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color w:val="auto"/>
                <w:w w:val="89"/>
              </w:rPr>
              <w:t>1</w:t>
            </w:r>
          </w:p>
        </w:tc>
        <w:tc>
          <w:tcPr>
            <w:tcW w:w="10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SHERLEIGH ASSOCIATES INC. PROFIT SHARING PLAN</w:t>
            </w: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00" w:type="dxa"/>
            <w:vAlign w:val="bottom"/>
            <w:tcBorders>
              <w:lef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500" w:type="dxa"/>
            <w:vAlign w:val="bottom"/>
            <w:tcBorders>
              <w:left w:val="single" w:sz="8" w:color="auto"/>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6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08"/>
        </w:trPr>
        <w:tc>
          <w:tcPr>
            <w:tcW w:w="500" w:type="dxa"/>
            <w:vAlign w:val="bottom"/>
            <w:tcBorders>
              <w:left w:val="single" w:sz="8" w:color="auto"/>
            </w:tcBorders>
          </w:tcPr>
          <w:p>
            <w:pPr>
              <w:jc w:val="center"/>
              <w:spacing w:after="0"/>
              <w:rPr>
                <w:sz w:val="20"/>
                <w:szCs w:val="20"/>
                <w:color w:val="auto"/>
              </w:rPr>
            </w:pPr>
            <w:r>
              <w:rPr>
                <w:rFonts w:ascii="Arial" w:cs="Arial" w:eastAsia="Arial" w:hAnsi="Arial"/>
                <w:sz w:val="32"/>
                <w:szCs w:val="32"/>
                <w:color w:val="auto"/>
                <w:w w:val="89"/>
              </w:rPr>
              <w:t>3</w:t>
            </w:r>
          </w:p>
        </w:tc>
        <w:tc>
          <w:tcPr>
            <w:tcW w:w="100" w:type="dxa"/>
            <w:vAlign w:val="bottom"/>
            <w:tcBorders>
              <w:right w:val="single" w:sz="8" w:color="auto"/>
            </w:tcBorders>
          </w:tcPr>
          <w:p>
            <w:pPr>
              <w:spacing w:after="0"/>
              <w:rPr>
                <w:sz w:val="24"/>
                <w:szCs w:val="24"/>
                <w:color w:val="auto"/>
              </w:rPr>
            </w:pPr>
          </w:p>
        </w:tc>
        <w:tc>
          <w:tcPr>
            <w:tcW w:w="1440" w:type="dxa"/>
            <w:vAlign w:val="bottom"/>
            <w:gridSpan w:val="2"/>
            <w:shd w:val="clear" w:color="auto" w:fill="BFBFBF"/>
          </w:tcPr>
          <w:p>
            <w:pPr>
              <w:ind w:left="10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60" w:type="dxa"/>
            <w:vAlign w:val="bottom"/>
            <w:tcBorders>
              <w:bottom w:val="single" w:sz="8" w:color="auto"/>
            </w:tcBorders>
            <w:shd w:val="clear" w:color="auto" w:fill="BFBFBF"/>
          </w:tcPr>
          <w:p>
            <w:pPr>
              <w:spacing w:after="0"/>
              <w:rPr>
                <w:sz w:val="11"/>
                <w:szCs w:val="11"/>
                <w:color w:val="auto"/>
              </w:rPr>
            </w:pPr>
          </w:p>
        </w:tc>
        <w:tc>
          <w:tcPr>
            <w:tcW w:w="20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5</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394,911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6</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410"/>
              <w:spacing w:after="0" w:line="195" w:lineRule="exact"/>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7</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394,911</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8</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100" w:type="dxa"/>
            <w:vAlign w:val="bottom"/>
            <w:tcBorders>
              <w:right w:val="single" w:sz="8" w:color="auto"/>
            </w:tcBorders>
          </w:tcPr>
          <w:p>
            <w:pPr>
              <w:spacing w:after="0"/>
              <w:rPr>
                <w:sz w:val="16"/>
                <w:szCs w:val="16"/>
                <w:color w:val="auto"/>
              </w:rPr>
            </w:pPr>
          </w:p>
        </w:tc>
        <w:tc>
          <w:tcPr>
            <w:tcW w:w="20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8"/>
              </w:rPr>
              <w:t>AGGREGATE AMOUNT</w:t>
            </w:r>
          </w:p>
        </w:tc>
        <w:tc>
          <w:tcPr>
            <w:tcW w:w="66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394,911</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EP</w:t>
            </w: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8"/>
        </w:trPr>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432"/>
        </w:trPr>
        <w:tc>
          <w:tcPr>
            <w:tcW w:w="5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32"/>
                <w:szCs w:val="32"/>
                <w:color w:val="auto"/>
                <w:w w:val="89"/>
              </w:rPr>
              <w:t>1</w:t>
            </w:r>
          </w:p>
        </w:tc>
        <w:tc>
          <w:tcPr>
            <w:tcW w:w="100" w:type="dxa"/>
            <w:vAlign w:val="bottom"/>
            <w:tcBorders>
              <w:top w:val="single" w:sz="8" w:color="auto"/>
              <w:right w:val="single" w:sz="8" w:color="auto"/>
            </w:tcBorders>
          </w:tcPr>
          <w:p>
            <w:pPr>
              <w:spacing w:after="0"/>
              <w:rPr>
                <w:sz w:val="24"/>
                <w:szCs w:val="24"/>
                <w:color w:val="auto"/>
              </w:rPr>
            </w:pPr>
          </w:p>
        </w:tc>
        <w:tc>
          <w:tcPr>
            <w:tcW w:w="874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SILVER INVESTMENT PARTNERS LP</w:t>
            </w: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00" w:type="dxa"/>
            <w:vAlign w:val="bottom"/>
            <w:tcBorders>
              <w:left w:val="single" w:sz="8" w:color="auto"/>
            </w:tcBorders>
            <w:vMerge w:val="continue"/>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500" w:type="dxa"/>
            <w:vAlign w:val="bottom"/>
            <w:tcBorders>
              <w:left w:val="single" w:sz="8" w:color="auto"/>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660" w:type="dxa"/>
            <w:vAlign w:val="bottom"/>
            <w:tcBorders>
              <w:bottom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08"/>
        </w:trPr>
        <w:tc>
          <w:tcPr>
            <w:tcW w:w="500" w:type="dxa"/>
            <w:vAlign w:val="bottom"/>
            <w:tcBorders>
              <w:left w:val="single" w:sz="8" w:color="auto"/>
            </w:tcBorders>
          </w:tcPr>
          <w:p>
            <w:pPr>
              <w:jc w:val="center"/>
              <w:spacing w:after="0"/>
              <w:rPr>
                <w:sz w:val="20"/>
                <w:szCs w:val="20"/>
                <w:color w:val="auto"/>
              </w:rPr>
            </w:pPr>
            <w:r>
              <w:rPr>
                <w:rFonts w:ascii="Arial" w:cs="Arial" w:eastAsia="Arial" w:hAnsi="Arial"/>
                <w:sz w:val="32"/>
                <w:szCs w:val="32"/>
                <w:color w:val="auto"/>
                <w:w w:val="89"/>
              </w:rPr>
              <w:t>3</w:t>
            </w:r>
          </w:p>
        </w:tc>
        <w:tc>
          <w:tcPr>
            <w:tcW w:w="100" w:type="dxa"/>
            <w:vAlign w:val="bottom"/>
            <w:tcBorders>
              <w:right w:val="single" w:sz="8" w:color="auto"/>
            </w:tcBorders>
          </w:tcPr>
          <w:p>
            <w:pPr>
              <w:spacing w:after="0"/>
              <w:rPr>
                <w:sz w:val="24"/>
                <w:szCs w:val="24"/>
                <w:color w:val="auto"/>
              </w:rPr>
            </w:pPr>
          </w:p>
        </w:tc>
        <w:tc>
          <w:tcPr>
            <w:tcW w:w="1440" w:type="dxa"/>
            <w:vAlign w:val="bottom"/>
            <w:gridSpan w:val="2"/>
            <w:shd w:val="clear" w:color="auto" w:fill="BFBFBF"/>
          </w:tcPr>
          <w:p>
            <w:pPr>
              <w:ind w:left="100"/>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BFBFBF"/>
            </w:tcBorders>
            <w:shd w:val="clear" w:color="auto" w:fill="BFBFBF"/>
          </w:tcPr>
          <w:p>
            <w:pPr>
              <w:spacing w:after="0"/>
              <w:rPr>
                <w:sz w:val="11"/>
                <w:szCs w:val="11"/>
                <w:color w:val="auto"/>
              </w:rPr>
            </w:pPr>
          </w:p>
        </w:tc>
        <w:tc>
          <w:tcPr>
            <w:tcW w:w="920" w:type="dxa"/>
            <w:vAlign w:val="bottom"/>
            <w:tcBorders>
              <w:bottom w:val="single" w:sz="8" w:color="auto"/>
              <w:right w:val="single" w:sz="8" w:color="BFBFBF"/>
            </w:tcBorders>
            <w:gridSpan w:val="2"/>
            <w:shd w:val="clear" w:color="auto" w:fill="BFBFBF"/>
          </w:tcPr>
          <w:p>
            <w:pPr>
              <w:spacing w:after="0"/>
              <w:rPr>
                <w:sz w:val="11"/>
                <w:szCs w:val="11"/>
                <w:color w:val="auto"/>
              </w:rPr>
            </w:pPr>
          </w:p>
        </w:tc>
        <w:tc>
          <w:tcPr>
            <w:tcW w:w="6660" w:type="dxa"/>
            <w:vAlign w:val="bottom"/>
            <w:tcBorders>
              <w:bottom w:val="single" w:sz="8" w:color="auto"/>
            </w:tcBorders>
            <w:shd w:val="clear" w:color="auto" w:fill="BFBFBF"/>
          </w:tcPr>
          <w:p>
            <w:pPr>
              <w:spacing w:after="0"/>
              <w:rPr>
                <w:sz w:val="11"/>
                <w:szCs w:val="11"/>
                <w:color w:val="auto"/>
              </w:rPr>
            </w:pPr>
          </w:p>
        </w:tc>
        <w:tc>
          <w:tcPr>
            <w:tcW w:w="20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080" w:type="dxa"/>
            <w:vAlign w:val="bottom"/>
            <w:gridSpan w:val="3"/>
          </w:tcPr>
          <w:p>
            <w:pPr>
              <w:ind w:left="420"/>
              <w:spacing w:after="0"/>
              <w:rPr>
                <w:sz w:val="20"/>
                <w:szCs w:val="20"/>
                <w:color w:val="auto"/>
              </w:rPr>
            </w:pPr>
            <w:r>
              <w:rPr>
                <w:rFonts w:ascii="Arial" w:cs="Arial" w:eastAsia="Arial" w:hAnsi="Arial"/>
                <w:sz w:val="18"/>
                <w:szCs w:val="18"/>
                <w:color w:val="auto"/>
              </w:rPr>
              <w:t>UNITED STATES</w:t>
            </w: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5</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146,189</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60" w:type="dxa"/>
            <w:vAlign w:val="bottom"/>
            <w:tcBorders>
              <w:left w:val="single" w:sz="8" w:color="auto"/>
              <w:right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6</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5"/>
              </w:rPr>
              <w:t>EACH</w:t>
            </w:r>
          </w:p>
        </w:tc>
        <w:tc>
          <w:tcPr>
            <w:tcW w:w="28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6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260" w:type="dxa"/>
            <w:vAlign w:val="bottom"/>
            <w:tcBorders>
              <w:right w:val="single" w:sz="8" w:color="auto"/>
            </w:tcBorders>
            <w:gridSpan w:val="2"/>
          </w:tcPr>
          <w:p>
            <w:pPr>
              <w:jc w:val="center"/>
              <w:ind w:right="410"/>
              <w:spacing w:after="0" w:line="195" w:lineRule="exact"/>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7</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146,189</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Borders>
              <w:right w:val="single" w:sz="8" w:color="auto"/>
            </w:tcBorders>
            <w:vMerge w:val="restart"/>
          </w:tcPr>
          <w:p>
            <w:pPr>
              <w:jc w:val="right"/>
              <w:ind w:right="238"/>
              <w:spacing w:after="0"/>
              <w:rPr>
                <w:sz w:val="20"/>
                <w:szCs w:val="20"/>
                <w:color w:val="auto"/>
              </w:rPr>
            </w:pPr>
            <w:r>
              <w:rPr>
                <w:rFonts w:ascii="Arial" w:cs="Arial" w:eastAsia="Arial" w:hAnsi="Arial"/>
                <w:sz w:val="32"/>
                <w:szCs w:val="32"/>
                <w:color w:val="auto"/>
              </w:rPr>
              <w:t>8</w:t>
            </w:r>
          </w:p>
        </w:tc>
        <w:tc>
          <w:tcPr>
            <w:tcW w:w="6660" w:type="dxa"/>
            <w:vAlign w:val="bottom"/>
          </w:tcPr>
          <w:p>
            <w:pPr>
              <w:ind w:left="80"/>
              <w:spacing w:after="0" w:line="195" w:lineRule="exact"/>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660" w:type="dxa"/>
            <w:vAlign w:val="bottom"/>
          </w:tcPr>
          <w:p>
            <w:pPr>
              <w:ind w:left="80"/>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100" w:type="dxa"/>
            <w:vAlign w:val="bottom"/>
            <w:tcBorders>
              <w:right w:val="single" w:sz="8" w:color="auto"/>
            </w:tcBorders>
          </w:tcPr>
          <w:p>
            <w:pPr>
              <w:spacing w:after="0"/>
              <w:rPr>
                <w:sz w:val="16"/>
                <w:szCs w:val="16"/>
                <w:color w:val="auto"/>
              </w:rPr>
            </w:pPr>
          </w:p>
        </w:tc>
        <w:tc>
          <w:tcPr>
            <w:tcW w:w="20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8"/>
              </w:rPr>
              <w:t>AGGREGATE AMOUNT</w:t>
            </w:r>
          </w:p>
        </w:tc>
        <w:tc>
          <w:tcPr>
            <w:tcW w:w="6660" w:type="dxa"/>
            <w:vAlign w:val="bottom"/>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146,189</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100" w:type="dxa"/>
            <w:vAlign w:val="bottom"/>
            <w:tcBorders>
              <w:right w:val="single" w:sz="8" w:color="auto"/>
            </w:tcBorders>
          </w:tcPr>
          <w:p>
            <w:pPr>
              <w:spacing w:after="0"/>
              <w:rPr>
                <w:sz w:val="19"/>
                <w:szCs w:val="19"/>
                <w:color w:val="auto"/>
              </w:rPr>
            </w:pPr>
          </w:p>
        </w:tc>
        <w:tc>
          <w:tcPr>
            <w:tcW w:w="874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Borders>
              <w:lef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11</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60" w:type="dxa"/>
            <w:vAlign w:val="bottom"/>
          </w:tcPr>
          <w:p>
            <w:pPr>
              <w:ind w:left="1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 w:type="dxa"/>
            <w:vAlign w:val="bottom"/>
            <w:tcBorders>
              <w:lef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100" w:type="dxa"/>
            <w:vAlign w:val="bottom"/>
            <w:tcBorders>
              <w:right w:val="single" w:sz="8" w:color="auto"/>
            </w:tcBorders>
          </w:tcPr>
          <w:p>
            <w:pPr>
              <w:spacing w:after="0"/>
              <w:rPr>
                <w:sz w:val="16"/>
                <w:szCs w:val="16"/>
                <w:color w:val="auto"/>
              </w:rPr>
            </w:pPr>
          </w:p>
        </w:tc>
        <w:tc>
          <w:tcPr>
            <w:tcW w:w="8740" w:type="dxa"/>
            <w:vAlign w:val="bottom"/>
            <w:gridSpan w:val="4"/>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00" w:type="dxa"/>
            <w:vAlign w:val="bottom"/>
            <w:tcBorders>
              <w:left w:val="single" w:sz="8" w:color="auto"/>
            </w:tcBorders>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PN</w:t>
            </w:r>
          </w:p>
        </w:tc>
        <w:tc>
          <w:tcPr>
            <w:tcW w:w="6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6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620"/>
        <w:spacing w:after="0"/>
        <w:rPr>
          <w:sz w:val="20"/>
          <w:szCs w:val="20"/>
          <w:color w:val="auto"/>
        </w:rPr>
      </w:pPr>
      <w:r>
        <w:rPr>
          <w:rFonts w:ascii="Arial" w:cs="Arial" w:eastAsia="Arial" w:hAnsi="Arial"/>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Sherleigh Associates Inc. Profit Sharing Plan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Silver Investment Partners LP</w:t>
      </w:r>
    </w:p>
    <w:p>
      <w:pPr>
        <w:spacing w:after="0" w:line="211"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 Columbus Circle PH76A</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ind w:left="1620" w:right="7639" w:hanging="1031"/>
        <w:spacing w:after="0" w:line="563" w:lineRule="auto"/>
        <w:tabs>
          <w:tab w:leader="none" w:pos="1174"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United States</w:t>
      </w:r>
    </w:p>
    <w:p>
      <w:pPr>
        <w:spacing w:after="0" w:line="1" w:lineRule="exact"/>
        <w:rPr>
          <w:rFonts w:ascii="Arial" w:cs="Arial" w:eastAsia="Arial" w:hAnsi="Arial"/>
          <w:sz w:val="16"/>
          <w:szCs w:val="16"/>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1620" w:right="7759" w:hanging="1031"/>
        <w:spacing w:after="0" w:line="624" w:lineRule="auto"/>
        <w:tabs>
          <w:tab w:leader="none" w:pos="1174"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7" w:lineRule="exact"/>
        <w:rPr>
          <w:sz w:val="20"/>
          <w:szCs w:val="20"/>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w:t>
      </w:r>
    </w:p>
    <w:p>
      <w:pPr>
        <w:spacing w:after="0" w:line="22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460" w:hanging="452"/>
        <w:spacing w:after="0" w:line="196" w:lineRule="exact"/>
        <w:tabs>
          <w:tab w:leader="none" w:pos="460" w:val="left"/>
        </w:tabs>
        <w:numPr>
          <w:ilvl w:val="0"/>
          <w:numId w:val="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 of 1940</w:t>
      </w:r>
    </w:p>
    <w:p>
      <w:pPr>
        <w:spacing w:after="0" w:line="236" w:lineRule="exact"/>
        <w:rPr>
          <w:rFonts w:ascii="Arial" w:cs="Arial" w:eastAsia="Arial" w:hAnsi="Arial"/>
          <w:sz w:val="17"/>
          <w:szCs w:val="17"/>
          <w:color w:val="auto"/>
        </w:rPr>
      </w:pPr>
    </w:p>
    <w:p>
      <w:pPr>
        <w:ind w:left="460" w:hanging="452"/>
        <w:spacing w:after="0" w:line="207" w:lineRule="exact"/>
        <w:tabs>
          <w:tab w:leader="none" w:pos="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460" w:hanging="407"/>
        <w:spacing w:after="0" w:line="207" w:lineRule="exact"/>
        <w:tabs>
          <w:tab w:leader="none" w:pos="4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As of the date hereof, the Reporting Persons beneficially owned 541,100 shares of common stock of PennantPark Floating Rate Capital Ltd (the “Common Stock”) representing 5.3% of the outstanding common stock, based on 10,302,912 shares of common stock outstanding as reported in the issuer’s quarterly report on Form 10-Q filed on May 9, 2013. Such shares of common stock include 349,911 shares held by Sherleigh Associates Profit Sharing Plan, a trust of which Jack Silver is the trustee and 146,189 shares held by Silver Investment Partners LP, a limited partnership of which Jack Silver is a general partner.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Silver has the sole voting and dispositive power with respect to all 541,100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70806A106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 other than activities solely in connection with a nomination under Rule 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70806A106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25, 2013</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Silver Investment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Silver</w:t>
            </w:r>
          </w:p>
        </w:tc>
      </w:tr>
      <w:tr>
        <w:trPr>
          <w:trHeight w:val="195"/>
        </w:trPr>
        <w:tc>
          <w:tcPr>
            <w:tcW w:w="7440" w:type="dxa"/>
            <w:vAlign w:val="bottom"/>
          </w:tcPr>
          <w:p>
            <w:pPr>
              <w:ind w:left="686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Jack Silver</w:t>
            </w:r>
          </w:p>
        </w:tc>
      </w:tr>
      <w:tr>
        <w:trPr>
          <w:trHeight w:val="230"/>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999"/>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lvl w:ilvl="1">
      <w:lvlJc w:val="left"/>
      <w:lvlText w:val="(%2)"/>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2019-12-07T23:20:02Z</dcterms:created>
  <dcterms:modified xsi:type="dcterms:W3CDTF">2019-12-07T23:20:02Z</dcterms:modified>
</cp:coreProperties>
</file>