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May 14, 2012</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239" w:lineRule="exact"/>
        <w:rPr>
          <w:sz w:val="24"/>
          <w:szCs w:val="24"/>
          <w:color w:val="auto"/>
        </w:rPr>
      </w:pPr>
    </w:p>
    <w:p>
      <w:pPr>
        <w:ind w:left="40" w:right="20"/>
        <w:spacing w:after="0" w:line="279" w:lineRule="auto"/>
        <w:rPr>
          <w:sz w:val="20"/>
          <w:szCs w:val="20"/>
          <w:color w:val="auto"/>
        </w:rPr>
      </w:pPr>
      <w:r>
        <w:rPr>
          <w:rFonts w:ascii="Arial" w:cs="Arial" w:eastAsia="Arial" w:hAnsi="Arial"/>
          <w:sz w:val="19"/>
          <w:szCs w:val="19"/>
          <w:color w:val="auto"/>
        </w:rPr>
        <w:t>On May 14, 2012, PennantPark Floating Rate Capital Ltd. (the "Company"), through PennantPark Floating Rate Funding I, LLC, a wholly-owned subsidiary of the Company ("Funding I"), entered into an amended and restated revolving credit facility (the "Credit Facility") with SunTrust Bank, which (i) improved borrowing base limits by including a matrix-based advance rate and (ii) extended the maturity date to May 14, 2017. PennantPark Investment Advisers, LLC, the Company's investment adviser, is the collateral manager, SunTrust Robinson Humphrey, Inc. acted as lead arranger, SunTrust Bank acted as administrative agent and U.S. Bank National Association serves as collateral agent, as backup collateral manager and as custodian.</w:t>
      </w:r>
    </w:p>
    <w:p>
      <w:pPr>
        <w:spacing w:after="0" w:line="177" w:lineRule="exact"/>
        <w:rPr>
          <w:sz w:val="24"/>
          <w:szCs w:val="24"/>
          <w:color w:val="auto"/>
        </w:rPr>
      </w:pPr>
    </w:p>
    <w:p>
      <w:pPr>
        <w:ind w:left="40" w:right="40"/>
        <w:spacing w:after="0" w:line="235" w:lineRule="auto"/>
        <w:rPr>
          <w:sz w:val="20"/>
          <w:szCs w:val="20"/>
          <w:color w:val="auto"/>
        </w:rPr>
      </w:pPr>
      <w:r>
        <w:rPr>
          <w:rFonts w:ascii="Arial" w:cs="Arial" w:eastAsia="Arial" w:hAnsi="Arial"/>
          <w:sz w:val="22"/>
          <w:szCs w:val="22"/>
          <w:color w:val="auto"/>
        </w:rPr>
        <w:t>Under the Credit Facility, the lender has agreed to extend credit to Funding I in an initial aggregate principal amount of $100 million, which amount may be expanded to $600 million pursuant to an accordion feature. During the revolving period, amounts drawn under the Credit Facility bear interest at the London Interbank Offered Rate ("LIBOR") plus 225 basis points, and after the revolving period, the rate sets to LIBOR plus 425 basis points for the remaining two years. The Credit Facility is secured by all of the assets held by Funding I. The Credit Facility includes customary covenants, including minimum asset coverage and minimum equity requirements.</w:t>
      </w:r>
    </w:p>
    <w:p>
      <w:pPr>
        <w:spacing w:after="0" w:line="215" w:lineRule="exact"/>
        <w:rPr>
          <w:sz w:val="24"/>
          <w:szCs w:val="24"/>
          <w:color w:val="auto"/>
        </w:rPr>
      </w:pPr>
    </w:p>
    <w:p>
      <w:pPr>
        <w:ind w:left="40" w:right="620"/>
        <w:spacing w:after="0" w:line="250" w:lineRule="auto"/>
        <w:rPr>
          <w:sz w:val="20"/>
          <w:szCs w:val="20"/>
          <w:color w:val="auto"/>
        </w:rPr>
      </w:pPr>
      <w:r>
        <w:rPr>
          <w:rFonts w:ascii="Arial" w:cs="Arial" w:eastAsia="Arial" w:hAnsi="Arial"/>
          <w:sz w:val="22"/>
          <w:szCs w:val="22"/>
          <w:color w:val="auto"/>
        </w:rPr>
        <w:t>The description above is only a summary of the material provisions of the Credit Facility and is qualified in its entirety by reference to the Credit Facility agreement.</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22"/>
          <w:szCs w:val="22"/>
          <w:color w:val="auto"/>
        </w:rPr>
        <w:t>A press release announcing the entry into the Credit Facility is attached hereto as Exhibit 99.1.</w:t>
      </w:r>
    </w:p>
    <w:p>
      <w:pPr>
        <w:spacing w:after="0" w:line="200" w:lineRule="exact"/>
        <w:rPr>
          <w:sz w:val="24"/>
          <w:szCs w:val="24"/>
          <w:color w:val="auto"/>
        </w:rPr>
      </w:pPr>
    </w:p>
    <w:p>
      <w:pPr>
        <w:ind w:left="40" w:right="460"/>
        <w:spacing w:after="0" w:line="256" w:lineRule="auto"/>
        <w:rPr>
          <w:sz w:val="20"/>
          <w:szCs w:val="20"/>
          <w:color w:val="auto"/>
        </w:rPr>
      </w:pPr>
      <w:r>
        <w:rPr>
          <w:rFonts w:ascii="Arial" w:cs="Arial" w:eastAsia="Arial" w:hAnsi="Arial"/>
          <w:sz w:val="22"/>
          <w:szCs w:val="22"/>
          <w:b w:val="1"/>
          <w:bCs w:val="1"/>
          <w:color w:val="auto"/>
        </w:rPr>
        <w:t>Item 2.03. Creation of a Direct Financial Obligation or an Obligation Under an Off-Balance Sheet Arrangement of a Registrant</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The information set forth in Item 1.01 is incorporated by reference into this Item 2.03.</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May 18,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May 18, 2012</w:t>
            </w:r>
          </w:p>
        </w:tc>
        <w:tc>
          <w:tcPr>
            <w:tcW w:w="6900" w:type="dxa"/>
            <w:vAlign w:val="bottom"/>
            <w:gridSpan w:val="3"/>
          </w:tcPr>
          <w:p>
            <w:pPr>
              <w:ind w:left="190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20" w:type="dxa"/>
            <w:vAlign w:val="bottom"/>
          </w:tcPr>
          <w:p>
            <w:pPr>
              <w:spacing w:after="0"/>
              <w:rPr>
                <w:sz w:val="24"/>
                <w:szCs w:val="24"/>
                <w:color w:val="auto"/>
              </w:rPr>
            </w:pPr>
          </w:p>
        </w:tc>
        <w:tc>
          <w:tcPr>
            <w:tcW w:w="690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90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900" w:type="dxa"/>
            <w:vAlign w:val="bottom"/>
            <w:gridSpan w:val="3"/>
          </w:tcPr>
          <w:p>
            <w:pPr>
              <w:ind w:left="22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9"/>
              </w:rPr>
              <w:t>May 18, 2012</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36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Amends Credit Facility</w:t>
      </w: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NEW YORK, NY -- (Marketwire - May 18, 2012) - PennantPark Floating Rate Capital Ltd. (the "Company") (NASDAQ: PFLT) announced today that on May 14, 2012, through PennantPark Floating Rate Funding I, LLC, a wholly-owned subsidiary of the Company ("Funding I"), it has amended and restated its revolving credit facility with SunTrust Bank, which (i) improved borrowing base limits by including a matrix-based advance rate and (ii) extended the maturity date to May 14, 2017. The Credit Facility has the same maximum borrowing amounts and interest rates as the Company's previous credit facility and includes customary covenants, including minimum asset coverage and minimum equity.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ind w:right="540"/>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This press release may contain "forward-looking statements."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2020-05-05T12:04:15Z</dcterms:created>
  <dcterms:modified xsi:type="dcterms:W3CDTF">2020-05-05T12:04:15Z</dcterms:modified>
</cp:coreProperties>
</file>