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1125.htm"/>
      <w:bookmarkStart w:id="1" w:name="ksf8k_081125"/>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11, 2025</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p>
    <w:p>
      <w:pPr>
        <w:pStyle w:val="TextBody"/>
        <w:bidi w:val="0"/>
        <w:spacing w:before="0" w:after="0"/>
        <w:jc w:val="left"/>
        <w:rPr>
          <w:sz w:val="20"/>
        </w:rPr>
      </w:pPr>
      <w:r>
        <w:rPr>
          <w:sz w:val="20"/>
        </w:rPr>
        <w:t>On August 11, 2025, PennantPark Floating Rate Capital Ltd., or the Company, issued a press release announcing its financial results for the third fiscal quarter ended June 30, 2025. A copy of the press release is furnished as Exhibit 99.1 to this report pursuant to Item 2.02 on Form 8-K and Regulation FD.</w:t>
      </w:r>
    </w:p>
    <w:p>
      <w:pPr>
        <w:pStyle w:val="TextBody"/>
        <w:bidi w:val="0"/>
        <w:spacing w:before="0" w:after="0"/>
        <w:jc w:val="left"/>
        <w:rPr/>
      </w:pPr>
      <w:r>
        <w:rPr/>
        <w:t> </w:t>
      </w:r>
    </w:p>
    <w:p>
      <w:pPr>
        <w:pStyle w:val="TextBody"/>
        <w:bidi w:val="0"/>
        <w:spacing w:before="0" w:after="0"/>
        <w:jc w:val="left"/>
        <w:rPr>
          <w:sz w:val="20"/>
        </w:rPr>
      </w:pPr>
      <w:r>
        <w:rPr>
          <w:sz w:val="20"/>
        </w:rPr>
        <w:t>The information in this report on Form 8-K, including Exhibits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pPr>
      <w:r>
        <w:rPr>
          <w:rStyle w:val="StrongEmphasis"/>
          <w:sz w:val="20"/>
        </w:rPr>
        <w:t>Forward-Looking Statements</w:t>
      </w:r>
    </w:p>
    <w:p>
      <w:pPr>
        <w:pStyle w:val="TextBody"/>
        <w:bidi w:val="0"/>
        <w:spacing w:before="0" w:after="0"/>
        <w:jc w:val="left"/>
        <w:rPr/>
      </w:pPr>
      <w:r>
        <w:rPr/>
        <w:t> </w:t>
      </w:r>
    </w:p>
    <w:p>
      <w:pPr>
        <w:pStyle w:val="TextBody"/>
        <w:bidi w:val="0"/>
        <w:spacing w:before="0" w:after="0"/>
        <w:jc w:val="left"/>
        <w:rPr>
          <w:sz w:val="20"/>
        </w:rPr>
      </w:pPr>
      <w:r>
        <w:rPr>
          <w:sz w:val="20"/>
        </w:rPr>
        <w:t>This report on Form 8-K, including Exhibits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jc w:val="left"/>
        <w:rPr/>
      </w:pPr>
      <w:r>
        <w:rPr/>
        <w:t> </w:t>
      </w:r>
    </w:p>
    <w:p>
      <w:pPr>
        <w:pStyle w:val="TextBody"/>
        <w:bidi w:val="0"/>
        <w:spacing w:before="0" w:after="0"/>
        <w:jc w:val="left"/>
        <w:rPr>
          <w:sz w:val="20"/>
        </w:rPr>
      </w:pPr>
      <w:r>
        <w:rPr>
          <w:sz w:val="20"/>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p>
      <w:pPr>
        <w:pStyle w:val="TextBody"/>
        <w:bidi w:val="0"/>
        <w:spacing w:before="0" w:after="0"/>
        <w:jc w:val="left"/>
        <w:rPr/>
      </w:pPr>
      <w:r>
        <w:rPr>
          <w:rStyle w:val="StrongEmphasis"/>
          <w:sz w:val="20"/>
        </w:rPr>
        <w:t>(a) Financial statements:</w:t>
      </w:r>
    </w:p>
    <w:p>
      <w:pPr>
        <w:pStyle w:val="TextBody"/>
        <w:bidi w:val="0"/>
        <w:spacing w:before="0" w:after="0"/>
        <w:jc w:val="left"/>
        <w:rPr/>
      </w:pPr>
      <w:r>
        <w:rPr/>
        <w:t xml:space="preserve">             </w:t>
      </w:r>
      <w:r>
        <w:rPr>
          <w:sz w:val="20"/>
        </w:rPr>
        <w:t>None</w:t>
      </w:r>
    </w:p>
    <w:p>
      <w:pPr>
        <w:pStyle w:val="TextBody"/>
        <w:bidi w:val="0"/>
        <w:spacing w:before="0" w:after="0"/>
        <w:jc w:val="left"/>
        <w:rPr/>
      </w:pPr>
      <w:r>
        <w:rPr>
          <w:rStyle w:val="StrongEmphasis"/>
          <w:sz w:val="20"/>
        </w:rPr>
        <w:t>(b) Pro forma financial information:</w:t>
      </w:r>
    </w:p>
    <w:p>
      <w:pPr>
        <w:pStyle w:val="TextBody"/>
        <w:bidi w:val="0"/>
        <w:spacing w:before="0" w:after="0"/>
        <w:jc w:val="left"/>
        <w:rPr/>
      </w:pPr>
      <w:r>
        <w:rPr/>
        <w:t xml:space="preserve">             </w:t>
      </w:r>
      <w:r>
        <w:rPr>
          <w:sz w:val="20"/>
        </w:rPr>
        <w:t>None</w:t>
      </w:r>
    </w:p>
    <w:p>
      <w:pPr>
        <w:pStyle w:val="TextBody"/>
        <w:bidi w:val="0"/>
        <w:spacing w:before="0" w:after="0"/>
        <w:jc w:val="left"/>
        <w:rPr/>
      </w:pPr>
      <w:r>
        <w:rPr>
          <w:rStyle w:val="StrongEmphasis"/>
          <w:sz w:val="20"/>
        </w:rPr>
        <w:t>(c) Shell company transactions:</w:t>
      </w:r>
    </w:p>
    <w:p>
      <w:pPr>
        <w:pStyle w:val="TextBody"/>
        <w:bidi w:val="0"/>
        <w:spacing w:before="0" w:after="0"/>
        <w:jc w:val="left"/>
        <w:rPr/>
      </w:pPr>
      <w:r>
        <w:rPr/>
        <w:t xml:space="preserve">             </w:t>
      </w:r>
      <w:r>
        <w:rPr>
          <w:sz w:val="20"/>
        </w:rPr>
        <w:t>None</w:t>
      </w:r>
    </w:p>
    <w:p>
      <w:pPr>
        <w:pStyle w:val="TextBody"/>
        <w:bidi w:val="0"/>
        <w:spacing w:before="0" w:after="0"/>
        <w:jc w:val="left"/>
        <w:rPr/>
      </w:pPr>
      <w:r>
        <w:rPr>
          <w:rStyle w:val="StrongEmphasis"/>
          <w:sz w:val="20"/>
        </w:rPr>
        <w:t>(d) Exhibits</w:t>
      </w:r>
    </w:p>
    <w:p>
      <w:pPr>
        <w:pStyle w:val="TextBody"/>
        <w:bidi w:val="0"/>
        <w:spacing w:before="0" w:after="283"/>
        <w:jc w:val="left"/>
        <w:rPr/>
      </w:pPr>
      <w:r>
        <w:rPr/>
        <w:t> </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Floating Rate Capital Ltd. dated August 11, 2025</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244" w:type="dxa"/>
        <w:jc w:val="left"/>
        <w:tblInd w:w="0" w:type="dxa"/>
        <w:tblLayout w:type="fixed"/>
        <w:tblCellMar>
          <w:top w:w="0" w:type="dxa"/>
          <w:left w:w="0" w:type="dxa"/>
          <w:bottom w:w="0" w:type="dxa"/>
          <w:right w:w="0" w:type="dxa"/>
        </w:tblCellMar>
      </w:tblPr>
      <w:tblGrid>
        <w:gridCol w:w="1850"/>
        <w:gridCol w:w="383"/>
        <w:gridCol w:w="3011"/>
      </w:tblGrid>
      <w:tr>
        <w:trPr/>
        <w:tc>
          <w:tcPr>
            <w:tcW w:w="1850"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85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20"/>
              </w:rPr>
            </w:pPr>
            <w:r>
              <w:rPr>
                <w:sz w:val="20"/>
              </w:rPr>
              <w:t>Date: August 11, 2025</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85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85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85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Financial Results for the Third Quarter Ended June 30, 2025</w:t>
      </w:r>
    </w:p>
    <w:p>
      <w:pPr>
        <w:pStyle w:val="TextBody"/>
        <w:bidi w:val="0"/>
        <w:jc w:val="left"/>
        <w:rPr/>
      </w:pPr>
      <w:r>
        <w:rPr/>
        <w:t>MIAMI, Aug. 11, 2025 (GLOBE NEWSWIRE) -- PennantPark Floating Rate Capital Ltd. (NYSE: PFLT) announced today its financial results for the third fiscal quarter ended June 30, 2025.</w:t>
      </w:r>
    </w:p>
    <w:p>
      <w:pPr>
        <w:pStyle w:val="TextBody"/>
        <w:bidi w:val="0"/>
        <w:spacing w:before="0" w:after="283"/>
        <w:jc w:val="left"/>
        <w:rPr/>
      </w:pPr>
      <w:r>
        <w:rPr>
          <w:rStyle w:val="StrongEmphasis"/>
        </w:rPr>
        <w:t>HIGHLIGHTS</w:t>
      </w:r>
      <w:r>
        <w:rPr/>
        <w:br/>
        <w:t>Quarter ended June 30, 2025 (Unaudited)</w:t>
        <w:br/>
        <w:t>($ in millions, except per share amounts)</w:t>
      </w:r>
    </w:p>
    <w:tbl>
      <w:tblPr>
        <w:tblW w:w="8419" w:type="dxa"/>
        <w:jc w:val="center"/>
        <w:tblInd w:w="0" w:type="dxa"/>
        <w:tblLayout w:type="fixed"/>
        <w:tblCellMar>
          <w:top w:w="28" w:type="dxa"/>
          <w:left w:w="28" w:type="dxa"/>
          <w:bottom w:w="28" w:type="dxa"/>
          <w:right w:w="28" w:type="dxa"/>
        </w:tblCellMar>
      </w:tblPr>
      <w:tblGrid>
        <w:gridCol w:w="6946"/>
        <w:gridCol w:w="226"/>
        <w:gridCol w:w="826"/>
        <w:gridCol w:w="421"/>
      </w:tblGrid>
      <w:tr>
        <w:trPr/>
        <w:tc>
          <w:tcPr>
            <w:tcW w:w="6946" w:type="dxa"/>
            <w:tcBorders/>
            <w:vAlign w:val="center"/>
          </w:tcPr>
          <w:p>
            <w:pPr>
              <w:pStyle w:val="TableContents"/>
              <w:bidi w:val="0"/>
              <w:spacing w:before="0" w:after="283"/>
              <w:jc w:val="left"/>
              <w:rPr/>
            </w:pPr>
            <w:r>
              <w:rPr/>
              <w:t>Assets and Liabilities:</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 xml:space="preserve">Investment portfolio </w:t>
            </w:r>
            <w:r>
              <w:rPr>
                <w:position w:val="8"/>
                <w:sz w:val="19"/>
              </w:rPr>
              <w:t>(1)</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2,403.5</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Net assets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1,087.5</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Net asset value per share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10.96</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Quarterly change in net asset value per share</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(1.0</w:t>
            </w:r>
          </w:p>
        </w:tc>
        <w:tc>
          <w:tcPr>
            <w:tcW w:w="421" w:type="dxa"/>
            <w:tcBorders/>
            <w:vAlign w:val="center"/>
          </w:tcPr>
          <w:p>
            <w:pPr>
              <w:pStyle w:val="TableContents"/>
              <w:bidi w:val="0"/>
              <w:spacing w:before="0" w:after="283"/>
              <w:jc w:val="left"/>
              <w:rPr/>
            </w:pPr>
            <w:r>
              <w:rPr/>
              <w:t>)%</w:t>
            </w:r>
          </w:p>
        </w:tc>
      </w:tr>
      <w:tr>
        <w:trPr/>
        <w:tc>
          <w:tcPr>
            <w:tcW w:w="69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vAlign w:val="center"/>
          </w:tcPr>
          <w:p>
            <w:pPr>
              <w:pStyle w:val="TableContents"/>
              <w:bidi w:val="0"/>
              <w:spacing w:before="0" w:after="283"/>
              <w:jc w:val="left"/>
              <w:rPr/>
            </w:pPr>
            <w:r>
              <w:rPr/>
              <w:t>Credit Facility</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298.9</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2036 Asset-Backed Debt, net of unamortized deferred financing costs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284.5</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2036-R Asset-Backed Debt, net of unamortized deferred financing costs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265.3</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2037 Asset-Backed Debt, net of unamortized deferred financing costs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358.2</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2026 Notes, net of unamortized deferred financing costs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184.4</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Regulatory debt to equity</w:t>
            </w:r>
          </w:p>
        </w:tc>
        <w:tc>
          <w:tcPr>
            <w:tcW w:w="1052" w:type="dxa"/>
            <w:gridSpan w:val="2"/>
            <w:tcBorders/>
            <w:vAlign w:val="center"/>
          </w:tcPr>
          <w:p>
            <w:pPr>
              <w:pStyle w:val="TableContents"/>
              <w:bidi w:val="0"/>
              <w:spacing w:before="0" w:after="283"/>
              <w:jc w:val="right"/>
              <w:rPr/>
            </w:pPr>
            <w:r>
              <w:rPr/>
              <w:t>1.29x</w:t>
            </w:r>
          </w:p>
        </w:tc>
        <w:tc>
          <w:tcPr>
            <w:tcW w:w="421" w:type="dxa"/>
            <w:tcBorders/>
            <w:vAlign w:val="center"/>
          </w:tcPr>
          <w:p>
            <w:pPr>
              <w:pStyle w:val="TableContents"/>
              <w:bidi w:val="0"/>
              <w:spacing w:before="0" w:after="283"/>
              <w:jc w:val="right"/>
              <w:rPr/>
            </w:pPr>
            <w:r>
              <w:rPr/>
              <w:t> </w:t>
            </w:r>
          </w:p>
        </w:tc>
      </w:tr>
      <w:tr>
        <w:trPr/>
        <w:tc>
          <w:tcPr>
            <w:tcW w:w="6946" w:type="dxa"/>
            <w:tcBorders/>
            <w:vAlign w:val="center"/>
          </w:tcPr>
          <w:p>
            <w:pPr>
              <w:pStyle w:val="TableContents"/>
              <w:bidi w:val="0"/>
              <w:spacing w:before="0" w:after="283"/>
              <w:jc w:val="left"/>
              <w:rPr/>
            </w:pPr>
            <w:r>
              <w:rPr/>
              <w:t>Weighted average yield on debt investments at quarter-end</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10.4</w:t>
            </w:r>
          </w:p>
        </w:tc>
        <w:tc>
          <w:tcPr>
            <w:tcW w:w="421" w:type="dxa"/>
            <w:tcBorders/>
            <w:vAlign w:val="center"/>
          </w:tcPr>
          <w:p>
            <w:pPr>
              <w:pStyle w:val="TableContents"/>
              <w:bidi w:val="0"/>
              <w:spacing w:before="0" w:after="283"/>
              <w:jc w:val="left"/>
              <w:rPr/>
            </w:pPr>
            <w:r>
              <w:rPr/>
              <w:t>%</w:t>
            </w:r>
          </w:p>
        </w:tc>
      </w:tr>
      <w:tr>
        <w:trPr/>
        <w:tc>
          <w:tcPr>
            <w:tcW w:w="69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vAlign w:val="center"/>
          </w:tcPr>
          <w:p>
            <w:pPr>
              <w:pStyle w:val="TableContents"/>
              <w:bidi w:val="0"/>
              <w:spacing w:before="0" w:after="283"/>
              <w:jc w:val="left"/>
              <w:rPr/>
            </w:pPr>
            <w:r>
              <w:rPr/>
              <w:t>Operating Results:</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Net investment income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24.6</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Net investment income per share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0.25</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 xml:space="preserve">Core net investment income per share </w:t>
            </w:r>
            <w:r>
              <w:rPr>
                <w:position w:val="8"/>
                <w:sz w:val="19"/>
              </w:rPr>
              <w:t>(2)</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0.27</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Distributions declared per share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0.31</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vAlign w:val="center"/>
          </w:tcPr>
          <w:p>
            <w:pPr>
              <w:pStyle w:val="TableContents"/>
              <w:bidi w:val="0"/>
              <w:spacing w:before="0" w:after="283"/>
              <w:jc w:val="left"/>
              <w:rPr/>
            </w:pPr>
            <w:r>
              <w:rPr/>
              <w:t>Portfolio Activity:</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208.1</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145.8</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vAlign w:val="center"/>
          </w:tcPr>
          <w:p>
            <w:pPr>
              <w:pStyle w:val="TableContents"/>
              <w:bidi w:val="0"/>
              <w:spacing w:before="0" w:after="283"/>
              <w:jc w:val="left"/>
              <w:rPr/>
            </w:pPr>
            <w:r>
              <w:rPr/>
              <w:t>PSSL Portfolio data:</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PSSL investment portfolio</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1,055.6</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52.3</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53.8</w:t>
            </w:r>
          </w:p>
        </w:tc>
        <w:tc>
          <w:tcPr>
            <w:tcW w:w="421" w:type="dxa"/>
            <w:tcBorders/>
            <w:vAlign w:val="center"/>
          </w:tcPr>
          <w:p>
            <w:pPr>
              <w:pStyle w:val="TableContents"/>
              <w:bidi w:val="0"/>
              <w:spacing w:before="0" w:after="283"/>
              <w:jc w:val="left"/>
              <w:rPr/>
            </w:pPr>
            <w:r>
              <w:rPr/>
              <w:t> </w:t>
            </w:r>
          </w:p>
        </w:tc>
      </w:tr>
    </w:tbl>
    <w:p>
      <w:pPr>
        <w:pStyle w:val="TextBody"/>
        <w:bidi w:val="0"/>
        <w:jc w:val="both"/>
        <w:rPr/>
      </w:pPr>
      <w:r>
        <w:rPr/>
        <w:t>_______________</w:t>
      </w:r>
    </w:p>
    <w:p>
      <w:pPr>
        <w:pStyle w:val="TextBody"/>
        <w:bidi w:val="0"/>
        <w:jc w:val="both"/>
        <w:rPr/>
      </w:pPr>
      <w:r>
        <w:rPr/>
        <w:t>(1) Includes investments in PennantPark Senior Secured Loan Fund I LLC, or PSSL, an unconsolidated joint venture, totaling $290.9 million, at fair value.</w:t>
      </w:r>
    </w:p>
    <w:p>
      <w:pPr>
        <w:pStyle w:val="TextBody"/>
        <w:bidi w:val="0"/>
        <w:jc w:val="both"/>
        <w:rPr/>
      </w:pPr>
      <w:r>
        <w:rPr/>
        <w:t>(2) 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June 30, 2025, Core NII excluded: i) $2.9m of credit facility amendment costs and ii) $1.2m of incentive fee expense offset.</w:t>
      </w:r>
    </w:p>
    <w:p>
      <w:pPr>
        <w:pStyle w:val="TextBody"/>
        <w:bidi w:val="0"/>
        <w:jc w:val="both"/>
        <w:rPr/>
      </w:pPr>
      <w:r>
        <w:rPr>
          <w:rStyle w:val="StrongEmphasis"/>
        </w:rPr>
        <w:t xml:space="preserve">CONFERENCE CALL AT 9:00 A.M. ET ON AUGUST 12, 2025 </w:t>
      </w:r>
    </w:p>
    <w:p>
      <w:pPr>
        <w:pStyle w:val="TextBody"/>
        <w:bidi w:val="0"/>
        <w:jc w:val="both"/>
        <w:rPr/>
      </w:pPr>
      <w:r>
        <w:rPr/>
        <w:t>PennantPark Floating Rate Capital Ltd. ("we", "our", "us", or the "Company") will also host a conference call at 9:00 a.m. (Eastern Time) on Tuesday, August 12, 2025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#5487696 or PennantPark Floating Rate Capital Ltd. An archived replay will also be available on a webcast link located on the Quarterly Earnings page in the Investor section of PennantPark’s website.</w:t>
      </w:r>
    </w:p>
    <w:p>
      <w:pPr>
        <w:pStyle w:val="TextBody"/>
        <w:bidi w:val="0"/>
        <w:jc w:val="both"/>
        <w:rPr/>
      </w:pPr>
      <w:r>
        <w:rPr>
          <w:rStyle w:val="StrongEmphasis"/>
        </w:rPr>
        <w:t>PORTFOLIO AND INVESTMENT ACTIVITY</w:t>
      </w:r>
    </w:p>
    <w:p>
      <w:pPr>
        <w:pStyle w:val="TextBody"/>
        <w:bidi w:val="0"/>
        <w:jc w:val="both"/>
        <w:rPr/>
      </w:pPr>
      <w:r>
        <w:rPr/>
        <w:t>"We are encouraged by the recent uptick in deal activity, which we believe will lead to increased loan originations in the second half of 2025." said Art Penn, Chairman and CEO. “We anticipate continued net investment income growth and full dividend coverage as we invest the capital raised through our ATM program and debt financings in the previous quarters. In addition, we are pleased to announce the formation of a new joint venture with our long-term and trusted partner, Hamilton Lane. The new joint venture will invest in our core middle market directly originated senior secured loans and is expected to drive growth in our net investment income."</w:t>
      </w:r>
    </w:p>
    <w:p>
      <w:pPr>
        <w:pStyle w:val="TextBody"/>
        <w:bidi w:val="0"/>
        <w:jc w:val="both"/>
        <w:rPr/>
      </w:pPr>
      <w:r>
        <w:rPr/>
        <w:t>As of June 30, 2025, our portfolio totaled $2,403.5 million, and consisted of $2,150.6 million of first lien secured debt (including $237.7 million in PSSL), $12.5 million of subordinated debt and $240.4 million of preferred and common equity (including $53.3 million in PSSL). Our debt portfolio consisted of approximately 99% variable-rate investments. As of June 30, 2025, we had two portfolio companies on non-accrual, representing 1.0% and 0.5% of our overall portfolio on a cost and fair value basis, respectively. As of June 30, 2025, the portfolio had net unrealized depreciation of $51.3 million. Our overall portfolio consisted of 155 companies with an average investment size of $15.5 million and had a weighted average yield on debt investments of 10.4%.</w:t>
      </w:r>
    </w:p>
    <w:p>
      <w:pPr>
        <w:pStyle w:val="TextBody"/>
        <w:bidi w:val="0"/>
        <w:jc w:val="both"/>
        <w:rPr/>
      </w:pPr>
      <w:r>
        <w:rPr/>
        <w:t>As of September 30, 2024, our portfolio totaled $1,983.5 million and consisted of $1,746.7 million of first lien secured debt (including $237.7 million in PSSL), $2.7 million of second lien secured debt and subordinated debt and $234.1 million of preferred and common equity (including $56.5 million in PSSL). Our debt portfolio consisted of approximately 100% variable-rate investments. As of September 30, 2024, we had two portfolio companies on non-accrual, representing 0.4% and 0.2% of our overall portfolio on a cost and fair value basis, respectively. As of September 30, 2024, the portfolio had net unrealized depreciation of $11.4 million. Our overall portfolio consisted of 158 companies with an average investment size of $12.6 million, and a weighted average yield on debt investments of 11.5%.</w:t>
      </w:r>
    </w:p>
    <w:p>
      <w:pPr>
        <w:pStyle w:val="TextBody"/>
        <w:bidi w:val="0"/>
        <w:jc w:val="both"/>
        <w:rPr/>
      </w:pPr>
      <w:r>
        <w:rPr/>
        <w:t>For the three months ended June 30, 2025, we invested $208.1 million in four new and 17 existing portfolio companies at a weighted average yield on debt investments of 10.1%. Sales and repayments of investments for the same period totaled $145.8 million including $51.8 million of sales to PSSL. For the nine months ended June 30, 2025, we invested $1,108.3 million in 18 new and 112 existing portfolio companies with a weighted average yield on debt investments of 10.2%. Sales and repayments of investments for the same period totaled $669.5 million, including $292.4 million of sales to PSSL.</w:t>
      </w:r>
    </w:p>
    <w:p>
      <w:pPr>
        <w:pStyle w:val="TextBody"/>
        <w:bidi w:val="0"/>
        <w:jc w:val="both"/>
        <w:rPr/>
      </w:pPr>
      <w:r>
        <w:rPr/>
        <w:t>For the three months ended June 30, 2024, we invested $320.9 million in nine new and 45 existing portfolio companies at a weighted average yield on debt investments of 11.5%. For the nine months ended June 30, 2024, sales and repayments of investments totaled $137.6 million, including $69.1 million of sales to PSSL. For the nine months ended June 30, 2024, we invested $961.8 million in 33 new and 71 existing portfolio companies at a weighted average yield on debt investments of 11.7%. For the nine months ended June 30, 2024, sales and repayments of investments totaled $386.3 million, including $209.0 million of sales to PSSL.</w:t>
      </w:r>
    </w:p>
    <w:p>
      <w:pPr>
        <w:pStyle w:val="TextBody"/>
        <w:bidi w:val="0"/>
        <w:jc w:val="both"/>
        <w:rPr/>
      </w:pPr>
      <w:r>
        <w:rPr>
          <w:rStyle w:val="StrongEmphasis"/>
        </w:rPr>
        <w:t>PennantPark Senior Secured Loan Fund I LLC</w:t>
      </w:r>
    </w:p>
    <w:p>
      <w:pPr>
        <w:pStyle w:val="TextBody"/>
        <w:bidi w:val="0"/>
        <w:jc w:val="both"/>
        <w:rPr/>
      </w:pPr>
      <w:r>
        <w:rPr/>
        <w:t>As of June 30, 2025, PSSL’s portfolio totaled $1,055.6 million and consisted of 117 companies with an average investment size of $9.0 million and had a weighted average yield on debt investments of 10.4%. As of September 30, 2024, PSSL’s portfolio totaled $913.3 million, consisted of 109 companies with an average investment size of $8.4 million and had a weighted average yield on debt investments of 11.4%.</w:t>
      </w:r>
    </w:p>
    <w:p>
      <w:pPr>
        <w:pStyle w:val="TextBody"/>
        <w:bidi w:val="0"/>
        <w:jc w:val="both"/>
        <w:rPr/>
      </w:pPr>
      <w:r>
        <w:rPr/>
        <w:t>For the three months ended June 30, 2025, PSSL invested $52.3 million, including $51.8 million purchased from the Company, in seven new and two existing portfolio companies with a weighted average yield on debt investments of 10.8%. Sales and repayments of investments for the three months ended June 30, 2025 totaled $53.8 million. For the nine months ended June 30, 2025, PSSL invested $337.2 million, including $292.4 million purchased from the Company, in 28 new and 13 existing portfolio companies with a weighted average yield on debt investments of 10.3%. PSSL’s sales and repayments of investments for the same period totaled $177.2 million.</w:t>
      </w:r>
    </w:p>
    <w:p>
      <w:pPr>
        <w:pStyle w:val="TextBody"/>
        <w:bidi w:val="0"/>
        <w:jc w:val="both"/>
        <w:rPr/>
      </w:pPr>
      <w:r>
        <w:rPr/>
        <w:t>For the three months ended June 30, 2024, PSSL invested $84.5 million, including $69.1 million purchased from the Company, in five new and 11 existing portfolio companies at a weighted average yield on debt investments of 11.6%. Sales and repayments of investments for the three months ended June 30, 2024 totaled $47.0 million. For the nine months ended June 30, 2024, PSSL invested $240.4 million, including $209.0 million purchased from the Company, in 15 new and 20 existing portfolio companies at a weighted average yield on debt investments of 11.8%. Sales and repayments of investments for the nine months ended June 30, 2024 totaled $124.2 million.</w:t>
      </w:r>
    </w:p>
    <w:p>
      <w:pPr>
        <w:pStyle w:val="TextBody"/>
        <w:bidi w:val="0"/>
        <w:jc w:val="both"/>
        <w:rPr/>
      </w:pPr>
      <w:r>
        <w:rPr>
          <w:rStyle w:val="StrongEmphasis"/>
        </w:rPr>
        <w:t xml:space="preserve">RESULTS OF OPERATIONS </w:t>
      </w:r>
    </w:p>
    <w:p>
      <w:pPr>
        <w:pStyle w:val="TextBody"/>
        <w:bidi w:val="0"/>
        <w:spacing w:before="0" w:after="283"/>
        <w:jc w:val="left"/>
        <w:rPr/>
      </w:pPr>
      <w:r>
        <w:rPr/>
        <w:t>Set forth below are the results of operations for the three and nine months ended June 30, 2025 and 2024.</w:t>
      </w:r>
    </w:p>
    <w:p>
      <w:pPr>
        <w:pStyle w:val="TextBody"/>
        <w:bidi w:val="0"/>
        <w:jc w:val="both"/>
        <w:rPr/>
      </w:pPr>
      <w:r>
        <w:rPr>
          <w:rStyle w:val="StrongEmphasis"/>
        </w:rPr>
        <w:t>Investment Income</w:t>
      </w:r>
    </w:p>
    <w:p>
      <w:pPr>
        <w:pStyle w:val="TextBody"/>
        <w:bidi w:val="0"/>
        <w:jc w:val="both"/>
        <w:rPr/>
      </w:pPr>
      <w:r>
        <w:rPr/>
        <w:t>For the three and nine months ended June 30, 2025 investment income was $63.5 million and $192.4 million, respectively, which was attributable to $57.9 million and $175.1 million from first lien secured debt and $5.6 million and $17.3 million from other investments, respectively. For the three and nine months ended June 30, 2024, investment income was $48.5 million and $130.8 million, respectively, which was attributable to $42.7 million and $114.9 million from first lien secured debt and $5.8 million and $15.9 million from other investments, respectively. The increase in investment income for the three and nine months ended June 30, 2025, was primarily due to the increase in the size of the debt portfolio.</w:t>
      </w:r>
    </w:p>
    <w:p>
      <w:pPr>
        <w:pStyle w:val="TextBody"/>
        <w:bidi w:val="0"/>
        <w:jc w:val="both"/>
        <w:rPr/>
      </w:pPr>
      <w:r>
        <w:rPr>
          <w:rStyle w:val="StrongEmphasis"/>
        </w:rPr>
        <w:t>Expenses</w:t>
      </w:r>
    </w:p>
    <w:p>
      <w:pPr>
        <w:pStyle w:val="TextBody"/>
        <w:bidi w:val="0"/>
        <w:jc w:val="both"/>
        <w:rPr/>
      </w:pPr>
      <w:r>
        <w:rPr/>
        <w:t>For the three and nine months ended June 30, 2025, expenses totaled $38.9 million and $112.8 million, respectively and were comprised of: $22.5 million and $67.4 million of debt related interest and expenses, $5.9 million and $16.8 million of base management fees, $5.4 million and $19.1 million of performance-based incentive fees, $2.0 million and $5.5 million of general and administrative expenses, $0.2 million and $0.7 million of taxes and $2.9 million and $3.3 million in Credit Facility amendment costs. For the three and nine months ended June 30, 2024, expenses totaled $27.3 million and $71.1 million, respectively and were comprised of: $16.3 million and $39.9 million of debt related interest and expenses, $3.9 million and $10.3 million of base management fees, $5.3 million and $14.9 million of performance-based incentive fees, $1.5 million and $5.0 million of general and administrative expenses, $0.2 million and $0.9 million of taxes, and $0.1 million and $0.1 million of Credit Facility amendment costs. The increase in expenses for the three and nine months ended June 30, 2025, was primarily due to the increase in interest expense from increased borrowings and an increase in base management fees and incentive fee as a result of the increase in our investment portfolio.</w:t>
      </w:r>
    </w:p>
    <w:p>
      <w:pPr>
        <w:pStyle w:val="TextBody"/>
        <w:bidi w:val="0"/>
        <w:jc w:val="both"/>
        <w:rPr/>
      </w:pPr>
      <w:r>
        <w:rPr>
          <w:rStyle w:val="StrongEmphasis"/>
        </w:rPr>
        <w:t>Net Investment Income</w:t>
      </w:r>
    </w:p>
    <w:p>
      <w:pPr>
        <w:pStyle w:val="TextBody"/>
        <w:bidi w:val="0"/>
        <w:jc w:val="both"/>
        <w:rPr/>
      </w:pPr>
      <w:r>
        <w:rPr/>
        <w:t>For the three and nine months ended June 30, 2025 net investment income totaled $24.6 million or $0.25 per share, and $79.6 million or $0.88 per share, respectively. For the three and nine months ended June 30, 2024, net investment income totaled $21.2 million or $0.31 per share, and $59.7 million or $0.95 per share, respectively. The increase in net investment income for the three and nine months ended June 30, 2025, was primarily due to an increase in investment income partially offset by an increase in expenses.</w:t>
      </w:r>
    </w:p>
    <w:p>
      <w:pPr>
        <w:pStyle w:val="TextBody"/>
        <w:bidi w:val="0"/>
        <w:jc w:val="both"/>
        <w:rPr/>
      </w:pPr>
      <w:r>
        <w:rPr>
          <w:rStyle w:val="StrongEmphasis"/>
        </w:rPr>
        <w:t>Net Realized Gains or Losses</w:t>
      </w:r>
    </w:p>
    <w:p>
      <w:pPr>
        <w:pStyle w:val="TextBody"/>
        <w:bidi w:val="0"/>
        <w:jc w:val="both"/>
        <w:rPr/>
      </w:pPr>
      <w:r>
        <w:rPr/>
        <w:t>For the three and nine months ended June 30, 2025 net realized gains (losses) totaled $(14.8) million and $8.4 million, respectively. For the three and nine months ended June 30, 2024, net realized gains (losses) totaled $(0.4) million and $0.6 million, respectively. The change in net realized gains (losses) was primarily due to changes in the market conditions of our investments and the values at which they were realized.</w:t>
      </w:r>
    </w:p>
    <w:p>
      <w:pPr>
        <w:pStyle w:val="TextBody"/>
        <w:bidi w:val="0"/>
        <w:spacing w:before="0" w:after="283"/>
        <w:jc w:val="left"/>
        <w:rPr/>
      </w:pPr>
      <w:r>
        <w:rPr>
          <w:rStyle w:val="StrongEmphasis"/>
        </w:rPr>
        <w:t>Unrealized Appreciation or Depreciation on Investments and Debt</w:t>
      </w:r>
    </w:p>
    <w:p>
      <w:pPr>
        <w:pStyle w:val="TextBody"/>
        <w:bidi w:val="0"/>
        <w:jc w:val="both"/>
        <w:rPr/>
      </w:pPr>
      <w:r>
        <w:rPr/>
        <w:t>For the three and nine months ended June 30, 2025 we reported net change in unrealized appreciation (depreciation) on investments of $9.9 million and $(39.9) million, respectively. For the three and nine months ended June 30, 2024, we reported net change in unrealized appreciation (depreciation) on investments of $(4.0) million and $10.0 million, respectively. As of June 30, 2025 and September 30, 2024, our net unrealized appreciation (depreciation) on investments totaled $(51.3) million and $(11.4) million, respectively. The net change in unrealized appreciation (depreciation) on our investments was primarily due to the operating performance of the portfolio companies within our portfolio, changes in the capital market conditions of our investments and realization of investments.</w:t>
      </w:r>
    </w:p>
    <w:p>
      <w:pPr>
        <w:pStyle w:val="TextBody"/>
        <w:bidi w:val="0"/>
        <w:jc w:val="both"/>
        <w:rPr/>
      </w:pPr>
      <w:r>
        <w:rPr/>
        <w:t>For the three and nine months ended June 30, 2025, our Credit Facility had a net change in unrealized appreciation (depreciation) of $(0.1) million and less than $0.1 million, respectively. For the three and nine months ended June 30, 2024, our Credit Facility had a net change in unrealized appreciation (depreciation) of less than $0.1 million and less than ($0.1) million, respectively. As of June 30, 2025 and September 30, 2024, the net unrealized appreciation (depreciation) on the Credit Facility totaled approximately less than $(0.1) million and zero, respectively. The net change in net unrealized (appreciation) or depreciation was primarily due to changes in the capital markets.</w:t>
      </w:r>
    </w:p>
    <w:p>
      <w:pPr>
        <w:pStyle w:val="TextBody"/>
        <w:bidi w:val="0"/>
        <w:jc w:val="both"/>
        <w:rPr/>
      </w:pPr>
      <w:r>
        <w:rPr>
          <w:rStyle w:val="StrongEmphasis"/>
        </w:rPr>
        <w:t>Net Change in Net Assets Resulting from Operations</w:t>
      </w:r>
    </w:p>
    <w:p>
      <w:pPr>
        <w:pStyle w:val="TextBody"/>
        <w:bidi w:val="0"/>
        <w:jc w:val="both"/>
        <w:rPr/>
      </w:pPr>
      <w:r>
        <w:rPr/>
        <w:t>For the three and nine months ended June 30, 2025, net increase (decrease) in net assets resulting from operations totaled $19.3 million or $0.19 per share and $48.9 million or $0.54 per share, respectively. For the three and nine months ended June 30, 2024, net increase (decrease) in net assets resulting from operations totaled $16.9 million or $0.25 per share and $70.5 million, or $1.12 per share, respectively. The net increase or (decrease) from operations for the three and nine months ended June 30, 2025, was primarily due to operating performance of our portfolio, changes in capital market conditions of our investments, along with changes in size and cost yield of our debt portfolio and costs of financing.</w:t>
      </w:r>
    </w:p>
    <w:p>
      <w:pPr>
        <w:pStyle w:val="TextBody"/>
        <w:bidi w:val="0"/>
        <w:jc w:val="both"/>
        <w:rPr/>
      </w:pPr>
      <w:r>
        <w:rPr>
          <w:rStyle w:val="StrongEmphasis"/>
        </w:rPr>
        <w:t>LIQUIDITY AND CAPITAL RESOURCES</w:t>
      </w:r>
    </w:p>
    <w:p>
      <w:pPr>
        <w:pStyle w:val="TextBody"/>
        <w:bidi w:val="0"/>
        <w:jc w:val="both"/>
        <w:rPr/>
      </w:pPr>
      <w:r>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w:t>
      </w:r>
    </w:p>
    <w:p>
      <w:pPr>
        <w:pStyle w:val="TextBody"/>
        <w:bidi w:val="0"/>
        <w:jc w:val="both"/>
        <w:rPr/>
      </w:pPr>
      <w:r>
        <w:rPr/>
        <w:t>For the nine months ended June 30, 2025 and 2024, the annualized weighted average cost of debt, inclusive of the fee on the undrawn commitment on the Credit Facility, amendment costs and debt issuance costs, was 7.0% and 7.3%, respectively. As of June 30, 2025 and September 30, 2024, we had $419.1 million and $192.1 million of unused borrowing capacity under the Credit Facility, respectively, subject to leverage and borrowing base restrictions.</w:t>
      </w:r>
    </w:p>
    <w:p>
      <w:pPr>
        <w:pStyle w:val="TextBody"/>
        <w:bidi w:val="0"/>
        <w:jc w:val="both"/>
        <w:rPr/>
      </w:pPr>
      <w:r>
        <w:rPr/>
        <w:t>In April 2025, PennantPark Floating Rate Capital Ltd. amended its credit facility agreement led by Truist Bank. As part of the amendment, the credit facility pricing decreased to SOFR plus 200 basis points from SOFR plus 225 basis points, the reinvestment period was extended one year to August 2028, the maturity date was extended one year to August 2030, and the maximum first lien advance rate was increased to 72.5% from 70.0%. As part of this amendment, commitments decreased from $736 million to $718 million.</w:t>
      </w:r>
    </w:p>
    <w:p>
      <w:pPr>
        <w:pStyle w:val="TextBody"/>
        <w:bidi w:val="0"/>
        <w:jc w:val="both"/>
        <w:rPr/>
      </w:pPr>
      <w:r>
        <w:rPr/>
        <w:t>In April 2025, PSSL through its wholly-owned and consolidated subsidiary, PennantPark CLO 12, LLC closed a four year reinvestment period, twelve-year final maturity $301 million debt securitization in the form of a collateralized loan obligation. The debt in this securitization is structured in the following manner: (i) $30.0 million of Class A-1 Loans, which bear interest at three-month SOFR plus 1.45%, (ii) $141.0 million of Class A-1 Notes,which bear interest at three-month SOFR plus 1.45%, (iii) $12.0 million of Class A-2 Notes, which bear interest at a three-month SOFR plus 1.60%, (iv) $21.0 million of Class B notes, which bears interest at three-month SOFR plus 1.85%, (v) $24.0 million of Class C notes, which bears interest at three-month SOFR plus 2.30%, (vi) $18.0 million Class D notes, which bears interest at three-month SOFR plus 3.30%, (vii) $55.0 million of subordinated notes. The weighted average credit spread is 1.71%. PSSL will continue to retain all of the subordinated notes through a consolidated subsidiary. The reinvestment period for the term debt securitization ends in April 2029 and the debt is scheduled to mature in April 2037. The proceeds from the debt repaid a portion of PSSL's $325 million secured credit facility.</w:t>
      </w:r>
    </w:p>
    <w:p>
      <w:pPr>
        <w:pStyle w:val="TextBody"/>
        <w:bidi w:val="0"/>
        <w:jc w:val="both"/>
        <w:rPr/>
      </w:pPr>
      <w:r>
        <w:rPr/>
        <w:t>In May 2025, PSSL through its wholly-owned and consolidated subsidiary, PennantPark CLO VI, LLC closed the refinancing of its 2035 Asset-Backed Debt through a four year reinvestment period, twelve-year final maturity $315.8 million debt securitization. The debt in this securitization is structured in the following manner: (i) $228.0 million of Class A-R Loans, which bears interest at three-month SOFR plus 1.85%, (ii) $18.0 million of Class B-R Loans, which bears interest at three-month SOFR plus 4.50%, (iii) $18.0 million of Class C-R Loans and (iv) $51.8 million of subordinated notes. The weighted average credit spread is 2.04%. PSSL will continue to retain all of the subordinated notes and Class C-R Loans through a consolidated subsidiary. The maturity of the replacement debt and existing subordinated notes is now extended to April 2037.</w:t>
      </w:r>
    </w:p>
    <w:p>
      <w:pPr>
        <w:pStyle w:val="TextBody"/>
        <w:bidi w:val="0"/>
        <w:jc w:val="both"/>
        <w:rPr/>
      </w:pPr>
      <w:r>
        <w:rPr/>
        <w:t>As of June 30, 2025 and September 30, 2024, we had cash equivalents of $102.7 million and $112.1 million, respectively, available for investing and general corporate purposes. We believe our liquidity and capital resources are sufficient to take advantage of market opportunities.</w:t>
      </w:r>
    </w:p>
    <w:p>
      <w:pPr>
        <w:pStyle w:val="TextBody"/>
        <w:bidi w:val="0"/>
        <w:jc w:val="both"/>
        <w:rPr/>
      </w:pPr>
      <w:r>
        <w:rPr/>
        <w:t>During the three and nine months ended June 30, 2025 we issued 2,800,000 shares and 21,638,000 shares of our common stock through the 2024 ATM Program, respectively at an average price of $11.31 per share and $11.34 per share raising $31.6 million and $244.8 million of net proceeds after commissions to the Sales Agents and inclusive of proceeds from the Investment Adviser to ensure that all shares were sold at or above NAV, respectively. During the three and nine months ended June 30, 2024, we issued 8,770,000 and 13,263,436 shares of common stock through the 2022 ATM Program at an average price of $11.41 per share and $11.39 per share, raising $100.1 million and $150.6 million of net proceeds after commissions to the Sales Agents and inclusive of proceeds from the Investment Adviser to ensure that all shares were sold at or above NAV, respectively.</w:t>
      </w:r>
    </w:p>
    <w:p>
      <w:pPr>
        <w:pStyle w:val="TextBody"/>
        <w:bidi w:val="0"/>
        <w:jc w:val="both"/>
        <w:rPr/>
      </w:pPr>
      <w:r>
        <w:rPr/>
        <w:t>For the nine months ended June 30, 2025, our operating activities used cash of $386.1 million and our financing activities provided cash of $376.7 million. Our operating activities used cash primarily due to our investment activities and our financing activities provided cash primarily due to proceeds from the 2037 Asset-Backed debt and proceeds from the public offerings under our 2024 ATM Program partially offset by repayments of our Credit Facility.</w:t>
      </w:r>
    </w:p>
    <w:p>
      <w:pPr>
        <w:pStyle w:val="TextBody"/>
        <w:bidi w:val="0"/>
        <w:jc w:val="both"/>
        <w:rPr/>
      </w:pPr>
      <w:r>
        <w:rPr/>
        <w:t>For the nine months ended June 30, 2024, our operating activities used cash of $509.6 million and our financing activities provided cash of $493.7 million. Our operating activities used cash primarily due to our investment activities and our financing activities provided cash primarily due to borrowings under the Credit Facility, proceeds from public offerings under our ATM program and proceeds from the 2036 Asset-Backed debt partially offset by the repayment of the 2023 Notes.</w:t>
      </w:r>
    </w:p>
    <w:p>
      <w:pPr>
        <w:pStyle w:val="TextBody"/>
        <w:bidi w:val="0"/>
        <w:jc w:val="both"/>
        <w:rPr/>
      </w:pPr>
      <w:r>
        <w:rPr>
          <w:rStyle w:val="StrongEmphasis"/>
        </w:rPr>
        <w:t>DISTRIBUTIONS</w:t>
      </w:r>
    </w:p>
    <w:p>
      <w:pPr>
        <w:pStyle w:val="TextBody"/>
        <w:bidi w:val="0"/>
        <w:jc w:val="both"/>
        <w:rPr/>
      </w:pPr>
      <w:r>
        <w:rPr/>
        <w:t>During the three and nine months ended June 30, 2025 we declared distributions of $0.3075 and $0.9225 per share for total distributions of $30.5 million and $83.4 million, respectively. During the three and nine months ended June 30, 2024, we declared distributions of $0.3075 and $0.9225 per share for total distributions of $21.0 million and $57.9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jc w:val="both"/>
        <w:rPr/>
      </w:pPr>
      <w:r>
        <w:rPr>
          <w:rStyle w:val="StrongEmphasis"/>
        </w:rPr>
        <w:t>RECENT DEVELOPMENTS</w:t>
      </w:r>
    </w:p>
    <w:p>
      <w:pPr>
        <w:pStyle w:val="TextBody"/>
        <w:bidi w:val="0"/>
        <w:spacing w:before="0" w:after="283"/>
        <w:jc w:val="left"/>
        <w:rPr/>
      </w:pPr>
      <w:r>
        <w:rPr/>
        <w:t>In August 2025, the Company formed PennantPark Senior Secured Loan Fund II, LLC ("PSSL II"), a joint venture with a fund managed by Hamilton Lane ("HL"). PSSL II is expected to invest primarily in middle market loans consistent with PFLT’s core origination and underwriting strategy.</w:t>
      </w:r>
    </w:p>
    <w:p>
      <w:pPr>
        <w:pStyle w:val="TextBody"/>
        <w:bidi w:val="0"/>
        <w:jc w:val="both"/>
        <w:rPr/>
      </w:pPr>
      <w:r>
        <w:rPr/>
        <w:t>PFLT and HL have committed to provide a combined $200 million of notes and equity to the joint venture, with PFLT providing $150 million and HL providing $50 million. PSSL II intends to add a financing facility of $300 million which will enable the portfolio to grow to $500 million initially. PFLT and HL anticipate to begin investing in PSSL II's portfolio in late September or early October.</w:t>
      </w:r>
    </w:p>
    <w:p>
      <w:pPr>
        <w:pStyle w:val="TextBody"/>
        <w:bidi w:val="0"/>
        <w:jc w:val="both"/>
        <w:rPr/>
      </w:pPr>
      <w:r>
        <w:rPr>
          <w:rStyle w:val="StrongEmphasis"/>
        </w:rPr>
        <w:t xml:space="preserve">AVAILABLE INFORMATION </w:t>
      </w:r>
    </w:p>
    <w:p>
      <w:pPr>
        <w:pStyle w:val="TextBody"/>
        <w:bidi w:val="0"/>
        <w:jc w:val="both"/>
        <w:rPr/>
      </w:pPr>
      <w:r>
        <w:rPr/>
        <w:t xml:space="preserve">The Company makes available on its website its Quarterly Report on Form 10-Q filed with the SEC, and stockholders may find such report on its website at </w:t>
      </w:r>
      <w:r>
        <w:rPr>
          <w:u w:val="single"/>
        </w:rPr>
        <w:t>www.pennantpark.com</w:t>
      </w:r>
      <w:r>
        <w:rPr/>
        <w:t>.</w:t>
      </w:r>
    </w:p>
    <w:p>
      <w:pPr>
        <w:pStyle w:val="TextBody"/>
        <w:bidi w:val="0"/>
        <w:jc w:val="center"/>
        <w:rPr/>
      </w:pPr>
      <w:r>
        <w:rPr/>
      </w:r>
    </w:p>
    <w:tbl>
      <w:tblPr>
        <w:tblW w:w="10205" w:type="dxa"/>
        <w:jc w:val="center"/>
        <w:tblInd w:w="0" w:type="dxa"/>
        <w:tblLayout w:type="fixed"/>
        <w:tblCellMar>
          <w:top w:w="28" w:type="dxa"/>
          <w:left w:w="28" w:type="dxa"/>
          <w:bottom w:w="28" w:type="dxa"/>
          <w:right w:w="28" w:type="dxa"/>
        </w:tblCellMar>
      </w:tblPr>
      <w:tblGrid>
        <w:gridCol w:w="6493"/>
        <w:gridCol w:w="146"/>
        <w:gridCol w:w="241"/>
        <w:gridCol w:w="1138"/>
        <w:gridCol w:w="181"/>
        <w:gridCol w:w="146"/>
        <w:gridCol w:w="285"/>
        <w:gridCol w:w="1347"/>
        <w:gridCol w:w="228"/>
      </w:tblGrid>
      <w:tr>
        <w:trPr/>
        <w:tc>
          <w:tcPr>
            <w:tcW w:w="10205" w:type="dxa"/>
            <w:gridSpan w:val="9"/>
            <w:tcBorders/>
            <w:vAlign w:val="center"/>
          </w:tcPr>
          <w:p>
            <w:pPr>
              <w:pStyle w:val="TableContents"/>
              <w:bidi w:val="0"/>
              <w:spacing w:before="0" w:after="283"/>
              <w:jc w:val="center"/>
              <w:rPr/>
            </w:pPr>
            <w:r>
              <w:rPr/>
              <w:t> </w:t>
            </w:r>
          </w:p>
        </w:tc>
      </w:tr>
      <w:tr>
        <w:trPr/>
        <w:tc>
          <w:tcPr>
            <w:tcW w:w="10205" w:type="dxa"/>
            <w:gridSpan w:val="9"/>
            <w:tcBorders/>
            <w:vAlign w:val="center"/>
          </w:tcPr>
          <w:p>
            <w:pPr>
              <w:pStyle w:val="TableContents"/>
              <w:bidi w:val="0"/>
              <w:spacing w:before="0" w:after="283"/>
              <w:jc w:val="center"/>
              <w:rPr/>
            </w:pPr>
            <w:r>
              <w:rPr>
                <w:rStyle w:val="StrongEmphasis"/>
              </w:rPr>
              <w:t>PENNANTPARK FLOATING RATE CAPITAL LTD. AND SUBSIDIARIES</w:t>
            </w:r>
            <w:r>
              <w:rPr/>
              <w:br/>
            </w:r>
            <w:r>
              <w:rPr>
                <w:rStyle w:val="StrongEmphasis"/>
              </w:rPr>
              <w:t>CONSOLIDATED STATEMENTS OF ASSETS AND LIABILITIES</w:t>
            </w:r>
            <w:r>
              <w:rPr/>
              <w:br/>
            </w:r>
            <w:r>
              <w:rPr>
                <w:rStyle w:val="StrongEmphasis"/>
              </w:rPr>
              <w:t>(in thousands, except per share data)</w:t>
            </w:r>
          </w:p>
        </w:tc>
      </w:tr>
      <w:tr>
        <w:trPr/>
        <w:tc>
          <w:tcPr>
            <w:tcW w:w="10205" w:type="dxa"/>
            <w:gridSpan w:val="9"/>
            <w:tcBorders/>
            <w:vAlign w:val="center"/>
          </w:tcPr>
          <w:p>
            <w:pPr>
              <w:pStyle w:val="TableContents"/>
              <w:bidi w:val="0"/>
              <w:spacing w:before="0" w:after="283"/>
              <w:jc w:val="center"/>
              <w:rPr/>
            </w:pPr>
            <w:r>
              <w:rPr/>
              <w:t> </w:t>
            </w:r>
          </w:p>
        </w:tc>
      </w:tr>
      <w:tr>
        <w:trPr/>
        <w:tc>
          <w:tcPr>
            <w:tcW w:w="649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2025</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September 30, 2024</w:t>
            </w:r>
          </w:p>
        </w:tc>
        <w:tc>
          <w:tcPr>
            <w:tcW w:w="228" w:type="dxa"/>
            <w:tcBorders/>
            <w:vAlign w:val="center"/>
          </w:tcPr>
          <w:p>
            <w:pPr>
              <w:pStyle w:val="TableContents"/>
              <w:bidi w:val="0"/>
              <w:spacing w:before="0" w:after="283"/>
              <w:jc w:val="center"/>
              <w:rPr/>
            </w:pPr>
            <w:r>
              <w:rPr/>
              <w:t> </w:t>
            </w:r>
          </w:p>
        </w:tc>
      </w:tr>
      <w:tr>
        <w:trPr/>
        <w:tc>
          <w:tcPr>
            <w:tcW w:w="649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79"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rStyle w:val="StrongEmphasis"/>
              </w:rPr>
              <w:t>(unaudited)</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228" w:type="dxa"/>
            <w:tcBorders/>
            <w:vAlign w:val="center"/>
          </w:tcPr>
          <w:p>
            <w:pPr>
              <w:pStyle w:val="TableContents"/>
              <w:bidi w:val="0"/>
              <w:spacing w:before="0" w:after="283"/>
              <w:jc w:val="center"/>
              <w:rPr/>
            </w:pPr>
            <w:r>
              <w:rPr/>
              <w:t> </w:t>
            </w:r>
          </w:p>
        </w:tc>
      </w:tr>
      <w:tr>
        <w:trPr/>
        <w:tc>
          <w:tcPr>
            <w:tcW w:w="6493" w:type="dxa"/>
            <w:tcBorders/>
            <w:vAlign w:val="center"/>
          </w:tcPr>
          <w:p>
            <w:pPr>
              <w:pStyle w:val="TableContents"/>
              <w:bidi w:val="0"/>
              <w:spacing w:before="0" w:after="283"/>
              <w:jc w:val="left"/>
              <w:rPr/>
            </w:pPr>
            <w:r>
              <w:rPr>
                <w:rStyle w:val="StrongEmphasis"/>
              </w:rPr>
              <w:t>Assets</w:t>
            </w:r>
          </w:p>
        </w:tc>
        <w:tc>
          <w:tcPr>
            <w:tcW w:w="146" w:type="dxa"/>
            <w:tcBorders/>
            <w:vAlign w:val="center"/>
          </w:tcPr>
          <w:p>
            <w:pPr>
              <w:pStyle w:val="TableContents"/>
              <w:bidi w:val="0"/>
              <w:spacing w:before="0" w:after="283"/>
              <w:jc w:val="left"/>
              <w:rPr/>
            </w:pPr>
            <w:r>
              <w:rPr/>
              <w:t> </w:t>
            </w:r>
          </w:p>
        </w:tc>
        <w:tc>
          <w:tcPr>
            <w:tcW w:w="1379"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3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93" w:type="dxa"/>
            <w:tcBorders/>
            <w:vAlign w:val="center"/>
          </w:tcPr>
          <w:p>
            <w:pPr>
              <w:pStyle w:val="TableContents"/>
              <w:bidi w:val="0"/>
              <w:spacing w:before="0" w:after="283"/>
              <w:jc w:val="left"/>
              <w:rPr/>
            </w:pPr>
            <w:r>
              <w:rPr/>
              <w:t>Investments at fair value</w:t>
            </w:r>
          </w:p>
        </w:tc>
        <w:tc>
          <w:tcPr>
            <w:tcW w:w="146" w:type="dxa"/>
            <w:tcBorders/>
            <w:vAlign w:val="center"/>
          </w:tcPr>
          <w:p>
            <w:pPr>
              <w:pStyle w:val="TableContents"/>
              <w:bidi w:val="0"/>
              <w:spacing w:before="0" w:after="283"/>
              <w:jc w:val="left"/>
              <w:rPr/>
            </w:pPr>
            <w:r>
              <w:rPr/>
              <w:t> </w:t>
            </w:r>
          </w:p>
        </w:tc>
        <w:tc>
          <w:tcPr>
            <w:tcW w:w="1379"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32"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93"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 (amortized cost— $2,093,435 and $1,622,669, respectively)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283"/>
              <w:jc w:val="right"/>
              <w:rPr/>
            </w:pPr>
            <w:r>
              <w:rPr/>
              <w:t>2,112,576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1347" w:type="dxa"/>
            <w:tcBorders/>
            <w:vAlign w:val="center"/>
          </w:tcPr>
          <w:p>
            <w:pPr>
              <w:pStyle w:val="TableContents"/>
              <w:bidi w:val="0"/>
              <w:spacing w:before="0" w:after="283"/>
              <w:jc w:val="right"/>
              <w:rPr/>
            </w:pPr>
            <w:r>
              <w:rPr/>
              <w:t>1,632,269</w:t>
            </w:r>
          </w:p>
        </w:tc>
        <w:tc>
          <w:tcPr>
            <w:tcW w:w="228" w:type="dxa"/>
            <w:tcBorders/>
            <w:vAlign w:val="center"/>
          </w:tcPr>
          <w:p>
            <w:pPr>
              <w:pStyle w:val="TableContents"/>
              <w:bidi w:val="0"/>
              <w:spacing w:before="0" w:after="283"/>
              <w:jc w:val="left"/>
              <w:rPr/>
            </w:pPr>
            <w:r>
              <w:rPr/>
              <w:t> </w:t>
            </w:r>
          </w:p>
        </w:tc>
      </w:tr>
      <w:tr>
        <w:trPr/>
        <w:tc>
          <w:tcPr>
            <w:tcW w:w="6493" w:type="dxa"/>
            <w:tcBorders/>
            <w:tcMar>
              <w:top w:w="0" w:type="dxa"/>
              <w:left w:w="0" w:type="dxa"/>
              <w:bottom w:w="0" w:type="dxa"/>
              <w:right w:w="0" w:type="dxa"/>
            </w:tcMar>
            <w:vAlign w:val="center"/>
          </w:tcPr>
          <w:p>
            <w:pPr>
              <w:pStyle w:val="TableContents"/>
              <w:bidi w:val="0"/>
              <w:spacing w:before="0" w:after="283"/>
              <w:jc w:val="left"/>
              <w:rPr/>
            </w:pPr>
            <w:r>
              <w:rPr/>
              <w:t>Controlled, affiliated investments (amortized cost— $361,375 and $372,271, respectively)</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290,939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351,235</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Total investments (amortized cost— $2,454,810 and $1,994,940, respectively)</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3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2,403,515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4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1,983,504</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Cash and cash equivalents (cost— $102,726 and $112,046, respectively)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102,730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112,050</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Interest receivable</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11,935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12,167</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Distributions receivable</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1,269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635</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Due from affiliate</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291</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Prepaid expenses and other assets</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198</w:t>
            </w:r>
          </w:p>
        </w:tc>
        <w:tc>
          <w:tcPr>
            <w:tcW w:w="228" w:type="dxa"/>
            <w:tcBorders/>
            <w:vAlign w:val="center"/>
          </w:tcPr>
          <w:p>
            <w:pPr>
              <w:pStyle w:val="TableContents"/>
              <w:bidi w:val="0"/>
              <w:spacing w:before="0" w:after="283"/>
              <w:jc w:val="left"/>
              <w:rPr/>
            </w:pPr>
            <w:r>
              <w:rPr/>
              <w:t> </w:t>
            </w:r>
          </w:p>
        </w:tc>
      </w:tr>
      <w:tr>
        <w:trPr/>
        <w:tc>
          <w:tcPr>
            <w:tcW w:w="6493"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3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2,521,602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2,108,845</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rStyle w:val="StrongEmphasis"/>
              </w:rPr>
              <w:t>Liabilities</w:t>
            </w:r>
          </w:p>
        </w:tc>
        <w:tc>
          <w:tcPr>
            <w:tcW w:w="146" w:type="dxa"/>
            <w:tcBorders/>
            <w:vAlign w:val="center"/>
          </w:tcPr>
          <w:p>
            <w:pPr>
              <w:pStyle w:val="TableContents"/>
              <w:bidi w:val="0"/>
              <w:spacing w:before="0" w:after="283"/>
              <w:jc w:val="left"/>
              <w:rPr/>
            </w:pPr>
            <w:r>
              <w:rPr/>
              <w:t> </w:t>
            </w:r>
          </w:p>
        </w:tc>
        <w:tc>
          <w:tcPr>
            <w:tcW w:w="137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3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93" w:type="dxa"/>
            <w:tcBorders/>
            <w:vAlign w:val="center"/>
          </w:tcPr>
          <w:p>
            <w:pPr>
              <w:pStyle w:val="TableContents"/>
              <w:bidi w:val="0"/>
              <w:spacing w:before="0" w:after="283"/>
              <w:jc w:val="left"/>
              <w:rPr/>
            </w:pPr>
            <w:r>
              <w:rPr/>
              <w:t>Credit Facility payable, at fair value (cost— $298,855 and $443,855, respectively)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298,865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443,880</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2026 Notes payable, net (par—$185,000) (unamortized deferred financing costs of $585 and $1,168, respectively)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184,415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183,832</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2036 Asset-Backed Debt, net (par—$287,000) (unamortized deferred financing costs of $2,508 and $2,914, respectively)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284,492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284,086</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2036-R Asset-Backed Debt, net (par— $266,000) (unamortized deferred financing costs of $667 and $765, respectively)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265,333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265,235</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2037 Asset-Backed Debt, net (par— $361,000 and $0, respectively) (unamortized deferred financing costs of $2,793 and $0, respectively)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358,207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Payable for investments purchased</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20,363</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Interest payable on debt</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18,676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14,645</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Distributions payable</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10,170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7,834</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Base management fee payable</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5,929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4,588</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Incentive fee payable</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5,396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3,189</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Accounts payable and accrued expenses</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1,667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2,187</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Deferred tax liability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890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1,712</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Due to affiliate</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28" w:type="dxa"/>
            <w:tcBorders/>
            <w:vAlign w:val="center"/>
          </w:tcPr>
          <w:p>
            <w:pPr>
              <w:pStyle w:val="TableContents"/>
              <w:bidi w:val="0"/>
              <w:spacing w:before="0" w:after="283"/>
              <w:jc w:val="left"/>
              <w:rPr/>
            </w:pPr>
            <w:r>
              <w:rPr/>
              <w:t> </w:t>
            </w:r>
          </w:p>
        </w:tc>
      </w:tr>
      <w:tr>
        <w:trPr/>
        <w:tc>
          <w:tcPr>
            <w:tcW w:w="6493"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3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1,434,089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1,231,551</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rStyle w:val="StrongEmphasis"/>
              </w:rPr>
              <w:t>Net assets</w:t>
            </w:r>
          </w:p>
        </w:tc>
        <w:tc>
          <w:tcPr>
            <w:tcW w:w="146" w:type="dxa"/>
            <w:tcBorders/>
            <w:vAlign w:val="center"/>
          </w:tcPr>
          <w:p>
            <w:pPr>
              <w:pStyle w:val="TableContents"/>
              <w:bidi w:val="0"/>
              <w:spacing w:before="0" w:after="283"/>
              <w:jc w:val="left"/>
              <w:rPr/>
            </w:pPr>
            <w:r>
              <w:rPr/>
              <w:t> </w:t>
            </w:r>
          </w:p>
        </w:tc>
        <w:tc>
          <w:tcPr>
            <w:tcW w:w="137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3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93" w:type="dxa"/>
            <w:tcBorders/>
            <w:vAlign w:val="center"/>
          </w:tcPr>
          <w:p>
            <w:pPr>
              <w:pStyle w:val="TableContents"/>
              <w:bidi w:val="0"/>
              <w:spacing w:before="0" w:after="283"/>
              <w:jc w:val="left"/>
              <w:rPr/>
            </w:pPr>
            <w:r>
              <w:rPr/>
              <w:t>Common stock, 99,217,896 and 77,579,896 shares issued and outstanding, respectively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 </w:t>
            </w:r>
          </w:p>
        </w:tc>
      </w:tr>
      <w:tr>
        <w:trPr/>
        <w:tc>
          <w:tcPr>
            <w:tcW w:w="6493" w:type="dxa"/>
            <w:tcBorders/>
            <w:tcMar>
              <w:top w:w="0" w:type="dxa"/>
              <w:left w:w="0" w:type="dxa"/>
              <w:bottom w:w="0" w:type="dxa"/>
              <w:right w:w="0" w:type="dxa"/>
            </w:tcMar>
            <w:vAlign w:val="center"/>
          </w:tcPr>
          <w:p>
            <w:pPr>
              <w:pStyle w:val="TableContents"/>
              <w:bidi w:val="0"/>
              <w:spacing w:before="0" w:after="283"/>
              <w:jc w:val="left"/>
              <w:rPr/>
            </w:pPr>
            <w:r>
              <w:rPr/>
              <w:t>Par value $0.001 per share and 200,000,000 shares authorized</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99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78</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Paid-in capital in excess of par value</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1,221,478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976,744</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Accumulated deficit</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(134,064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8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(99,528</w:t>
            </w:r>
          </w:p>
        </w:tc>
        <w:tc>
          <w:tcPr>
            <w:tcW w:w="228" w:type="dxa"/>
            <w:tcBorders/>
            <w:vAlign w:val="center"/>
          </w:tcPr>
          <w:p>
            <w:pPr>
              <w:pStyle w:val="TableContents"/>
              <w:bidi w:val="0"/>
              <w:spacing w:before="0" w:after="283"/>
              <w:jc w:val="left"/>
              <w:rPr/>
            </w:pPr>
            <w:r>
              <w:rPr/>
              <w:t>)</w:t>
            </w:r>
          </w:p>
        </w:tc>
      </w:tr>
      <w:tr>
        <w:trPr/>
        <w:tc>
          <w:tcPr>
            <w:tcW w:w="6493"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net assets</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13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1,087,513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3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877,294</w:t>
            </w:r>
          </w:p>
        </w:tc>
        <w:tc>
          <w:tcPr>
            <w:tcW w:w="228" w:type="dxa"/>
            <w:tcBorders/>
            <w:vAlign w:val="center"/>
          </w:tcPr>
          <w:p>
            <w:pPr>
              <w:pStyle w:val="TableContents"/>
              <w:bidi w:val="0"/>
              <w:spacing w:before="0" w:after="283"/>
              <w:jc w:val="left"/>
              <w:rPr/>
            </w:pPr>
            <w:r>
              <w:rPr/>
              <w:t> </w:t>
            </w:r>
          </w:p>
        </w:tc>
      </w:tr>
      <w:tr>
        <w:trPr/>
        <w:tc>
          <w:tcPr>
            <w:tcW w:w="6493"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 and net assets</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2,521,602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34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2,108,845</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rStyle w:val="StrongEmphasis"/>
              </w:rPr>
              <w:t>Net asset value per share</w:t>
            </w:r>
          </w:p>
        </w:tc>
        <w:tc>
          <w:tcPr>
            <w:tcW w:w="146" w:type="dxa"/>
            <w:tcBorders/>
            <w:vAlign w:val="center"/>
          </w:tcPr>
          <w:p>
            <w:pPr>
              <w:pStyle w:val="TableContents"/>
              <w:bidi w:val="0"/>
              <w:spacing w:before="0" w:after="283"/>
              <w:jc w:val="left"/>
              <w:rPr/>
            </w:pPr>
            <w:r>
              <w:rPr/>
              <w:t> </w:t>
            </w:r>
          </w:p>
        </w:tc>
        <w:tc>
          <w:tcPr>
            <w:tcW w:w="2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3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10.96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3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11.31</w:t>
            </w:r>
          </w:p>
        </w:tc>
        <w:tc>
          <w:tcPr>
            <w:tcW w:w="228" w:type="dxa"/>
            <w:tcBorders/>
            <w:vAlign w:val="center"/>
          </w:tcPr>
          <w:p>
            <w:pPr>
              <w:pStyle w:val="TableContents"/>
              <w:bidi w:val="0"/>
              <w:spacing w:before="0" w:after="283"/>
              <w:jc w:val="left"/>
              <w:rPr/>
            </w:pPr>
            <w:r>
              <w:rPr/>
              <w:t> </w:t>
            </w:r>
          </w:p>
        </w:tc>
      </w:tr>
      <w:tr>
        <w:trPr/>
        <w:tc>
          <w:tcPr>
            <w:tcW w:w="64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 </w:t>
            </w:r>
          </w:p>
        </w:tc>
      </w:tr>
    </w:tbl>
    <w:p>
      <w:pPr>
        <w:pStyle w:val="TextBody"/>
        <w:bidi w:val="0"/>
        <w:jc w:val="center"/>
        <w:rPr/>
      </w:pPr>
      <w:r>
        <w:rPr/>
      </w:r>
    </w:p>
    <w:tbl>
      <w:tblPr>
        <w:tblW w:w="10205" w:type="dxa"/>
        <w:jc w:val="center"/>
        <w:tblInd w:w="0" w:type="dxa"/>
        <w:tblLayout w:type="fixed"/>
        <w:tblCellMar>
          <w:top w:w="28" w:type="dxa"/>
          <w:left w:w="28" w:type="dxa"/>
          <w:bottom w:w="28" w:type="dxa"/>
          <w:right w:w="28" w:type="dxa"/>
        </w:tblCellMar>
      </w:tblPr>
      <w:tblGrid>
        <w:gridCol w:w="4569"/>
        <w:gridCol w:w="146"/>
        <w:gridCol w:w="226"/>
        <w:gridCol w:w="841"/>
        <w:gridCol w:w="181"/>
        <w:gridCol w:w="146"/>
        <w:gridCol w:w="226"/>
        <w:gridCol w:w="766"/>
        <w:gridCol w:w="181"/>
        <w:gridCol w:w="146"/>
        <w:gridCol w:w="226"/>
        <w:gridCol w:w="886"/>
        <w:gridCol w:w="181"/>
        <w:gridCol w:w="146"/>
        <w:gridCol w:w="226"/>
        <w:gridCol w:w="886"/>
        <w:gridCol w:w="226"/>
      </w:tblGrid>
      <w:tr>
        <w:trPr/>
        <w:tc>
          <w:tcPr>
            <w:tcW w:w="10205" w:type="dxa"/>
            <w:gridSpan w:val="17"/>
            <w:tcBorders/>
            <w:vAlign w:val="center"/>
          </w:tcPr>
          <w:p>
            <w:pPr>
              <w:pStyle w:val="TableContents"/>
              <w:bidi w:val="0"/>
              <w:spacing w:before="0" w:after="283"/>
              <w:jc w:val="center"/>
              <w:rPr/>
            </w:pPr>
            <w:r>
              <w:rPr>
                <w:rStyle w:val="StrongEmphasis"/>
              </w:rPr>
              <w:t>PENNANTPARK FLOATING RATE CAPITAL LTD. AND SUBSIDIARIES</w:t>
            </w:r>
            <w:r>
              <w:rPr/>
              <w:br/>
            </w:r>
            <w:r>
              <w:rPr>
                <w:rStyle w:val="StrongEmphasis"/>
              </w:rPr>
              <w:t>CONSOLIDATED STATEMENTS OF OPERATIONS</w:t>
            </w:r>
            <w:r>
              <w:rPr/>
              <w:br/>
            </w:r>
            <w:r>
              <w:rPr>
                <w:rStyle w:val="StrongEmphasis"/>
              </w:rPr>
              <w:t>(in thousands, except per share data)</w:t>
            </w:r>
            <w:r>
              <w:rPr/>
              <w:br/>
            </w:r>
            <w:r>
              <w:rPr>
                <w:rStyle w:val="StrongEmphasis"/>
              </w:rPr>
              <w:t>(Unaudited)</w:t>
            </w:r>
          </w:p>
        </w:tc>
      </w:tr>
      <w:tr>
        <w:trPr/>
        <w:tc>
          <w:tcPr>
            <w:tcW w:w="10205" w:type="dxa"/>
            <w:gridSpan w:val="17"/>
            <w:tcBorders/>
            <w:vAlign w:val="center"/>
          </w:tcPr>
          <w:p>
            <w:pPr>
              <w:pStyle w:val="TableContents"/>
              <w:bidi w:val="0"/>
              <w:spacing w:before="0" w:after="283"/>
              <w:jc w:val="left"/>
              <w:rPr/>
            </w:pPr>
            <w:r>
              <w:rPr/>
              <w:t> </w:t>
            </w:r>
          </w:p>
        </w:tc>
      </w:tr>
      <w:tr>
        <w:trPr/>
        <w:tc>
          <w:tcPr>
            <w:tcW w:w="4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xml:space="preserve">Three Months Ended </w:t>
            </w:r>
            <w:r>
              <w:rPr/>
              <w:br/>
            </w:r>
            <w:r>
              <w:rPr>
                <w:rStyle w:val="StrongEmphasis"/>
              </w:rPr>
              <w:t>June 30,</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55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w:t>
            </w:r>
            <w:r>
              <w:rPr/>
              <w:br/>
            </w:r>
            <w:r>
              <w:rPr>
                <w:rStyle w:val="StrongEmphasis"/>
              </w:rPr>
              <w:t>June 30,</w:t>
            </w:r>
          </w:p>
        </w:tc>
        <w:tc>
          <w:tcPr>
            <w:tcW w:w="226" w:type="dxa"/>
            <w:tcBorders/>
            <w:vAlign w:val="center"/>
          </w:tcPr>
          <w:p>
            <w:pPr>
              <w:pStyle w:val="TableContents"/>
              <w:bidi w:val="0"/>
              <w:spacing w:before="0" w:after="283"/>
              <w:jc w:val="center"/>
              <w:rPr/>
            </w:pPr>
            <w:r>
              <w:rPr/>
              <w:t> </w:t>
            </w:r>
          </w:p>
        </w:tc>
      </w:tr>
      <w:tr>
        <w:trPr/>
        <w:tc>
          <w:tcPr>
            <w:tcW w:w="4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8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2024</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8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1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2024</w:t>
            </w:r>
          </w:p>
        </w:tc>
        <w:tc>
          <w:tcPr>
            <w:tcW w:w="226" w:type="dxa"/>
            <w:tcBorders/>
            <w:vAlign w:val="center"/>
          </w:tcPr>
          <w:p>
            <w:pPr>
              <w:pStyle w:val="TableContents"/>
              <w:bidi w:val="0"/>
              <w:spacing w:before="0" w:after="283"/>
              <w:jc w:val="center"/>
              <w:rPr/>
            </w:pPr>
            <w:r>
              <w:rPr/>
              <w:t> </w:t>
            </w:r>
          </w:p>
        </w:tc>
      </w:tr>
      <w:tr>
        <w:trPr/>
        <w:tc>
          <w:tcPr>
            <w:tcW w:w="4569" w:type="dxa"/>
            <w:tcBorders/>
            <w:vAlign w:val="center"/>
          </w:tcPr>
          <w:p>
            <w:pPr>
              <w:pStyle w:val="TableContents"/>
              <w:bidi w:val="0"/>
              <w:spacing w:before="0" w:after="283"/>
              <w:jc w:val="left"/>
              <w:rPr/>
            </w:pPr>
            <w:r>
              <w:rPr>
                <w:rStyle w:val="StrongEmphasis"/>
              </w:rPr>
              <w:t>Investment income:</w:t>
            </w:r>
          </w:p>
        </w:tc>
        <w:tc>
          <w:tcPr>
            <w:tcW w:w="146" w:type="dxa"/>
            <w:tcBorders/>
            <w:vAlign w:val="center"/>
          </w:tcPr>
          <w:p>
            <w:pPr>
              <w:pStyle w:val="TableContents"/>
              <w:bidi w:val="0"/>
              <w:spacing w:before="0" w:after="283"/>
              <w:jc w:val="left"/>
              <w:rPr/>
            </w:pPr>
            <w:r>
              <w:rPr/>
              <w:t> </w:t>
            </w:r>
          </w:p>
        </w:tc>
        <w:tc>
          <w:tcPr>
            <w:tcW w:w="106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569" w:type="dxa"/>
            <w:tcBorders/>
            <w:vAlign w:val="center"/>
          </w:tcPr>
          <w:p>
            <w:pPr>
              <w:pStyle w:val="TableContents"/>
              <w:bidi w:val="0"/>
              <w:spacing w:before="0" w:after="283"/>
              <w:jc w:val="left"/>
              <w:rPr/>
            </w:pPr>
            <w:r>
              <w:rPr/>
              <w:t>From non-controlled, non-affiliated investments:</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50,856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34,456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right"/>
              <w:rPr/>
            </w:pPr>
            <w:r>
              <w:rPr/>
              <w:t>147,533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right"/>
              <w:rPr/>
            </w:pPr>
            <w:r>
              <w:rPr/>
              <w:t>88,693</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Dividend</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549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768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1,495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1,853</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786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591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2,901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3,622</w:t>
            </w:r>
          </w:p>
        </w:tc>
        <w:tc>
          <w:tcPr>
            <w:tcW w:w="226" w:type="dxa"/>
            <w:tcBorders/>
            <w:vAlign w:val="center"/>
          </w:tcPr>
          <w:p>
            <w:pPr>
              <w:pStyle w:val="TableContents"/>
              <w:bidi w:val="0"/>
              <w:spacing w:before="0" w:after="283"/>
              <w:jc w:val="left"/>
              <w:rPr/>
            </w:pPr>
            <w:r>
              <w:rPr/>
              <w:t> </w:t>
            </w:r>
          </w:p>
        </w:tc>
      </w:tr>
      <w:tr>
        <w:trPr/>
        <w:tc>
          <w:tcPr>
            <w:tcW w:w="4569" w:type="dxa"/>
            <w:tcBorders/>
            <w:vAlign w:val="center"/>
          </w:tcPr>
          <w:p>
            <w:pPr>
              <w:pStyle w:val="TableContents"/>
              <w:bidi w:val="0"/>
              <w:spacing w:before="0" w:after="283"/>
              <w:jc w:val="left"/>
              <w:rPr/>
            </w:pPr>
            <w:r>
              <w:rPr/>
              <w:t>From controlled, affiliated investments:</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7,373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8,841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27,526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25,595</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Dividend</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3,938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3,719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12,688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10,938</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130</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investment income</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63,502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48,505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192,449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130,831</w:t>
            </w:r>
          </w:p>
        </w:tc>
        <w:tc>
          <w:tcPr>
            <w:tcW w:w="226" w:type="dxa"/>
            <w:tcBorders/>
            <w:vAlign w:val="center"/>
          </w:tcPr>
          <w:p>
            <w:pPr>
              <w:pStyle w:val="TableContents"/>
              <w:bidi w:val="0"/>
              <w:spacing w:before="0" w:after="283"/>
              <w:jc w:val="left"/>
              <w:rPr/>
            </w:pPr>
            <w:r>
              <w:rPr/>
              <w:t> </w:t>
            </w:r>
          </w:p>
        </w:tc>
      </w:tr>
      <w:tr>
        <w:trPr/>
        <w:tc>
          <w:tcPr>
            <w:tcW w:w="4569" w:type="dxa"/>
            <w:tcBorders/>
            <w:vAlign w:val="center"/>
          </w:tcPr>
          <w:p>
            <w:pPr>
              <w:pStyle w:val="TableContents"/>
              <w:bidi w:val="0"/>
              <w:spacing w:before="0" w:after="283"/>
              <w:jc w:val="left"/>
              <w:rPr/>
            </w:pPr>
            <w:r>
              <w:rPr>
                <w:rStyle w:val="StrongEmphasis"/>
              </w:rPr>
              <w:t>Expenses:</w:t>
            </w:r>
          </w:p>
        </w:tc>
        <w:tc>
          <w:tcPr>
            <w:tcW w:w="146" w:type="dxa"/>
            <w:tcBorders/>
            <w:vAlign w:val="center"/>
          </w:tcPr>
          <w:p>
            <w:pPr>
              <w:pStyle w:val="TableContents"/>
              <w:bidi w:val="0"/>
              <w:spacing w:before="0" w:after="283"/>
              <w:jc w:val="left"/>
              <w:rPr/>
            </w:pPr>
            <w:r>
              <w:rPr/>
              <w:t> </w:t>
            </w:r>
          </w:p>
        </w:tc>
        <w:tc>
          <w:tcPr>
            <w:tcW w:w="10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Interest and expenses on debt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22,547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16,293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67,437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39,923</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Performance-based incentive fee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5,396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5,307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19,146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14,937</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Base management fee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5,929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3,908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16,797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10,283</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1,200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1,050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3,600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3,293</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Administrative services expenses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1,661</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rStyle w:val="StrongEmphasis"/>
              </w:rPr>
              <w:t>Expenses before amendment costs and provision for taxes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35,822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27,008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108,880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70,097</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Provision for taxes on net investment income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650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894</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Credit Facility amendment costs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2,855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3,297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94</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expenses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38,877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27,295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112,827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71,085</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investment income</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24,625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21,210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79,622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59,746</w:t>
            </w:r>
          </w:p>
        </w:tc>
        <w:tc>
          <w:tcPr>
            <w:tcW w:w="226" w:type="dxa"/>
            <w:tcBorders/>
            <w:vAlign w:val="center"/>
          </w:tcPr>
          <w:p>
            <w:pPr>
              <w:pStyle w:val="TableContents"/>
              <w:bidi w:val="0"/>
              <w:spacing w:before="0" w:after="283"/>
              <w:jc w:val="left"/>
              <w:rPr/>
            </w:pPr>
            <w:r>
              <w:rPr/>
              <w:t> </w:t>
            </w:r>
          </w:p>
        </w:tc>
      </w:tr>
      <w:tr>
        <w:trPr/>
        <w:tc>
          <w:tcPr>
            <w:tcW w:w="4569" w:type="dxa"/>
            <w:tcBorders/>
            <w:vAlign w:val="center"/>
          </w:tcPr>
          <w:p>
            <w:pPr>
              <w:pStyle w:val="TableContents"/>
              <w:bidi w:val="0"/>
              <w:spacing w:before="0" w:after="283"/>
              <w:jc w:val="left"/>
              <w:rPr/>
            </w:pPr>
            <w:r>
              <w:rPr>
                <w:rStyle w:val="StrongEmphasis"/>
              </w:rPr>
              <w:t>Realized and unrealized gain (loss) on investments and debt:</w:t>
            </w:r>
          </w:p>
        </w:tc>
        <w:tc>
          <w:tcPr>
            <w:tcW w:w="146" w:type="dxa"/>
            <w:tcBorders/>
            <w:vAlign w:val="center"/>
          </w:tcPr>
          <w:p>
            <w:pPr>
              <w:pStyle w:val="TableContents"/>
              <w:bidi w:val="0"/>
              <w:spacing w:before="0" w:after="283"/>
              <w:jc w:val="left"/>
              <w:rPr/>
            </w:pPr>
            <w:r>
              <w:rPr/>
              <w:t> </w:t>
            </w:r>
          </w:p>
        </w:tc>
        <w:tc>
          <w:tcPr>
            <w:tcW w:w="10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569" w:type="dxa"/>
            <w:tcBorders/>
            <w:vAlign w:val="center"/>
          </w:tcPr>
          <w:p>
            <w:pPr>
              <w:pStyle w:val="TableContents"/>
              <w:bidi w:val="0"/>
              <w:spacing w:before="0" w:after="283"/>
              <w:jc w:val="left"/>
              <w:rPr/>
            </w:pPr>
            <w:r>
              <w:rPr/>
              <w:t>Net realized gain (loss) on:</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(14,842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(353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(14,456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568</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22,811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Provision for taxes on realized gain (loss) on investments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realized gain (loss) on investments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(14,830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(353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8,273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568</w:t>
            </w:r>
          </w:p>
        </w:tc>
        <w:tc>
          <w:tcPr>
            <w:tcW w:w="226" w:type="dxa"/>
            <w:tcBorders/>
            <w:vAlign w:val="center"/>
          </w:tcPr>
          <w:p>
            <w:pPr>
              <w:pStyle w:val="TableContents"/>
              <w:bidi w:val="0"/>
              <w:spacing w:before="0" w:after="283"/>
              <w:jc w:val="left"/>
              <w:rPr/>
            </w:pPr>
            <w:r>
              <w:rPr/>
              <w:t> </w:t>
            </w:r>
          </w:p>
        </w:tc>
      </w:tr>
      <w:tr>
        <w:trPr/>
        <w:tc>
          <w:tcPr>
            <w:tcW w:w="4569" w:type="dxa"/>
            <w:tcBorders/>
            <w:vAlign w:val="center"/>
          </w:tcPr>
          <w:p>
            <w:pPr>
              <w:pStyle w:val="TableContents"/>
              <w:bidi w:val="0"/>
              <w:spacing w:before="0" w:after="283"/>
              <w:jc w:val="left"/>
              <w:rPr/>
            </w:pPr>
            <w:r>
              <w:rPr/>
              <w:t>Net change in unrealized appreciation (depreciation) on:</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16,233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(1,064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9,546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7,443</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Controlled and non-controlled, affiliated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(6,351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(2,889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(49,401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2,519</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Provision for taxes on unrealized appreciation (depreciation) on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(303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797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230</w:t>
            </w:r>
          </w:p>
        </w:tc>
        <w:tc>
          <w:tcPr>
            <w:tcW w:w="226" w:type="dxa"/>
            <w:tcBorders/>
            <w:vAlign w:val="center"/>
          </w:tcPr>
          <w:p>
            <w:pPr>
              <w:pStyle w:val="TableContents"/>
              <w:bidi w:val="0"/>
              <w:spacing w:before="0" w:after="283"/>
              <w:jc w:val="left"/>
              <w:rPr/>
            </w:pPr>
            <w:r>
              <w:rPr/>
              <w:t> </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t>Debt appreciation (depreciation)</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w:t>
            </w:r>
          </w:p>
        </w:tc>
        <w:tc>
          <w:tcPr>
            <w:tcW w:w="226" w:type="dxa"/>
            <w:tcBorders/>
            <w:vAlign w:val="center"/>
          </w:tcPr>
          <w:p>
            <w:pPr>
              <w:pStyle w:val="TableContents"/>
              <w:bidi w:val="0"/>
              <w:spacing w:before="0" w:after="283"/>
              <w:jc w:val="left"/>
              <w:rPr/>
            </w:pPr>
            <w:r>
              <w:rPr/>
              <w:t>)</w:t>
            </w:r>
          </w:p>
        </w:tc>
      </w:tr>
      <w:tr>
        <w:trPr/>
        <w:tc>
          <w:tcPr>
            <w:tcW w:w="4569"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change in unrealized appreciation (depreciation) on investments and debt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9,503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(3,937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(39,043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10,185</w:t>
            </w:r>
          </w:p>
        </w:tc>
        <w:tc>
          <w:tcPr>
            <w:tcW w:w="226" w:type="dxa"/>
            <w:tcBorders/>
            <w:vAlign w:val="center"/>
          </w:tcPr>
          <w:p>
            <w:pPr>
              <w:pStyle w:val="TableContents"/>
              <w:bidi w:val="0"/>
              <w:spacing w:before="0" w:after="283"/>
              <w:jc w:val="left"/>
              <w:rPr/>
            </w:pPr>
            <w:r>
              <w:rPr/>
              <w:t> </w:t>
            </w:r>
          </w:p>
        </w:tc>
      </w:tr>
      <w:tr>
        <w:trPr/>
        <w:tc>
          <w:tcPr>
            <w:tcW w:w="4569" w:type="dxa"/>
            <w:tcBorders/>
            <w:vAlign w:val="center"/>
          </w:tcPr>
          <w:p>
            <w:pPr>
              <w:pStyle w:val="TableContents"/>
              <w:bidi w:val="0"/>
              <w:spacing w:before="0" w:after="283"/>
              <w:jc w:val="left"/>
              <w:rPr/>
            </w:pPr>
            <w:r>
              <w:rPr>
                <w:rStyle w:val="StrongEmphasis"/>
              </w:rPr>
              <w:t>Net realized and unrealized gain (loss) from investments and debt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(5,327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(4,290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(30,770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10,753</w:t>
            </w:r>
          </w:p>
        </w:tc>
        <w:tc>
          <w:tcPr>
            <w:tcW w:w="226" w:type="dxa"/>
            <w:tcBorders/>
            <w:vAlign w:val="center"/>
          </w:tcPr>
          <w:p>
            <w:pPr>
              <w:pStyle w:val="TableContents"/>
              <w:bidi w:val="0"/>
              <w:spacing w:before="0" w:after="283"/>
              <w:jc w:val="left"/>
              <w:rPr/>
            </w:pPr>
            <w:r>
              <w:rPr/>
              <w:t> </w:t>
            </w:r>
          </w:p>
        </w:tc>
      </w:tr>
      <w:tr>
        <w:trPr/>
        <w:tc>
          <w:tcPr>
            <w:tcW w:w="4569" w:type="dxa"/>
            <w:tcBorders/>
            <w:vAlign w:val="center"/>
          </w:tcPr>
          <w:p>
            <w:pPr>
              <w:pStyle w:val="TableContents"/>
              <w:bidi w:val="0"/>
              <w:spacing w:before="0" w:after="283"/>
              <w:jc w:val="left"/>
              <w:rPr/>
            </w:pPr>
            <w:r>
              <w:rPr>
                <w:rStyle w:val="StrongEmphasis"/>
              </w:rPr>
              <w:t>Net increase (decrease) in net assets resulting from operations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19,298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16,920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48,852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70,499</w:t>
            </w:r>
          </w:p>
        </w:tc>
        <w:tc>
          <w:tcPr>
            <w:tcW w:w="226" w:type="dxa"/>
            <w:tcBorders/>
            <w:vAlign w:val="center"/>
          </w:tcPr>
          <w:p>
            <w:pPr>
              <w:pStyle w:val="TableContents"/>
              <w:bidi w:val="0"/>
              <w:spacing w:before="0" w:after="283"/>
              <w:jc w:val="left"/>
              <w:rPr/>
            </w:pPr>
            <w:r>
              <w:rPr/>
              <w:t> </w:t>
            </w:r>
          </w:p>
        </w:tc>
      </w:tr>
      <w:tr>
        <w:trPr/>
        <w:tc>
          <w:tcPr>
            <w:tcW w:w="4569" w:type="dxa"/>
            <w:tcBorders/>
            <w:vAlign w:val="center"/>
          </w:tcPr>
          <w:p>
            <w:pPr>
              <w:pStyle w:val="TableContents"/>
              <w:bidi w:val="0"/>
              <w:spacing w:before="0" w:after="283"/>
              <w:jc w:val="left"/>
              <w:rPr/>
            </w:pPr>
            <w:r>
              <w:rPr>
                <w:rStyle w:val="StrongEmphasis"/>
              </w:rPr>
              <w:t>Net increase (decrease) in net assets resulting from operations per common share</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0.54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1.12</w:t>
            </w:r>
          </w:p>
        </w:tc>
        <w:tc>
          <w:tcPr>
            <w:tcW w:w="226" w:type="dxa"/>
            <w:tcBorders/>
            <w:vAlign w:val="center"/>
          </w:tcPr>
          <w:p>
            <w:pPr>
              <w:pStyle w:val="TableContents"/>
              <w:bidi w:val="0"/>
              <w:spacing w:before="0" w:after="283"/>
              <w:jc w:val="left"/>
              <w:rPr/>
            </w:pPr>
            <w:r>
              <w:rPr/>
              <w:t> </w:t>
            </w:r>
          </w:p>
        </w:tc>
      </w:tr>
      <w:tr>
        <w:trPr/>
        <w:tc>
          <w:tcPr>
            <w:tcW w:w="4569" w:type="dxa"/>
            <w:tcBorders/>
            <w:vAlign w:val="center"/>
          </w:tcPr>
          <w:p>
            <w:pPr>
              <w:pStyle w:val="TableContents"/>
              <w:bidi w:val="0"/>
              <w:spacing w:before="0" w:after="283"/>
              <w:jc w:val="left"/>
              <w:rPr/>
            </w:pPr>
            <w:r>
              <w:rPr/>
              <w:t>Net investment income per common share</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0.88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0.95</w:t>
            </w:r>
          </w:p>
        </w:tc>
        <w:tc>
          <w:tcPr>
            <w:tcW w:w="226" w:type="dxa"/>
            <w:tcBorders/>
            <w:vAlign w:val="center"/>
          </w:tcPr>
          <w:p>
            <w:pPr>
              <w:pStyle w:val="TableContents"/>
              <w:bidi w:val="0"/>
              <w:spacing w:before="0" w:after="283"/>
              <w:jc w:val="left"/>
              <w:rPr/>
            </w:pPr>
            <w:r>
              <w:rPr/>
              <w:t> </w:t>
            </w:r>
          </w:p>
        </w:tc>
      </w:tr>
      <w:tr>
        <w:trPr/>
        <w:tc>
          <w:tcPr>
            <w:tcW w:w="4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t>ABOUT PENNANTPARK FLOATING RATE CAPITAL LTD.</w:t>
      </w:r>
    </w:p>
    <w:p>
      <w:pPr>
        <w:pStyle w:val="TextBody"/>
        <w:bidi w:val="0"/>
        <w:jc w:val="both"/>
        <w:rPr/>
      </w:pPr>
      <w:r>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rStyle w:val="StrongEmphasis"/>
        </w:rPr>
        <w:t xml:space="preserve">ABOUT PENNANTPARK INVESTMENT ADVISERS, LLC </w:t>
      </w:r>
    </w:p>
    <w:p>
      <w:pPr>
        <w:pStyle w:val="TextBody"/>
        <w:bidi w:val="0"/>
        <w:jc w:val="both"/>
        <w:rPr/>
      </w:pPr>
      <w:r>
        <w:rPr/>
        <w:t>PennantPark Investment Advisers, LLC is a leading middle-market credit platform, managing approximately $10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w:t>
      </w:r>
    </w:p>
    <w:p>
      <w:pPr>
        <w:pStyle w:val="TextBody"/>
        <w:bidi w:val="0"/>
        <w:jc w:val="both"/>
        <w:rPr/>
      </w:pPr>
      <w:r>
        <w:rPr>
          <w:rStyle w:val="StrongEmphasis"/>
        </w:rPr>
        <w:t>FORWARD-LOOKING STATEMENTS AND OTHER</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tbl>
      <w:tblPr>
        <w:tblW w:w="5428" w:type="dxa"/>
        <w:jc w:val="left"/>
        <w:tblInd w:w="0" w:type="dxa"/>
        <w:tblLayout w:type="fixed"/>
        <w:tblCellMar>
          <w:top w:w="28" w:type="dxa"/>
          <w:left w:w="28" w:type="dxa"/>
          <w:bottom w:w="28" w:type="dxa"/>
          <w:right w:w="28" w:type="dxa"/>
        </w:tblCellMar>
      </w:tblPr>
      <w:tblGrid>
        <w:gridCol w:w="1351"/>
        <w:gridCol w:w="206"/>
        <w:gridCol w:w="3871"/>
      </w:tblGrid>
      <w:tr>
        <w:trPr/>
        <w:tc>
          <w:tcPr>
            <w:tcW w:w="1351" w:type="dxa"/>
            <w:tcBorders/>
            <w:vAlign w:val="center"/>
          </w:tcPr>
          <w:p>
            <w:pPr>
              <w:pStyle w:val="TableContents"/>
              <w:bidi w:val="0"/>
              <w:spacing w:before="0" w:after="283"/>
              <w:jc w:val="left"/>
              <w:rPr/>
            </w:pPr>
            <w:r>
              <w:rPr/>
              <w:t>CONTACT:</w:t>
            </w:r>
          </w:p>
        </w:tc>
        <w:tc>
          <w:tcPr>
            <w:tcW w:w="20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pPr>
            <w:r>
              <w:rPr/>
              <w:t>Richard T. Allorto, Jr.</w:t>
              <w:br/>
              <w:t>PennantPark Floating Rate Capital Ltd.</w:t>
              <w:br/>
              <w:t>(212) 905-1000</w:t>
              <w:br/>
            </w:r>
            <w:r>
              <w:rPr>
                <w:u w:val="single"/>
              </w:rPr>
              <w:t>www.pennantpark.com</w:t>
            </w:r>
          </w:p>
        </w:tc>
      </w:tr>
      <w:tr>
        <w:trPr/>
        <w:tc>
          <w:tcPr>
            <w:tcW w:w="1351"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5291</Words>
  <Characters>29267</Characters>
  <CharactersWithSpaces>34857</CharactersWithSpaces>
  <Paragraphs>1237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